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sz w:val="72"/>
          <w:szCs w:val="72"/>
        </w:rPr>
        <w:t xml:space="preserve">🧭</w:t>
      </w:r>
    </w:p>
    <w:p>
      <w:pPr>
        <w:spacing w:after="120" w:before="300"/>
        <w:jc w:val="center"/>
      </w:pPr>
      <w:r>
        <w:rPr>
          <w:b/>
          <w:bCs/>
          <w:color w:val="1B1F3B"/>
          <w:sz w:val="50"/>
          <w:szCs w:val="50"/>
        </w:rPr>
        <w:t xml:space="preserve">Framework de Desenvolvimento</w:t>
      </w:r>
    </w:p>
    <w:p>
      <w:pPr>
        <w:spacing w:after="400"/>
        <w:jc w:val="center"/>
      </w:pPr>
      <w:r>
        <w:rPr>
          <w:b/>
          <w:bCs/>
          <w:color w:val="C6398E"/>
          <w:sz w:val="36"/>
          <w:szCs w:val="36"/>
        </w:rPr>
        <w:t xml:space="preserve">para Analytics Engineers</w:t>
      </w:r>
    </w:p>
    <w:p>
      <w:pPr>
        <w:spacing w:after="100"/>
        <w:jc w:val="center"/>
      </w:pPr>
      <w:r>
        <w:rPr>
          <w:i/>
          <w:iCs/>
          <w:color w:val="595959"/>
          <w:sz w:val="24"/>
          <w:szCs w:val="24"/>
        </w:rPr>
        <w:t xml:space="preserve">Uma proposta estratégica de competências, níveis de evolução e trilha de carreira</w:t>
      </w:r>
    </w:p>
    <w:p>
      <w:pPr>
        <w:spacing w:before="600"/>
        <w:jc w:val="center"/>
      </w:pPr>
      <w:r>
        <w:rPr>
          <w:color w:val="595959"/>
          <w:sz w:val="20"/>
          <w:szCs w:val="20"/>
        </w:rPr>
        <w:t xml:space="preserve">Elaborado a partir de boas práticas de mercado em Analytics Engineering,
com referência ao Tech Grid v4 e ao Learning Path Artefact LATAM</w:t>
      </w:r>
    </w:p>
    <w:p>
      <w:pPr>
        <w:spacing w:before="1600"/>
        <w:jc w:val="center"/>
      </w:pPr>
      <w:r>
        <w:rPr>
          <w:color w:val="595959"/>
          <w:sz w:val="18"/>
          <w:szCs w:val="18"/>
        </w:rPr>
        <w:t xml:space="preserve">Knowledge Hub de AEs · Artefact</w:t>
      </w:r>
    </w:p>
    <w:p>
      <w:r>
        <w:br w:type="page"/>
      </w:r>
    </w:p>
    <w:p>
      <w:pPr>
        <w:pStyle w:val="Heading1"/>
        <w:pBdr>
          <w:bottom w:val="single" w:color="C6398E" w:sz="12" w:space="4"/>
        </w:pBdr>
        <w:spacing w:after="200" w:before="400"/>
      </w:pPr>
      <w:r>
        <w:rPr>
          <w:b/>
          <w:bCs/>
          <w:color w:val="1B1F3B"/>
          <w:sz w:val="32"/>
          <w:szCs w:val="32"/>
        </w:rPr>
        <w:t xml:space="preserve">1. Por que Propor um Novo Framework</w:t>
      </w:r>
    </w:p>
    <w:p>
      <w:pPr>
        <w:spacing w:after="160" w:line="300"/>
      </w:pPr>
      <w:r>
        <w:rPr>
          <w:color w:val="222222"/>
          <w:sz w:val="21"/>
          <w:szCs w:val="21"/>
        </w:rPr>
        <w:t xml:space="preserve">O documento anterior consolidou o que já existe — Tech Grid v4 e Learning Path Artefact LATAM — em uma trilha de onboarding organizada. Este documento parte de um lugar diferente: usa esse material como ponto de partida para entender o que já está implementado, mas propõe uma estrutura própria de desenvolvimento, pensada especificamente para a disciplina de Analytics Engineering como ela existe no mercado hoje — não apenas como um recorte do grid genérico de competências técnicas da Artefact.</w:t>
      </w:r>
    </w:p>
    <w:p>
      <w:pPr>
        <w:spacing w:after="160" w:line="300"/>
      </w:pPr>
      <w:r>
        <w:rPr>
          <w:color w:val="222222"/>
          <w:sz w:val="21"/>
          <w:szCs w:val="21"/>
        </w:rPr>
        <w:t xml:space="preserve">A diferença de fundo é conceitual. O Tech Grid v4 organiza competências técnicas compartilhadas por vários papéis (Data Handling, Data Pipelines, Cloud Architecture...) e depois marca quais são mais ou menos importantes para o AE. Isso é útil para avaliação e promoção, mas não conta a história de como a disciplina de Analytics Engineering evoluiu: da modelagem dimensional clássica de Kimball ao ELT moderno, do "BI analyst" ao "engenheiro que trata dado como produto", da automação de pipelines à camada semântica que hoje alimenta tanto dashboards quanto agentes de IA.</w:t>
      </w:r>
    </w:p>
    <w:p>
      <w:pPr>
        <w:spacing w:after="160" w:line="300"/>
      </w:pPr>
      <w:r>
        <w:rPr>
          <w:color w:val="222222"/>
          <w:sz w:val="21"/>
          <w:szCs w:val="21"/>
        </w:rPr>
        <w:t xml:space="preserve">O framework abaixo é essa história, organizada como um caminho de carreira: seis pilares de competência específicos de Analytics Engineering, quatro níveis de evolução (compatíveis com a escala L1–L4 já usada na Artefact, para facilitar adoção), um roadmap de sequência de aprendizado e um conjunto de boas práticas de como rodar isso como um programa vivo — não uma lista de cursos.</w:t>
      </w:r>
    </w:p>
    <w:p>
      <w:pPr>
        <w:pStyle w:val="Heading2"/>
        <w:spacing w:after="160" w:before="320"/>
      </w:pPr>
      <w:r>
        <w:rPr>
          <w:b/>
          <w:bCs/>
          <w:color w:val="1B1F3B"/>
          <w:sz w:val="26"/>
          <w:szCs w:val="26"/>
        </w:rPr>
        <w:t xml:space="preserve">1.1. Como este documento se conecta ao anterior</w:t>
      </w:r>
    </w:p>
    <w:p>
      <w:pPr>
        <w:pStyle w:val="ListParagraph"/>
        <w:numPr>
          <w:ilvl w:val="0"/>
          <w:numId w:val="2"/>
        </w:numPr>
        <w:spacing w:after="80" w:line="280"/>
      </w:pPr>
      <w:r>
        <w:rPr>
          <w:color w:val="222222"/>
          <w:sz w:val="21"/>
          <w:szCs w:val="21"/>
        </w:rPr>
        <w:t xml:space="preserve">O documento anterior responde: "o que a Artefact já oferece, e como usar isso no onboarding?"</w:t>
      </w:r>
    </w:p>
    <w:p>
      <w:pPr>
        <w:pStyle w:val="ListParagraph"/>
        <w:numPr>
          <w:ilvl w:val="0"/>
          <w:numId w:val="2"/>
        </w:numPr>
        <w:spacing w:after="80" w:line="280"/>
      </w:pPr>
      <w:r>
        <w:rPr>
          <w:color w:val="222222"/>
          <w:sz w:val="21"/>
          <w:szCs w:val="21"/>
        </w:rPr>
        <w:t xml:space="preserve">Este documento responde: "qual é, na minha visão especializada, a estrutura ideal de competências e evolução de carreira de um Analytics Engineer — e onde a oferta atual da Artefact se encaixa (ou ainda não cobre)?"</w:t>
      </w:r>
    </w:p>
    <w:p>
      <w:pPr>
        <w:spacing w:after="200"/>
      </w:pPr>
      <w:r>
        <w:rPr>
          <w:i/>
          <w:iCs/>
          <w:color w:val="595959"/>
          <w:sz w:val="19"/>
          <w:szCs w:val="19"/>
        </w:rPr>
        <w:t xml:space="preserve">Os treinamentos e experts internos da Artefact aparecem aqui apenas na Seção 7, como conexão prática ao final — o corpo do documento (Seções 2 a 6) é a proposta original.</w:t>
      </w:r>
    </w:p>
    <w:p>
      <w:r>
        <w:br w:type="page"/>
      </w:r>
    </w:p>
    <w:p>
      <w:pPr>
        <w:pStyle w:val="Heading1"/>
        <w:pBdr>
          <w:bottom w:val="single" w:color="C6398E" w:sz="12" w:space="4"/>
        </w:pBdr>
        <w:spacing w:after="200" w:before="400"/>
      </w:pPr>
      <w:r>
        <w:rPr>
          <w:b/>
          <w:bCs/>
          <w:color w:val="1B1F3B"/>
          <w:sz w:val="32"/>
          <w:szCs w:val="32"/>
        </w:rPr>
        <w:t xml:space="preserve">2. Os Seis Pilares da Competência de um Analytics Engineer</w:t>
      </w:r>
    </w:p>
    <w:p>
      <w:pPr>
        <w:spacing w:after="160" w:line="300"/>
      </w:pPr>
      <w:r>
        <w:rPr>
          <w:color w:val="222222"/>
          <w:sz w:val="21"/>
          <w:szCs w:val="21"/>
        </w:rPr>
        <w:t xml:space="preserve">Um Analytics Engineer não é "meio Data Engineer, meio Analista" — é uma disciplina própria, nascida da necessidade de industrializar a transformação de dados dentro do Modern Data Stack (dbt, warehouses cloud, ELT). Proponho organizar essa disciplina em seis pilares, cada um cobrindo uma fatia distinta do valor que um AE entrega:</w:t>
      </w:r>
    </w:p>
    <w:p>
      <w:pPr>
        <w:spacing w:after="160" w:line="300"/>
      </w:pPr>
      <w:r>
        <w:rPr>
          <w:b/>
          <w:bCs/>
          <w:color w:val="FFFFFF"/>
          <w:sz w:val="16"/>
          <w:szCs w:val="16"/>
          <w:shd w:fill="2E5C8A" w:val="clear"/>
        </w:rPr>
        <w:t xml:space="preserve">  PILAR 1  </w:t>
      </w:r>
      <w:r>
        <w:rPr>
          <w:b/>
          <w:bCs/>
          <w:color w:val="1B1F3B"/>
          <w:sz w:val="22"/>
          <w:szCs w:val="22"/>
        </w:rPr>
        <w:t xml:space="preserve">  Modelagem &amp; Transformação de Dados</w:t>
      </w:r>
    </w:p>
    <w:p>
      <w:pPr>
        <w:spacing w:after="160" w:line="300"/>
      </w:pPr>
      <w:r>
        <w:rPr>
          <w:color w:val="222222"/>
          <w:sz w:val="21"/>
          <w:szCs w:val="21"/>
        </w:rPr>
        <w:t xml:space="preserve">O núcleo técnico: transformar dados brutos em modelos confiáveis, testados e reutilizáveis. Modelagem dimensional, dbt, SQL avançado.</w:t>
      </w:r>
    </w:p>
    <w:p>
      <w:pPr>
        <w:spacing w:after="160" w:line="300"/>
      </w:pPr>
      <w:r>
        <w:rPr>
          <w:b/>
          <w:bCs/>
          <w:color w:val="FFFFFF"/>
          <w:sz w:val="16"/>
          <w:szCs w:val="16"/>
          <w:shd w:fill="6A1B9A" w:val="clear"/>
        </w:rPr>
        <w:t xml:space="preserve">  PILAR 2  </w:t>
      </w:r>
      <w:r>
        <w:rPr>
          <w:b/>
          <w:bCs/>
          <w:color w:val="1B1F3B"/>
          <w:sz w:val="22"/>
          <w:szCs w:val="22"/>
        </w:rPr>
        <w:t xml:space="preserve">  Engenharia de Software Aplicada (DataOps)</w:t>
      </w:r>
    </w:p>
    <w:p>
      <w:pPr>
        <w:spacing w:after="160" w:line="300"/>
      </w:pPr>
      <w:r>
        <w:rPr>
          <w:color w:val="222222"/>
          <w:sz w:val="21"/>
          <w:szCs w:val="21"/>
        </w:rPr>
        <w:t xml:space="preserve">Tratar o código analítico com o mesmo rigor de um software de produção: versionamento, CI/CD, testes, observabilidade.</w:t>
      </w:r>
    </w:p>
    <w:p>
      <w:pPr>
        <w:spacing w:after="160" w:line="300"/>
      </w:pPr>
      <w:r>
        <w:rPr>
          <w:b/>
          <w:bCs/>
          <w:color w:val="FFFFFF"/>
          <w:sz w:val="16"/>
          <w:szCs w:val="16"/>
          <w:shd w:fill="00695C" w:val="clear"/>
        </w:rPr>
        <w:t xml:space="preserve">  PILAR 3  </w:t>
      </w:r>
      <w:r>
        <w:rPr>
          <w:b/>
          <w:bCs/>
          <w:color w:val="1B1F3B"/>
          <w:sz w:val="22"/>
          <w:szCs w:val="22"/>
        </w:rPr>
        <w:t xml:space="preserve">  Arquitetura &amp; Plataforma de Dados</w:t>
      </w:r>
    </w:p>
    <w:p>
      <w:pPr>
        <w:spacing w:after="160" w:line="300"/>
      </w:pPr>
      <w:r>
        <w:rPr>
          <w:color w:val="222222"/>
          <w:sz w:val="21"/>
          <w:szCs w:val="21"/>
        </w:rPr>
        <w:t xml:space="preserve">Escolher e operar a infraestrutura certa: warehouse, orquestração, ingestão e a camada semântica que une tudo.</w:t>
      </w:r>
    </w:p>
    <w:p>
      <w:pPr>
        <w:spacing w:after="160" w:line="300"/>
      </w:pPr>
      <w:r>
        <w:rPr>
          <w:b/>
          <w:bCs/>
          <w:color w:val="FFFFFF"/>
          <w:sz w:val="16"/>
          <w:szCs w:val="16"/>
          <w:shd w:fill="C6398E" w:val="clear"/>
        </w:rPr>
        <w:t xml:space="preserve">  PILAR 4  </w:t>
      </w:r>
      <w:r>
        <w:rPr>
          <w:b/>
          <w:bCs/>
          <w:color w:val="1B1F3B"/>
          <w:sz w:val="22"/>
          <w:szCs w:val="22"/>
        </w:rPr>
        <w:t xml:space="preserve">  Visualização, Storytelling &amp; Dado como Produto</w:t>
      </w:r>
    </w:p>
    <w:p>
      <w:pPr>
        <w:spacing w:after="160" w:line="300"/>
      </w:pPr>
      <w:r>
        <w:rPr>
          <w:color w:val="222222"/>
          <w:sz w:val="21"/>
          <w:szCs w:val="21"/>
        </w:rPr>
        <w:t xml:space="preserve">Entregar dashboards e datasets como produtos de verdade: com dono, SLA, usabilidade e impacto de negócio.</w:t>
      </w:r>
    </w:p>
    <w:p>
      <w:pPr>
        <w:spacing w:after="160" w:line="300"/>
      </w:pPr>
      <w:r>
        <w:rPr>
          <w:b/>
          <w:bCs/>
          <w:color w:val="FFFFFF"/>
          <w:sz w:val="16"/>
          <w:szCs w:val="16"/>
          <w:shd w:fill="E65100" w:val="clear"/>
        </w:rPr>
        <w:t xml:space="preserve">  PILAR 5  </w:t>
      </w:r>
      <w:r>
        <w:rPr>
          <w:b/>
          <w:bCs/>
          <w:color w:val="1B1F3B"/>
          <w:sz w:val="22"/>
          <w:szCs w:val="22"/>
        </w:rPr>
        <w:t xml:space="preserve">  IA Generativa Aplicada à Analytics Engineering</w:t>
      </w:r>
    </w:p>
    <w:p>
      <w:pPr>
        <w:spacing w:after="160" w:line="300"/>
      </w:pPr>
      <w:r>
        <w:rPr>
          <w:color w:val="222222"/>
          <w:sz w:val="21"/>
          <w:szCs w:val="21"/>
        </w:rPr>
        <w:t xml:space="preserve">Usar LLMs e agentes apoiados numa camada semântica governada — o novo diferencial competitivo do papel.</w:t>
      </w:r>
    </w:p>
    <w:p>
      <w:pPr>
        <w:spacing w:after="160" w:line="300"/>
      </w:pPr>
      <w:r>
        <w:rPr>
          <w:b/>
          <w:bCs/>
          <w:color w:val="FFFFFF"/>
          <w:sz w:val="16"/>
          <w:szCs w:val="16"/>
          <w:shd w:fill="37474F" w:val="clear"/>
        </w:rPr>
        <w:t xml:space="preserve">  PILAR 6  </w:t>
      </w:r>
      <w:r>
        <w:rPr>
          <w:b/>
          <w:bCs/>
          <w:color w:val="1B1F3B"/>
          <w:sz w:val="22"/>
          <w:szCs w:val="22"/>
        </w:rPr>
        <w:t xml:space="preserve">  Negócio, Comunicação &amp; Liderança Técnica</w:t>
      </w:r>
    </w:p>
    <w:p>
      <w:pPr>
        <w:spacing w:after="160" w:line="300"/>
      </w:pPr>
      <w:r>
        <w:rPr>
          <w:color w:val="222222"/>
          <w:sz w:val="21"/>
          <w:szCs w:val="21"/>
        </w:rPr>
        <w:t xml:space="preserve">A cola entre tudo isso: estruturar problemas, comunicar com clareza e, com o tempo, liderar tecnicamente.</w:t>
      </w:r>
    </w:p>
    <w:p>
      <w:pPr>
        <w:spacing w:after="200"/>
      </w:pPr>
      <w:r>
        <w:rPr>
          <w:i/>
          <w:iCs/>
          <w:color w:val="595959"/>
          <w:sz w:val="19"/>
          <w:szCs w:val="19"/>
        </w:rPr>
        <w:t xml:space="preserve">Nota de desenho: os Pilares 1–3 mapeiam predominantemente às Core Skills "Core" do Tech Grid (Data Handling, Data Viz, Product Design) e "Important" (Cloud Architecture, GenAI Solutions) já identificadas no documento anterior — mas aqui são reformulados com vocabulário e profundidade específicos de Analytics Engineering, e não apenas herdados do grid genérico.</w:t>
      </w:r>
    </w:p>
    <w:p>
      <w:r>
        <w:br w:type="page"/>
      </w:r>
    </w:p>
    <w:p>
      <w:pPr>
        <w:pStyle w:val="Heading1"/>
        <w:pBdr>
          <w:bottom w:val="single" w:color="C6398E" w:sz="12" w:space="4"/>
        </w:pBdr>
        <w:spacing w:after="200" w:before="400"/>
      </w:pPr>
      <w:r>
        <w:rPr>
          <w:b/>
          <w:bCs/>
          <w:color w:val="1B1F3B"/>
          <w:sz w:val="32"/>
          <w:szCs w:val="32"/>
        </w:rPr>
        <w:t xml:space="preserve">3. Níveis de Evolução</w:t>
      </w:r>
    </w:p>
    <w:p>
      <w:pPr>
        <w:spacing w:after="160" w:line="300"/>
      </w:pPr>
      <w:r>
        <w:rPr>
          <w:color w:val="222222"/>
          <w:sz w:val="21"/>
          <w:szCs w:val="21"/>
        </w:rPr>
        <w:t xml:space="preserve">Para manter compatibilidade com a linguagem já usada na Artefact, os quatro níveis abaixo espelham o alcance ("Reach") do Tech Grid v4 (Individual → Time/Projeto → Conta/Cliente → Artefact/Mercado) — mas cada nível aqui é definido em termos do que um Analytics Engineer especificamente entrega em cada um dos seis pilares, não de forma genérica.</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6250"/>
      </w:tblGrid>
      <w:tr>
        <w:trPr>
          <w:tblHeader/>
        </w:trPr>
        <w:tc>
          <w:tcPr>
            <w:tcW w:type="dxa" w:w="1900"/>
            <w:shd w:fill="1B1F3B" w:val="clear"/>
            <w:tcMar>
              <w:top w:type="dxa" w:w="80"/>
              <w:left w:type="dxa" w:w="100"/>
              <w:bottom w:type="dxa" w:w="80"/>
              <w:right w:type="dxa" w:w="100"/>
            </w:tcMar>
            <w:vAlign w:val="center"/>
          </w:tcPr>
          <w:p>
            <w:r>
              <w:rPr>
                <w:b/>
                <w:bCs/>
                <w:color w:val="FFFFFF"/>
                <w:sz w:val="19"/>
                <w:szCs w:val="19"/>
              </w:rPr>
              <w:t xml:space="preserve">Nível</w:t>
            </w:r>
          </w:p>
        </w:tc>
        <w:tc>
          <w:tcPr>
            <w:tcW w:type="dxa" w:w="2200"/>
            <w:shd w:fill="1B1F3B" w:val="clear"/>
            <w:tcMar>
              <w:top w:type="dxa" w:w="80"/>
              <w:left w:type="dxa" w:w="100"/>
              <w:bottom w:type="dxa" w:w="80"/>
              <w:right w:type="dxa" w:w="100"/>
            </w:tcMar>
            <w:vAlign w:val="center"/>
          </w:tcPr>
          <w:p>
            <w:r>
              <w:rPr>
                <w:b/>
                <w:bCs/>
                <w:color w:val="FFFFFF"/>
                <w:sz w:val="19"/>
                <w:szCs w:val="19"/>
              </w:rPr>
              <w:t xml:space="preserve">Alcance</w:t>
            </w:r>
          </w:p>
        </w:tc>
        <w:tc>
          <w:tcPr>
            <w:tcW w:type="dxa" w:w="6250"/>
            <w:shd w:fill="1B1F3B" w:val="clear"/>
            <w:tcMar>
              <w:top w:type="dxa" w:w="80"/>
              <w:left w:type="dxa" w:w="100"/>
              <w:bottom w:type="dxa" w:w="80"/>
              <w:right w:type="dxa" w:w="100"/>
            </w:tcMar>
            <w:vAlign w:val="center"/>
          </w:tcPr>
          <w:p>
            <w:r>
              <w:rPr>
                <w:b/>
                <w:bCs/>
                <w:color w:val="FFFFFF"/>
                <w:sz w:val="19"/>
                <w:szCs w:val="19"/>
              </w:rPr>
              <w:t xml:space="preserve">Definição geral</w:t>
            </w:r>
          </w:p>
        </w:tc>
      </w:tr>
      <w:tr>
        <w:tc>
          <w:tcPr>
            <w:tcW w:type="dxa" w:w="1900"/>
            <w:shd w:fill="F2F2F2" w:val="clear"/>
            <w:tcMar>
              <w:top w:type="dxa" w:w="80"/>
              <w:left w:type="dxa" w:w="100"/>
              <w:bottom w:type="dxa" w:w="80"/>
              <w:right w:type="dxa" w:w="100"/>
            </w:tcMar>
            <w:vAlign w:val="center"/>
          </w:tcPr>
          <w:p>
            <w:r>
              <w:rPr>
                <w:b/>
                <w:bCs/>
                <w:sz w:val="19"/>
                <w:szCs w:val="19"/>
              </w:rPr>
              <w:t xml:space="preserve">N1 · Fundação</w:t>
            </w:r>
          </w:p>
        </w:tc>
        <w:tc>
          <w:tcPr>
            <w:tcW w:type="dxa" w:w="2200"/>
            <w:tcMar>
              <w:top w:type="dxa" w:w="80"/>
              <w:left w:type="dxa" w:w="100"/>
              <w:bottom w:type="dxa" w:w="80"/>
              <w:right w:type="dxa" w:w="100"/>
            </w:tcMar>
            <w:vAlign w:val="center"/>
          </w:tcPr>
          <w:p>
            <w:r>
              <w:rPr>
                <w:b w:val="false"/>
                <w:bCs w:val="false"/>
                <w:sz w:val="19"/>
                <w:szCs w:val="19"/>
              </w:rPr>
              <w:t xml:space="preserve">Individual</w:t>
            </w:r>
          </w:p>
        </w:tc>
        <w:tc>
          <w:tcPr>
            <w:tcW w:type="dxa" w:w="6250"/>
            <w:tcMar>
              <w:top w:type="dxa" w:w="80"/>
              <w:left w:type="dxa" w:w="100"/>
              <w:bottom w:type="dxa" w:w="80"/>
              <w:right w:type="dxa" w:w="100"/>
            </w:tcMar>
            <w:vAlign w:val="center"/>
          </w:tcPr>
          <w:p>
            <w:r>
              <w:rPr>
                <w:b w:val="false"/>
                <w:bCs w:val="false"/>
                <w:sz w:val="19"/>
                <w:szCs w:val="19"/>
              </w:rPr>
              <w:t xml:space="preserve">Executa com orientação. Aprende o vocabulário e as ferramentas da disciplina.</w:t>
            </w:r>
          </w:p>
        </w:tc>
      </w:tr>
      <w:tr>
        <w:tc>
          <w:tcPr>
            <w:tcW w:type="dxa" w:w="1900"/>
            <w:shd w:fill="F2F2F2" w:val="clear"/>
            <w:tcMar>
              <w:top w:type="dxa" w:w="80"/>
              <w:left w:type="dxa" w:w="100"/>
              <w:bottom w:type="dxa" w:w="80"/>
              <w:right w:type="dxa" w:w="100"/>
            </w:tcMar>
            <w:vAlign w:val="center"/>
          </w:tcPr>
          <w:p>
            <w:r>
              <w:rPr>
                <w:b/>
                <w:bCs/>
                <w:sz w:val="19"/>
                <w:szCs w:val="19"/>
              </w:rPr>
              <w:t xml:space="preserve">N2 · Autonomia</w:t>
            </w:r>
          </w:p>
        </w:tc>
        <w:tc>
          <w:tcPr>
            <w:tcW w:type="dxa" w:w="2200"/>
            <w:tcMar>
              <w:top w:type="dxa" w:w="80"/>
              <w:left w:type="dxa" w:w="100"/>
              <w:bottom w:type="dxa" w:w="80"/>
              <w:right w:type="dxa" w:w="100"/>
            </w:tcMar>
            <w:vAlign w:val="center"/>
          </w:tcPr>
          <w:p>
            <w:r>
              <w:rPr>
                <w:b w:val="false"/>
                <w:bCs w:val="false"/>
                <w:sz w:val="19"/>
                <w:szCs w:val="19"/>
              </w:rPr>
              <w:t xml:space="preserve">Time / Projeto</w:t>
            </w:r>
          </w:p>
        </w:tc>
        <w:tc>
          <w:tcPr>
            <w:tcW w:type="dxa" w:w="6250"/>
            <w:tcMar>
              <w:top w:type="dxa" w:w="80"/>
              <w:left w:type="dxa" w:w="100"/>
              <w:bottom w:type="dxa" w:w="80"/>
              <w:right w:type="dxa" w:w="100"/>
            </w:tcMar>
            <w:vAlign w:val="center"/>
          </w:tcPr>
          <w:p>
            <w:r>
              <w:rPr>
                <w:b w:val="false"/>
                <w:bCs w:val="false"/>
                <w:sz w:val="19"/>
                <w:szCs w:val="19"/>
              </w:rPr>
              <w:t xml:space="preserve">Entrega sozinho, ponta a ponta, dentro de um projeto ou squad.</w:t>
            </w:r>
          </w:p>
        </w:tc>
      </w:tr>
      <w:tr>
        <w:tc>
          <w:tcPr>
            <w:tcW w:type="dxa" w:w="1900"/>
            <w:shd w:fill="F2F2F2" w:val="clear"/>
            <w:tcMar>
              <w:top w:type="dxa" w:w="80"/>
              <w:left w:type="dxa" w:w="100"/>
              <w:bottom w:type="dxa" w:w="80"/>
              <w:right w:type="dxa" w:w="100"/>
            </w:tcMar>
            <w:vAlign w:val="center"/>
          </w:tcPr>
          <w:p>
            <w:r>
              <w:rPr>
                <w:b/>
                <w:bCs/>
                <w:sz w:val="19"/>
                <w:szCs w:val="19"/>
              </w:rPr>
              <w:t xml:space="preserve">N3 · Referência</w:t>
            </w:r>
          </w:p>
        </w:tc>
        <w:tc>
          <w:tcPr>
            <w:tcW w:type="dxa" w:w="2200"/>
            <w:tcMar>
              <w:top w:type="dxa" w:w="80"/>
              <w:left w:type="dxa" w:w="100"/>
              <w:bottom w:type="dxa" w:w="80"/>
              <w:right w:type="dxa" w:w="100"/>
            </w:tcMar>
            <w:vAlign w:val="center"/>
          </w:tcPr>
          <w:p>
            <w:r>
              <w:rPr>
                <w:b w:val="false"/>
                <w:bCs w:val="false"/>
                <w:sz w:val="19"/>
                <w:szCs w:val="19"/>
              </w:rPr>
              <w:t xml:space="preserve">Conta / Cliente</w:t>
            </w:r>
          </w:p>
        </w:tc>
        <w:tc>
          <w:tcPr>
            <w:tcW w:type="dxa" w:w="6250"/>
            <w:tcMar>
              <w:top w:type="dxa" w:w="80"/>
              <w:left w:type="dxa" w:w="100"/>
              <w:bottom w:type="dxa" w:w="80"/>
              <w:right w:type="dxa" w:w="100"/>
            </w:tcMar>
            <w:vAlign w:val="center"/>
          </w:tcPr>
          <w:p>
            <w:r>
              <w:rPr>
                <w:b w:val="false"/>
                <w:bCs w:val="false"/>
                <w:sz w:val="19"/>
                <w:szCs w:val="19"/>
              </w:rPr>
              <w:t xml:space="preserve">Define padrões, revisa o trabalho de outros, é a referência técnica da conta.</w:t>
            </w:r>
          </w:p>
        </w:tc>
      </w:tr>
      <w:tr>
        <w:tc>
          <w:tcPr>
            <w:tcW w:type="dxa" w:w="1900"/>
            <w:shd w:fill="F2F2F2" w:val="clear"/>
            <w:tcMar>
              <w:top w:type="dxa" w:w="80"/>
              <w:left w:type="dxa" w:w="100"/>
              <w:bottom w:type="dxa" w:w="80"/>
              <w:right w:type="dxa" w:w="100"/>
            </w:tcMar>
            <w:vAlign w:val="center"/>
          </w:tcPr>
          <w:p>
            <w:r>
              <w:rPr>
                <w:b/>
                <w:bCs/>
                <w:sz w:val="19"/>
                <w:szCs w:val="19"/>
              </w:rPr>
              <w:t xml:space="preserve">N4 · Estratégia</w:t>
            </w:r>
          </w:p>
        </w:tc>
        <w:tc>
          <w:tcPr>
            <w:tcW w:type="dxa" w:w="2200"/>
            <w:tcMar>
              <w:top w:type="dxa" w:w="80"/>
              <w:left w:type="dxa" w:w="100"/>
              <w:bottom w:type="dxa" w:w="80"/>
              <w:right w:type="dxa" w:w="100"/>
            </w:tcMar>
            <w:vAlign w:val="center"/>
          </w:tcPr>
          <w:p>
            <w:r>
              <w:rPr>
                <w:b w:val="false"/>
                <w:bCs w:val="false"/>
                <w:sz w:val="19"/>
                <w:szCs w:val="19"/>
              </w:rPr>
              <w:t xml:space="preserve">Artefact / Mercado</w:t>
            </w:r>
          </w:p>
        </w:tc>
        <w:tc>
          <w:tcPr>
            <w:tcW w:type="dxa" w:w="6250"/>
            <w:tcMar>
              <w:top w:type="dxa" w:w="80"/>
              <w:left w:type="dxa" w:w="100"/>
              <w:bottom w:type="dxa" w:w="80"/>
              <w:right w:type="dxa" w:w="100"/>
            </w:tcMar>
            <w:vAlign w:val="center"/>
          </w:tcPr>
          <w:p>
            <w:r>
              <w:rPr>
                <w:b w:val="false"/>
                <w:bCs w:val="false"/>
                <w:sz w:val="19"/>
                <w:szCs w:val="19"/>
              </w:rPr>
              <w:t xml:space="preserve">Define visão multi-conta, representa a Artefact externamente, influencia o mercado.</w:t>
            </w:r>
          </w:p>
        </w:tc>
      </w:tr>
    </w:tbl>
    <w:p>
      <w:pPr>
        <w:spacing w:after="200"/>
      </w:pPr>
    </w:p>
    <w:p>
      <w:pPr>
        <w:pStyle w:val="Heading2"/>
        <w:spacing w:after="160" w:before="320"/>
      </w:pPr>
      <w:r>
        <w:rPr>
          <w:b/>
          <w:bCs/>
          <w:color w:val="1B1F3B"/>
          <w:sz w:val="26"/>
          <w:szCs w:val="26"/>
        </w:rPr>
        <w:t xml:space="preserve">3.1. Matriz de Competências — Pilar × Nível</w:t>
      </w:r>
    </w:p>
    <w:p>
      <w:pPr>
        <w:spacing w:after="160" w:line="300"/>
      </w:pPr>
      <w:r>
        <w:rPr>
          <w:color w:val="222222"/>
          <w:sz w:val="21"/>
          <w:szCs w:val="21"/>
        </w:rPr>
        <w:t xml:space="preserve">Esta é a peça central do framework: o que se espera de um AE em cada pilar, em cada nível.</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200"/>
        <w:gridCol w:w="2050"/>
        <w:gridCol w:w="2050"/>
        <w:gridCol w:w="2050"/>
        <w:gridCol w:w="2000"/>
      </w:tblGrid>
      <w:tr>
        <w:trPr>
          <w:tblHeader/>
        </w:trPr>
        <w:tc>
          <w:tcPr>
            <w:tcW w:type="dxa" w:w="2200"/>
            <w:shd w:fill="1B1F3B" w:val="clear"/>
            <w:tcMar>
              <w:top w:type="dxa" w:w="80"/>
              <w:left w:type="dxa" w:w="100"/>
              <w:bottom w:type="dxa" w:w="80"/>
              <w:right w:type="dxa" w:w="100"/>
            </w:tcMar>
            <w:vAlign w:val="center"/>
          </w:tcPr>
          <w:p>
            <w:r>
              <w:rPr>
                <w:b/>
                <w:bCs/>
                <w:color w:val="FFFFFF"/>
                <w:sz w:val="19"/>
                <w:szCs w:val="19"/>
              </w:rPr>
              <w:t xml:space="preserve">Pilar</w:t>
            </w:r>
          </w:p>
        </w:tc>
        <w:tc>
          <w:tcPr>
            <w:tcW w:type="dxa" w:w="2050"/>
            <w:shd w:fill="1B1F3B" w:val="clear"/>
            <w:tcMar>
              <w:top w:type="dxa" w:w="80"/>
              <w:left w:type="dxa" w:w="100"/>
              <w:bottom w:type="dxa" w:w="80"/>
              <w:right w:type="dxa" w:w="100"/>
            </w:tcMar>
            <w:vAlign w:val="center"/>
          </w:tcPr>
          <w:p>
            <w:r>
              <w:rPr>
                <w:b/>
                <w:bCs/>
                <w:color w:val="FFFFFF"/>
                <w:sz w:val="19"/>
                <w:szCs w:val="19"/>
              </w:rPr>
              <w:t xml:space="preserve">N1 · Fundação</w:t>
            </w:r>
          </w:p>
        </w:tc>
        <w:tc>
          <w:tcPr>
            <w:tcW w:type="dxa" w:w="2050"/>
            <w:shd w:fill="1B1F3B" w:val="clear"/>
            <w:tcMar>
              <w:top w:type="dxa" w:w="80"/>
              <w:left w:type="dxa" w:w="100"/>
              <w:bottom w:type="dxa" w:w="80"/>
              <w:right w:type="dxa" w:w="100"/>
            </w:tcMar>
            <w:vAlign w:val="center"/>
          </w:tcPr>
          <w:p>
            <w:r>
              <w:rPr>
                <w:b/>
                <w:bCs/>
                <w:color w:val="FFFFFF"/>
                <w:sz w:val="19"/>
                <w:szCs w:val="19"/>
              </w:rPr>
              <w:t xml:space="preserve">N2 · Autonomia</w:t>
            </w:r>
          </w:p>
        </w:tc>
        <w:tc>
          <w:tcPr>
            <w:tcW w:type="dxa" w:w="2050"/>
            <w:shd w:fill="1B1F3B" w:val="clear"/>
            <w:tcMar>
              <w:top w:type="dxa" w:w="80"/>
              <w:left w:type="dxa" w:w="100"/>
              <w:bottom w:type="dxa" w:w="80"/>
              <w:right w:type="dxa" w:w="100"/>
            </w:tcMar>
            <w:vAlign w:val="center"/>
          </w:tcPr>
          <w:p>
            <w:r>
              <w:rPr>
                <w:b/>
                <w:bCs/>
                <w:color w:val="FFFFFF"/>
                <w:sz w:val="19"/>
                <w:szCs w:val="19"/>
              </w:rPr>
              <w:t xml:space="preserve">N3 · Referência</w:t>
            </w:r>
          </w:p>
        </w:tc>
        <w:tc>
          <w:tcPr>
            <w:tcW w:type="dxa" w:w="2000"/>
            <w:shd w:fill="1B1F3B" w:val="clear"/>
            <w:tcMar>
              <w:top w:type="dxa" w:w="80"/>
              <w:left w:type="dxa" w:w="100"/>
              <w:bottom w:type="dxa" w:w="80"/>
              <w:right w:type="dxa" w:w="100"/>
            </w:tcMar>
            <w:vAlign w:val="center"/>
          </w:tcPr>
          <w:p>
            <w:r>
              <w:rPr>
                <w:b/>
                <w:bCs/>
                <w:color w:val="FFFFFF"/>
                <w:sz w:val="19"/>
                <w:szCs w:val="19"/>
              </w:rPr>
              <w:t xml:space="preserve">N4 · Estratégia</w:t>
            </w:r>
          </w:p>
        </w:tc>
      </w:tr>
      <w:tr>
        <w:tc>
          <w:tcPr>
            <w:tcW w:type="dxa" w:w="2200"/>
            <w:tcMar>
              <w:top w:type="dxa" w:w="80"/>
              <w:left w:type="dxa" w:w="100"/>
              <w:bottom w:type="dxa" w:w="80"/>
              <w:right w:type="dxa" w:w="100"/>
            </w:tcMar>
            <w:vAlign w:val="center"/>
          </w:tcPr>
          <w:p>
            <w:r>
              <w:rPr>
                <w:b/>
                <w:bCs/>
                <w:color w:val="2E5C8A"/>
                <w:sz w:val="18"/>
                <w:szCs w:val="18"/>
              </w:rPr>
              <w:t xml:space="preserve">1. Modelagem &amp; Transformação</w:t>
            </w:r>
          </w:p>
        </w:tc>
        <w:tc>
          <w:tcPr>
            <w:tcW w:type="dxa" w:w="2050"/>
            <w:tcMar>
              <w:top w:type="dxa" w:w="80"/>
              <w:left w:type="dxa" w:w="100"/>
              <w:bottom w:type="dxa" w:w="80"/>
              <w:right w:type="dxa" w:w="100"/>
            </w:tcMar>
            <w:vAlign w:val="center"/>
          </w:tcPr>
          <w:p>
            <w:r>
              <w:rPr>
                <w:sz w:val="16"/>
                <w:szCs w:val="16"/>
              </w:rPr>
              <w:t xml:space="preserve">Escreve modelos dbt/SQL simples seguindo padrões existentes (staging → mart); entende star schema básico.</w:t>
            </w:r>
          </w:p>
        </w:tc>
        <w:tc>
          <w:tcPr>
            <w:tcW w:type="dxa" w:w="2050"/>
            <w:tcMar>
              <w:top w:type="dxa" w:w="80"/>
              <w:left w:type="dxa" w:w="100"/>
              <w:bottom w:type="dxa" w:w="80"/>
              <w:right w:type="dxa" w:w="100"/>
            </w:tcMar>
            <w:vAlign w:val="center"/>
          </w:tcPr>
          <w:p>
            <w:r>
              <w:rPr>
                <w:sz w:val="16"/>
                <w:szCs w:val="16"/>
              </w:rPr>
              <w:t xml:space="preserve">Projeta modelagens dimensionais completas (fatos/dimensões, SCD tipo 2); domina modelos incrementais e macros dbt.</w:t>
            </w:r>
          </w:p>
        </w:tc>
        <w:tc>
          <w:tcPr>
            <w:tcW w:type="dxa" w:w="2050"/>
            <w:tcMar>
              <w:top w:type="dxa" w:w="80"/>
              <w:left w:type="dxa" w:w="100"/>
              <w:bottom w:type="dxa" w:w="80"/>
              <w:right w:type="dxa" w:w="100"/>
            </w:tcMar>
            <w:vAlign w:val="center"/>
          </w:tcPr>
          <w:p>
            <w:r>
              <w:rPr>
                <w:sz w:val="16"/>
                <w:szCs w:val="16"/>
              </w:rPr>
              <w:t xml:space="preserve">Define a arquitetura de modelagem do projeto (Kimball vs. Data Vault vs. One Big Table); cria frameworks reutilizáveis.</w:t>
            </w:r>
          </w:p>
        </w:tc>
        <w:tc>
          <w:tcPr>
            <w:tcW w:type="dxa" w:w="2000"/>
            <w:tcMar>
              <w:top w:type="dxa" w:w="80"/>
              <w:left w:type="dxa" w:w="100"/>
              <w:bottom w:type="dxa" w:w="80"/>
              <w:right w:type="dxa" w:w="100"/>
            </w:tcMar>
            <w:vAlign w:val="center"/>
          </w:tcPr>
          <w:p>
            <w:r>
              <w:rPr>
                <w:sz w:val="16"/>
                <w:szCs w:val="16"/>
              </w:rPr>
              <w:t xml:space="preserve">Estabelece o padrão de modelagem da Artefact/conta; publica pacotes dbt reutilizáveis; referência de mercado no tema.</w:t>
            </w:r>
          </w:p>
        </w:tc>
      </w:tr>
      <w:tr>
        <w:tc>
          <w:tcPr>
            <w:tcW w:type="dxa" w:w="2200"/>
            <w:tcMar>
              <w:top w:type="dxa" w:w="80"/>
              <w:left w:type="dxa" w:w="100"/>
              <w:bottom w:type="dxa" w:w="80"/>
              <w:right w:type="dxa" w:w="100"/>
            </w:tcMar>
            <w:vAlign w:val="center"/>
          </w:tcPr>
          <w:p>
            <w:r>
              <w:rPr>
                <w:b/>
                <w:bCs/>
                <w:color w:val="6A1B9A"/>
                <w:sz w:val="18"/>
                <w:szCs w:val="18"/>
              </w:rPr>
              <w:t xml:space="preserve">2. Engenharia de Software (DataOps)</w:t>
            </w:r>
          </w:p>
        </w:tc>
        <w:tc>
          <w:tcPr>
            <w:tcW w:type="dxa" w:w="2050"/>
            <w:tcMar>
              <w:top w:type="dxa" w:w="80"/>
              <w:left w:type="dxa" w:w="100"/>
              <w:bottom w:type="dxa" w:w="80"/>
              <w:right w:type="dxa" w:w="100"/>
            </w:tcMar>
            <w:vAlign w:val="center"/>
          </w:tcPr>
          <w:p>
            <w:r>
              <w:rPr>
                <w:sz w:val="16"/>
                <w:szCs w:val="16"/>
              </w:rPr>
              <w:t xml:space="preserve">Usa Git com supervisão (branch, PR); escreve testes simples (not_null, unique, relationships).</w:t>
            </w:r>
          </w:p>
        </w:tc>
        <w:tc>
          <w:tcPr>
            <w:tcW w:type="dxa" w:w="2050"/>
            <w:tcMar>
              <w:top w:type="dxa" w:w="80"/>
              <w:left w:type="dxa" w:w="100"/>
              <w:bottom w:type="dxa" w:w="80"/>
              <w:right w:type="dxa" w:w="100"/>
            </w:tcMar>
            <w:vAlign w:val="center"/>
          </w:tcPr>
          <w:p>
            <w:r>
              <w:rPr>
                <w:sz w:val="16"/>
                <w:szCs w:val="16"/>
              </w:rPr>
              <w:t xml:space="preserve">Desenha pipelines de CI/CD para dados; implementa testes customizados e monitoramento de qualidade.</w:t>
            </w:r>
          </w:p>
        </w:tc>
        <w:tc>
          <w:tcPr>
            <w:tcW w:type="dxa" w:w="2050"/>
            <w:tcMar>
              <w:top w:type="dxa" w:w="80"/>
              <w:left w:type="dxa" w:w="100"/>
              <w:bottom w:type="dxa" w:w="80"/>
              <w:right w:type="dxa" w:w="100"/>
            </w:tcMar>
            <w:vAlign w:val="center"/>
          </w:tcPr>
          <w:p>
            <w:r>
              <w:rPr>
                <w:sz w:val="16"/>
                <w:szCs w:val="16"/>
              </w:rPr>
              <w:t xml:space="preserve">Define estratégia de branching/CI-CD multi-projeto; lidera troubleshooting avançado; implementa lineage automatizado.</w:t>
            </w:r>
          </w:p>
        </w:tc>
        <w:tc>
          <w:tcPr>
            <w:tcW w:type="dxa" w:w="2000"/>
            <w:tcMar>
              <w:top w:type="dxa" w:w="80"/>
              <w:left w:type="dxa" w:w="100"/>
              <w:bottom w:type="dxa" w:w="80"/>
              <w:right w:type="dxa" w:w="100"/>
            </w:tcMar>
            <w:vAlign w:val="center"/>
          </w:tcPr>
          <w:p>
            <w:r>
              <w:rPr>
                <w:sz w:val="16"/>
                <w:szCs w:val="16"/>
              </w:rPr>
              <w:t xml:space="preserve">Estabelece práticas de DataOps em nível de empresa; contribui com ferramentas open-source do ecossistema.</w:t>
            </w:r>
          </w:p>
        </w:tc>
      </w:tr>
      <w:tr>
        <w:tc>
          <w:tcPr>
            <w:tcW w:type="dxa" w:w="2200"/>
            <w:tcMar>
              <w:top w:type="dxa" w:w="80"/>
              <w:left w:type="dxa" w:w="100"/>
              <w:bottom w:type="dxa" w:w="80"/>
              <w:right w:type="dxa" w:w="100"/>
            </w:tcMar>
            <w:vAlign w:val="center"/>
          </w:tcPr>
          <w:p>
            <w:r>
              <w:rPr>
                <w:b/>
                <w:bCs/>
                <w:color w:val="00695C"/>
                <w:sz w:val="18"/>
                <w:szCs w:val="18"/>
              </w:rPr>
              <w:t xml:space="preserve">3. Arquitetura &amp; Plataforma</w:t>
            </w:r>
          </w:p>
        </w:tc>
        <w:tc>
          <w:tcPr>
            <w:tcW w:type="dxa" w:w="2050"/>
            <w:tcMar>
              <w:top w:type="dxa" w:w="80"/>
              <w:left w:type="dxa" w:w="100"/>
              <w:bottom w:type="dxa" w:w="80"/>
              <w:right w:type="dxa" w:w="100"/>
            </w:tcMar>
            <w:vAlign w:val="center"/>
          </w:tcPr>
          <w:p>
            <w:r>
              <w:rPr>
                <w:sz w:val="16"/>
                <w:szCs w:val="16"/>
              </w:rPr>
              <w:t xml:space="preserve">Entende medallion architecture (bronze/silver/gold); navega o warehouse do projeto (Snowflake/BigQuery/Databricks).</w:t>
            </w:r>
          </w:p>
        </w:tc>
        <w:tc>
          <w:tcPr>
            <w:tcW w:type="dxa" w:w="2050"/>
            <w:tcMar>
              <w:top w:type="dxa" w:w="80"/>
              <w:left w:type="dxa" w:w="100"/>
              <w:bottom w:type="dxa" w:w="80"/>
              <w:right w:type="dxa" w:w="100"/>
            </w:tcMar>
            <w:vAlign w:val="center"/>
          </w:tcPr>
          <w:p>
            <w:r>
              <w:rPr>
                <w:sz w:val="16"/>
                <w:szCs w:val="16"/>
              </w:rPr>
              <w:t xml:space="preserve">Otimiza performance e custo (particionamento, clustering); integra ferramentas de ingestão e orquestração básica.</w:t>
            </w:r>
          </w:p>
        </w:tc>
        <w:tc>
          <w:tcPr>
            <w:tcW w:type="dxa" w:w="2050"/>
            <w:tcMar>
              <w:top w:type="dxa" w:w="80"/>
              <w:left w:type="dxa" w:w="100"/>
              <w:bottom w:type="dxa" w:w="80"/>
              <w:right w:type="dxa" w:w="100"/>
            </w:tcMar>
            <w:vAlign w:val="center"/>
          </w:tcPr>
          <w:p>
            <w:r>
              <w:rPr>
                <w:sz w:val="16"/>
                <w:szCs w:val="16"/>
              </w:rPr>
              <w:t xml:space="preserve">Desenha arquiteturas em escala enterprise; implementa camada semântica (dbt Semantic Layer/Cube) como fonte única de métricas.</w:t>
            </w:r>
          </w:p>
        </w:tc>
        <w:tc>
          <w:tcPr>
            <w:tcW w:type="dxa" w:w="2000"/>
            <w:tcMar>
              <w:top w:type="dxa" w:w="80"/>
              <w:left w:type="dxa" w:w="100"/>
              <w:bottom w:type="dxa" w:w="80"/>
              <w:right w:type="dxa" w:w="100"/>
            </w:tcMar>
            <w:vAlign w:val="center"/>
          </w:tcPr>
          <w:p>
            <w:r>
              <w:rPr>
                <w:sz w:val="16"/>
                <w:szCs w:val="16"/>
              </w:rPr>
              <w:t xml:space="preserve">Define visão de plataforma de dados multi-conta; avalia e introduz novas tecnologias no ecossistema Artefact.</w:t>
            </w:r>
          </w:p>
        </w:tc>
      </w:tr>
      <w:tr>
        <w:tc>
          <w:tcPr>
            <w:tcW w:type="dxa" w:w="2200"/>
            <w:tcMar>
              <w:top w:type="dxa" w:w="80"/>
              <w:left w:type="dxa" w:w="100"/>
              <w:bottom w:type="dxa" w:w="80"/>
              <w:right w:type="dxa" w:w="100"/>
            </w:tcMar>
            <w:vAlign w:val="center"/>
          </w:tcPr>
          <w:p>
            <w:r>
              <w:rPr>
                <w:b/>
                <w:bCs/>
                <w:color w:val="C6398E"/>
                <w:sz w:val="18"/>
                <w:szCs w:val="18"/>
              </w:rPr>
              <w:t xml:space="preserve">4. Visualização &amp; Dado como Produto</w:t>
            </w:r>
          </w:p>
        </w:tc>
        <w:tc>
          <w:tcPr>
            <w:tcW w:type="dxa" w:w="2050"/>
            <w:tcMar>
              <w:top w:type="dxa" w:w="80"/>
              <w:left w:type="dxa" w:w="100"/>
              <w:bottom w:type="dxa" w:w="80"/>
              <w:right w:type="dxa" w:w="100"/>
            </w:tcMar>
            <w:vAlign w:val="center"/>
          </w:tcPr>
          <w:p>
            <w:r>
              <w:rPr>
                <w:sz w:val="16"/>
                <w:szCs w:val="16"/>
              </w:rPr>
              <w:t xml:space="preserve">Constrói dashboards funcionais que respondem à pergunta de negócio; aplica boas práticas visuais básicas.</w:t>
            </w:r>
          </w:p>
        </w:tc>
        <w:tc>
          <w:tcPr>
            <w:tcW w:type="dxa" w:w="2050"/>
            <w:tcMar>
              <w:top w:type="dxa" w:w="80"/>
              <w:left w:type="dxa" w:w="100"/>
              <w:bottom w:type="dxa" w:w="80"/>
              <w:right w:type="dxa" w:w="100"/>
            </w:tcMar>
            <w:vAlign w:val="center"/>
          </w:tcPr>
          <w:p>
            <w:r>
              <w:rPr>
                <w:sz w:val="16"/>
                <w:szCs w:val="16"/>
              </w:rPr>
              <w:t xml:space="preserve">Aplica product thinking (dono, SLA, roadmap do dataset); implementa interatividade avançada (DAX/LOD).</w:t>
            </w:r>
          </w:p>
        </w:tc>
        <w:tc>
          <w:tcPr>
            <w:tcW w:type="dxa" w:w="2050"/>
            <w:tcMar>
              <w:top w:type="dxa" w:w="80"/>
              <w:left w:type="dxa" w:w="100"/>
              <w:bottom w:type="dxa" w:w="80"/>
              <w:right w:type="dxa" w:w="100"/>
            </w:tcMar>
            <w:vAlign w:val="center"/>
          </w:tcPr>
          <w:p>
            <w:r>
              <w:rPr>
                <w:sz w:val="16"/>
                <w:szCs w:val="16"/>
              </w:rPr>
              <w:t xml:space="preserve">Lidera discovery sessions; define frameworks de governança de dashboards; storytelling avançado para liderança.</w:t>
            </w:r>
          </w:p>
        </w:tc>
        <w:tc>
          <w:tcPr>
            <w:tcW w:type="dxa" w:w="2000"/>
            <w:tcMar>
              <w:top w:type="dxa" w:w="80"/>
              <w:left w:type="dxa" w:w="100"/>
              <w:bottom w:type="dxa" w:w="80"/>
              <w:right w:type="dxa" w:w="100"/>
            </w:tcMar>
            <w:vAlign w:val="center"/>
          </w:tcPr>
          <w:p>
            <w:r>
              <w:rPr>
                <w:sz w:val="16"/>
                <w:szCs w:val="16"/>
              </w:rPr>
              <w:t xml:space="preserve">Cria a visão de "Data Product" da Artefact; é referência de mercado em BI/Analytics.</w:t>
            </w:r>
          </w:p>
        </w:tc>
      </w:tr>
      <w:tr>
        <w:tc>
          <w:tcPr>
            <w:tcW w:type="dxa" w:w="2200"/>
            <w:tcMar>
              <w:top w:type="dxa" w:w="80"/>
              <w:left w:type="dxa" w:w="100"/>
              <w:bottom w:type="dxa" w:w="80"/>
              <w:right w:type="dxa" w:w="100"/>
            </w:tcMar>
            <w:vAlign w:val="center"/>
          </w:tcPr>
          <w:p>
            <w:r>
              <w:rPr>
                <w:b/>
                <w:bCs/>
                <w:color w:val="E65100"/>
                <w:sz w:val="18"/>
                <w:szCs w:val="18"/>
              </w:rPr>
              <w:t xml:space="preserve">5. IA Generativa Aplicada</w:t>
            </w:r>
          </w:p>
        </w:tc>
        <w:tc>
          <w:tcPr>
            <w:tcW w:type="dxa" w:w="2050"/>
            <w:tcMar>
              <w:top w:type="dxa" w:w="80"/>
              <w:left w:type="dxa" w:w="100"/>
              <w:bottom w:type="dxa" w:w="80"/>
              <w:right w:type="dxa" w:w="100"/>
            </w:tcMar>
            <w:vAlign w:val="center"/>
          </w:tcPr>
          <w:p>
            <w:r>
              <w:rPr>
                <w:sz w:val="16"/>
                <w:szCs w:val="16"/>
              </w:rPr>
              <w:t xml:space="preserve">Usa LLMs via API/copilots para acelerar tarefas (documentação, geração de SQL), sempre com revisão humana.</w:t>
            </w:r>
          </w:p>
        </w:tc>
        <w:tc>
          <w:tcPr>
            <w:tcW w:type="dxa" w:w="2050"/>
            <w:tcMar>
              <w:top w:type="dxa" w:w="80"/>
              <w:left w:type="dxa" w:w="100"/>
              <w:bottom w:type="dxa" w:w="80"/>
              <w:right w:type="dxa" w:w="100"/>
            </w:tcMar>
            <w:vAlign w:val="center"/>
          </w:tcPr>
          <w:p>
            <w:r>
              <w:rPr>
                <w:sz w:val="16"/>
                <w:szCs w:val="16"/>
              </w:rPr>
              <w:t xml:space="preserve">Constrói componentes de GenAI no fluxo analítico (RAG sobre o catálogo de dados, agentes simples); gerencia custo/latência.</w:t>
            </w:r>
          </w:p>
        </w:tc>
        <w:tc>
          <w:tcPr>
            <w:tcW w:type="dxa" w:w="2050"/>
            <w:tcMar>
              <w:top w:type="dxa" w:w="80"/>
              <w:left w:type="dxa" w:w="100"/>
              <w:bottom w:type="dxa" w:w="80"/>
              <w:right w:type="dxa" w:w="100"/>
            </w:tcMar>
            <w:vAlign w:val="center"/>
          </w:tcPr>
          <w:p>
            <w:r>
              <w:rPr>
                <w:sz w:val="16"/>
                <w:szCs w:val="16"/>
              </w:rPr>
              <w:t xml:space="preserve">Desenha arquiteturas de Augmented BI (camada semântica + agentes) ponta a ponta; define governança e guardrails.</w:t>
            </w:r>
          </w:p>
        </w:tc>
        <w:tc>
          <w:tcPr>
            <w:tcW w:type="dxa" w:w="2000"/>
            <w:tcMar>
              <w:top w:type="dxa" w:w="80"/>
              <w:left w:type="dxa" w:w="100"/>
              <w:bottom w:type="dxa" w:w="80"/>
              <w:right w:type="dxa" w:w="100"/>
            </w:tcMar>
            <w:vAlign w:val="center"/>
          </w:tcPr>
          <w:p>
            <w:r>
              <w:rPr>
                <w:sz w:val="16"/>
                <w:szCs w:val="16"/>
              </w:rPr>
              <w:t xml:space="preserve">Define a visão e o roadmap de GenAI aplicada a analytics para contas/região; representa a Artefact externamente no tema.</w:t>
            </w:r>
          </w:p>
        </w:tc>
      </w:tr>
      <w:tr>
        <w:tc>
          <w:tcPr>
            <w:tcW w:type="dxa" w:w="2200"/>
            <w:tcMar>
              <w:top w:type="dxa" w:w="80"/>
              <w:left w:type="dxa" w:w="100"/>
              <w:bottom w:type="dxa" w:w="80"/>
              <w:right w:type="dxa" w:w="100"/>
            </w:tcMar>
            <w:vAlign w:val="center"/>
          </w:tcPr>
          <w:p>
            <w:r>
              <w:rPr>
                <w:b/>
                <w:bCs/>
                <w:color w:val="37474F"/>
                <w:sz w:val="18"/>
                <w:szCs w:val="18"/>
              </w:rPr>
              <w:t xml:space="preserve">6. Negócio, Comunicação &amp; Liderança</w:t>
            </w:r>
          </w:p>
        </w:tc>
        <w:tc>
          <w:tcPr>
            <w:tcW w:type="dxa" w:w="2050"/>
            <w:tcMar>
              <w:top w:type="dxa" w:w="80"/>
              <w:left w:type="dxa" w:w="100"/>
              <w:bottom w:type="dxa" w:w="80"/>
              <w:right w:type="dxa" w:w="100"/>
            </w:tcMar>
            <w:vAlign w:val="center"/>
          </w:tcPr>
          <w:p>
            <w:r>
              <w:rPr>
                <w:sz w:val="16"/>
                <w:szCs w:val="16"/>
              </w:rPr>
              <w:t xml:space="preserve">Estrutura problemas simples com MECE; comunica com clareza no time e com o cliente.</w:t>
            </w:r>
          </w:p>
        </w:tc>
        <w:tc>
          <w:tcPr>
            <w:tcW w:type="dxa" w:w="2050"/>
            <w:tcMar>
              <w:top w:type="dxa" w:w="80"/>
              <w:left w:type="dxa" w:w="100"/>
              <w:bottom w:type="dxa" w:w="80"/>
              <w:right w:type="dxa" w:w="100"/>
            </w:tcMar>
            <w:vAlign w:val="center"/>
          </w:tcPr>
          <w:p>
            <w:r>
              <w:rPr>
                <w:sz w:val="16"/>
                <w:szCs w:val="16"/>
              </w:rPr>
              <w:t xml:space="preserve">Traduz ambiguidade em hipóteses testáveis; conduz workshops e apresenta com autonomia.</w:t>
            </w:r>
          </w:p>
        </w:tc>
        <w:tc>
          <w:tcPr>
            <w:tcW w:type="dxa" w:w="2050"/>
            <w:tcMar>
              <w:top w:type="dxa" w:w="80"/>
              <w:left w:type="dxa" w:w="100"/>
              <w:bottom w:type="dxa" w:w="80"/>
              <w:right w:type="dxa" w:w="100"/>
            </w:tcMar>
            <w:vAlign w:val="center"/>
          </w:tcPr>
          <w:p>
            <w:r>
              <w:rPr>
                <w:sz w:val="16"/>
                <w:szCs w:val="16"/>
              </w:rPr>
              <w:t xml:space="preserve">Mentora AEs juniores; escreve RFCs/ADRs; é a referência técnica da conta.</w:t>
            </w:r>
          </w:p>
        </w:tc>
        <w:tc>
          <w:tcPr>
            <w:tcW w:type="dxa" w:w="2000"/>
            <w:tcMar>
              <w:top w:type="dxa" w:w="80"/>
              <w:left w:type="dxa" w:w="100"/>
              <w:bottom w:type="dxa" w:w="80"/>
              <w:right w:type="dxa" w:w="100"/>
            </w:tcMar>
            <w:vAlign w:val="center"/>
          </w:tcPr>
          <w:p>
            <w:r>
              <w:rPr>
                <w:sz w:val="16"/>
                <w:szCs w:val="16"/>
              </w:rPr>
              <w:t xml:space="preserve">Define estratégia técnica multi-conta; contribui para a comunidade (artigos, palestras, open source).</w:t>
            </w:r>
          </w:p>
        </w:tc>
      </w:tr>
    </w:tbl>
    <w:p>
      <w:r>
        <w:br w:type="page"/>
      </w:r>
    </w:p>
    <w:p>
      <w:pPr>
        <w:pStyle w:val="Heading1"/>
        <w:pBdr>
          <w:bottom w:val="single" w:color="C6398E" w:sz="12" w:space="4"/>
        </w:pBdr>
        <w:spacing w:after="200" w:before="400"/>
      </w:pPr>
      <w:r>
        <w:rPr>
          <w:b/>
          <w:bCs/>
          <w:color w:val="1B1F3B"/>
          <w:sz w:val="32"/>
          <w:szCs w:val="32"/>
        </w:rPr>
        <w:t xml:space="preserve">4. Sequência de Aprendizado — Roadmap de 24 Meses</w:t>
      </w:r>
    </w:p>
    <w:p>
      <w:pPr>
        <w:spacing w:after="160" w:line="300"/>
      </w:pPr>
      <w:r>
        <w:rPr>
          <w:color w:val="222222"/>
          <w:sz w:val="21"/>
          <w:szCs w:val="21"/>
        </w:rPr>
        <w:t xml:space="preserve">Diferente de uma lista de cursos por skill, a sequência abaixo é desenhada como um programa: alterna estudo, prática aplicada e rituais de comunidade, e propõe quando cada pilar deve ganhar profundidade — não todos de uma vez.</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200"/>
        <w:gridCol w:w="4650"/>
      </w:tblGrid>
      <w:tr>
        <w:trPr>
          <w:tblHeader/>
        </w:trPr>
        <w:tc>
          <w:tcPr>
            <w:tcW w:type="dxa" w:w="1100"/>
            <w:shd w:fill="1B1F3B" w:val="clear"/>
            <w:tcMar>
              <w:top w:type="dxa" w:w="80"/>
              <w:left w:type="dxa" w:w="100"/>
              <w:bottom w:type="dxa" w:w="80"/>
              <w:right w:type="dxa" w:w="100"/>
            </w:tcMar>
            <w:vAlign w:val="center"/>
          </w:tcPr>
          <w:p>
            <w:r>
              <w:rPr>
                <w:b/>
                <w:bCs/>
                <w:color w:val="FFFFFF"/>
                <w:sz w:val="19"/>
                <w:szCs w:val="19"/>
              </w:rPr>
              <w:t xml:space="preserve">Etapa</w:t>
            </w:r>
          </w:p>
        </w:tc>
        <w:tc>
          <w:tcPr>
            <w:tcW w:type="dxa" w:w="1400"/>
            <w:shd w:fill="1B1F3B" w:val="clear"/>
            <w:tcMar>
              <w:top w:type="dxa" w:w="80"/>
              <w:left w:type="dxa" w:w="100"/>
              <w:bottom w:type="dxa" w:w="80"/>
              <w:right w:type="dxa" w:w="100"/>
            </w:tcMar>
            <w:vAlign w:val="center"/>
          </w:tcPr>
          <w:p>
            <w:r>
              <w:rPr>
                <w:b/>
                <w:bCs/>
                <w:color w:val="FFFFFF"/>
                <w:sz w:val="19"/>
                <w:szCs w:val="19"/>
              </w:rPr>
              <w:t xml:space="preserve">Quando</w:t>
            </w:r>
          </w:p>
        </w:tc>
        <w:tc>
          <w:tcPr>
            <w:tcW w:type="dxa" w:w="3200"/>
            <w:shd w:fill="1B1F3B" w:val="clear"/>
            <w:tcMar>
              <w:top w:type="dxa" w:w="80"/>
              <w:left w:type="dxa" w:w="100"/>
              <w:bottom w:type="dxa" w:w="80"/>
              <w:right w:type="dxa" w:w="100"/>
            </w:tcMar>
            <w:vAlign w:val="center"/>
          </w:tcPr>
          <w:p>
            <w:r>
              <w:rPr>
                <w:b/>
                <w:bCs/>
                <w:color w:val="FFFFFF"/>
                <w:sz w:val="19"/>
                <w:szCs w:val="19"/>
              </w:rPr>
              <w:t xml:space="preserve">Foco</w:t>
            </w:r>
          </w:p>
        </w:tc>
        <w:tc>
          <w:tcPr>
            <w:tcW w:type="dxa" w:w="4650"/>
            <w:shd w:fill="1B1F3B" w:val="clear"/>
            <w:tcMar>
              <w:top w:type="dxa" w:w="80"/>
              <w:left w:type="dxa" w:w="100"/>
              <w:bottom w:type="dxa" w:w="80"/>
              <w:right w:type="dxa" w:w="100"/>
            </w:tcMar>
            <w:vAlign w:val="center"/>
          </w:tcPr>
          <w:p>
            <w:r>
              <w:rPr>
                <w:b/>
                <w:bCs/>
                <w:color w:val="FFFFFF"/>
                <w:sz w:val="19"/>
                <w:szCs w:val="19"/>
              </w:rPr>
              <w:t xml:space="preserve">Critério de saída</w:t>
            </w:r>
          </w:p>
        </w:tc>
      </w:tr>
      <w:tr>
        <w:tc>
          <w:tcPr>
            <w:tcW w:type="dxa" w:w="1100"/>
            <w:tcMar>
              <w:top w:type="dxa" w:w="80"/>
              <w:left w:type="dxa" w:w="100"/>
              <w:bottom w:type="dxa" w:w="80"/>
              <w:right w:type="dxa" w:w="100"/>
            </w:tcMar>
            <w:vAlign w:val="center"/>
          </w:tcPr>
          <w:p>
            <w:r>
              <w:rPr>
                <w:b/>
                <w:bCs/>
                <w:sz w:val="19"/>
                <w:szCs w:val="19"/>
              </w:rPr>
              <w:t xml:space="preserve">Sprint 0</w:t>
            </w:r>
          </w:p>
        </w:tc>
        <w:tc>
          <w:tcPr>
            <w:tcW w:type="dxa" w:w="1400"/>
            <w:tcMar>
              <w:top w:type="dxa" w:w="80"/>
              <w:left w:type="dxa" w:w="100"/>
              <w:bottom w:type="dxa" w:w="80"/>
              <w:right w:type="dxa" w:w="100"/>
            </w:tcMar>
            <w:vAlign w:val="center"/>
          </w:tcPr>
          <w:p>
            <w:r>
              <w:rPr>
                <w:b w:val="false"/>
                <w:bCs w:val="false"/>
                <w:sz w:val="19"/>
                <w:szCs w:val="19"/>
              </w:rPr>
              <w:t xml:space="preserve">Semanas 1–4</w:t>
            </w:r>
          </w:p>
        </w:tc>
        <w:tc>
          <w:tcPr>
            <w:tcW w:type="dxa" w:w="3200"/>
            <w:tcMar>
              <w:top w:type="dxa" w:w="80"/>
              <w:left w:type="dxa" w:w="100"/>
              <w:bottom w:type="dxa" w:w="80"/>
              <w:right w:type="dxa" w:w="100"/>
            </w:tcMar>
            <w:vAlign w:val="center"/>
          </w:tcPr>
          <w:p>
            <w:r>
              <w:rPr>
                <w:b w:val="false"/>
                <w:bCs w:val="false"/>
                <w:sz w:val="19"/>
                <w:szCs w:val="19"/>
              </w:rPr>
              <w:t xml:space="preserve">Fundação institucional + setup</w:t>
            </w:r>
          </w:p>
        </w:tc>
        <w:tc>
          <w:tcPr>
            <w:tcW w:type="dxa" w:w="4650"/>
            <w:tcMar>
              <w:top w:type="dxa" w:w="80"/>
              <w:left w:type="dxa" w:w="100"/>
              <w:bottom w:type="dxa" w:w="80"/>
              <w:right w:type="dxa" w:w="100"/>
            </w:tcMar>
            <w:vAlign w:val="center"/>
          </w:tcPr>
          <w:p>
            <w:r>
              <w:rPr>
                <w:b w:val="false"/>
                <w:bCs w:val="false"/>
                <w:sz w:val="19"/>
                <w:szCs w:val="19"/>
              </w:rPr>
              <w:t xml:space="preserve">Ambiente de dados configurado (acesso a warehouse, dbt, Git, BI); primeiro modelo dbt "hello world" revisado por um par.</w:t>
            </w:r>
          </w:p>
        </w:tc>
      </w:tr>
      <w:tr>
        <w:tc>
          <w:tcPr>
            <w:tcW w:type="dxa" w:w="1100"/>
            <w:tcMar>
              <w:top w:type="dxa" w:w="80"/>
              <w:left w:type="dxa" w:w="100"/>
              <w:bottom w:type="dxa" w:w="80"/>
              <w:right w:type="dxa" w:w="100"/>
            </w:tcMar>
            <w:vAlign w:val="center"/>
          </w:tcPr>
          <w:p>
            <w:r>
              <w:rPr>
                <w:b/>
                <w:bCs/>
                <w:sz w:val="19"/>
                <w:szCs w:val="19"/>
              </w:rPr>
              <w:t xml:space="preserve">Fase 1</w:t>
            </w:r>
          </w:p>
        </w:tc>
        <w:tc>
          <w:tcPr>
            <w:tcW w:type="dxa" w:w="1400"/>
            <w:tcMar>
              <w:top w:type="dxa" w:w="80"/>
              <w:left w:type="dxa" w:w="100"/>
              <w:bottom w:type="dxa" w:w="80"/>
              <w:right w:type="dxa" w:w="100"/>
            </w:tcMar>
            <w:vAlign w:val="center"/>
          </w:tcPr>
          <w:p>
            <w:r>
              <w:rPr>
                <w:b w:val="false"/>
                <w:bCs w:val="false"/>
                <w:sz w:val="19"/>
                <w:szCs w:val="19"/>
              </w:rPr>
              <w:t xml:space="preserve">Meses 1–3</w:t>
            </w:r>
          </w:p>
        </w:tc>
        <w:tc>
          <w:tcPr>
            <w:tcW w:type="dxa" w:w="3200"/>
            <w:tcMar>
              <w:top w:type="dxa" w:w="80"/>
              <w:left w:type="dxa" w:w="100"/>
              <w:bottom w:type="dxa" w:w="80"/>
              <w:right w:type="dxa" w:w="100"/>
            </w:tcMar>
            <w:vAlign w:val="center"/>
          </w:tcPr>
          <w:p>
            <w:r>
              <w:rPr>
                <w:b w:val="false"/>
                <w:bCs w:val="false"/>
                <w:sz w:val="19"/>
                <w:szCs w:val="19"/>
              </w:rPr>
              <w:t xml:space="preserve">Pilares 1 e 4 (base) + Pilar 6 (base)</w:t>
            </w:r>
          </w:p>
        </w:tc>
        <w:tc>
          <w:tcPr>
            <w:tcW w:type="dxa" w:w="4650"/>
            <w:tcMar>
              <w:top w:type="dxa" w:w="80"/>
              <w:left w:type="dxa" w:w="100"/>
              <w:bottom w:type="dxa" w:w="80"/>
              <w:right w:type="dxa" w:w="100"/>
            </w:tcMar>
            <w:vAlign w:val="center"/>
          </w:tcPr>
          <w:p>
            <w:r>
              <w:rPr>
                <w:b w:val="false"/>
                <w:bCs w:val="false"/>
                <w:sz w:val="19"/>
                <w:szCs w:val="19"/>
              </w:rPr>
              <w:t xml:space="preserve">Modela um mart dimensional simples e entrega um dashboard funcional para uma pergunta de negócio real, com mentoria ativa.</w:t>
            </w:r>
          </w:p>
        </w:tc>
      </w:tr>
      <w:tr>
        <w:tc>
          <w:tcPr>
            <w:tcW w:type="dxa" w:w="1100"/>
            <w:tcMar>
              <w:top w:type="dxa" w:w="80"/>
              <w:left w:type="dxa" w:w="100"/>
              <w:bottom w:type="dxa" w:w="80"/>
              <w:right w:type="dxa" w:w="100"/>
            </w:tcMar>
            <w:vAlign w:val="center"/>
          </w:tcPr>
          <w:p>
            <w:r>
              <w:rPr>
                <w:b/>
                <w:bCs/>
                <w:sz w:val="19"/>
                <w:szCs w:val="19"/>
              </w:rPr>
              <w:t xml:space="preserve">Fase 2</w:t>
            </w:r>
          </w:p>
        </w:tc>
        <w:tc>
          <w:tcPr>
            <w:tcW w:type="dxa" w:w="1400"/>
            <w:tcMar>
              <w:top w:type="dxa" w:w="80"/>
              <w:left w:type="dxa" w:w="100"/>
              <w:bottom w:type="dxa" w:w="80"/>
              <w:right w:type="dxa" w:w="100"/>
            </w:tcMar>
            <w:vAlign w:val="center"/>
          </w:tcPr>
          <w:p>
            <w:r>
              <w:rPr>
                <w:b w:val="false"/>
                <w:bCs w:val="false"/>
                <w:sz w:val="19"/>
                <w:szCs w:val="19"/>
              </w:rPr>
              <w:t xml:space="preserve">Meses 3–6</w:t>
            </w:r>
          </w:p>
        </w:tc>
        <w:tc>
          <w:tcPr>
            <w:tcW w:type="dxa" w:w="3200"/>
            <w:tcMar>
              <w:top w:type="dxa" w:w="80"/>
              <w:left w:type="dxa" w:w="100"/>
              <w:bottom w:type="dxa" w:w="80"/>
              <w:right w:type="dxa" w:w="100"/>
            </w:tcMar>
            <w:vAlign w:val="center"/>
          </w:tcPr>
          <w:p>
            <w:r>
              <w:rPr>
                <w:b w:val="false"/>
                <w:bCs w:val="false"/>
                <w:sz w:val="19"/>
                <w:szCs w:val="19"/>
              </w:rPr>
              <w:t xml:space="preserve">Pilar 2 (DataOps) + Pilar 1 (aprofundado)</w:t>
            </w:r>
          </w:p>
        </w:tc>
        <w:tc>
          <w:tcPr>
            <w:tcW w:type="dxa" w:w="4650"/>
            <w:tcMar>
              <w:top w:type="dxa" w:w="80"/>
              <w:left w:type="dxa" w:w="100"/>
              <w:bottom w:type="dxa" w:w="80"/>
              <w:right w:type="dxa" w:w="100"/>
            </w:tcMar>
            <w:vAlign w:val="center"/>
          </w:tcPr>
          <w:p>
            <w:r>
              <w:rPr>
                <w:b w:val="false"/>
                <w:bCs w:val="false"/>
                <w:sz w:val="19"/>
                <w:szCs w:val="19"/>
              </w:rPr>
              <w:t xml:space="preserve">Entrega, sozinho, um pipeline com testes automatizados e CI/CD básico; participa de pelo menos 2 code reviews como revisor.</w:t>
            </w:r>
          </w:p>
        </w:tc>
      </w:tr>
      <w:tr>
        <w:tc>
          <w:tcPr>
            <w:tcW w:type="dxa" w:w="1100"/>
            <w:tcMar>
              <w:top w:type="dxa" w:w="80"/>
              <w:left w:type="dxa" w:w="100"/>
              <w:bottom w:type="dxa" w:w="80"/>
              <w:right w:type="dxa" w:w="100"/>
            </w:tcMar>
            <w:vAlign w:val="center"/>
          </w:tcPr>
          <w:p>
            <w:r>
              <w:rPr>
                <w:b/>
                <w:bCs/>
                <w:sz w:val="19"/>
                <w:szCs w:val="19"/>
              </w:rPr>
              <w:t xml:space="preserve">Fase 3</w:t>
            </w:r>
          </w:p>
        </w:tc>
        <w:tc>
          <w:tcPr>
            <w:tcW w:type="dxa" w:w="1400"/>
            <w:tcMar>
              <w:top w:type="dxa" w:w="80"/>
              <w:left w:type="dxa" w:w="100"/>
              <w:bottom w:type="dxa" w:w="80"/>
              <w:right w:type="dxa" w:w="100"/>
            </w:tcMar>
            <w:vAlign w:val="center"/>
          </w:tcPr>
          <w:p>
            <w:r>
              <w:rPr>
                <w:b w:val="false"/>
                <w:bCs w:val="false"/>
                <w:sz w:val="19"/>
                <w:szCs w:val="19"/>
              </w:rPr>
              <w:t xml:space="preserve">Meses 6–12</w:t>
            </w:r>
          </w:p>
        </w:tc>
        <w:tc>
          <w:tcPr>
            <w:tcW w:type="dxa" w:w="3200"/>
            <w:tcMar>
              <w:top w:type="dxa" w:w="80"/>
              <w:left w:type="dxa" w:w="100"/>
              <w:bottom w:type="dxa" w:w="80"/>
              <w:right w:type="dxa" w:w="100"/>
            </w:tcMar>
            <w:vAlign w:val="center"/>
          </w:tcPr>
          <w:p>
            <w:r>
              <w:rPr>
                <w:b w:val="false"/>
                <w:bCs w:val="false"/>
                <w:sz w:val="19"/>
                <w:szCs w:val="19"/>
              </w:rPr>
              <w:t xml:space="preserve">Pilar 3 (Arquitetura) + Pilar 5 (GenAI, base)</w:t>
            </w:r>
          </w:p>
        </w:tc>
        <w:tc>
          <w:tcPr>
            <w:tcW w:type="dxa" w:w="4650"/>
            <w:tcMar>
              <w:top w:type="dxa" w:w="80"/>
              <w:left w:type="dxa" w:w="100"/>
              <w:bottom w:type="dxa" w:w="80"/>
              <w:right w:type="dxa" w:w="100"/>
            </w:tcMar>
            <w:vAlign w:val="center"/>
          </w:tcPr>
          <w:p>
            <w:r>
              <w:rPr>
                <w:b w:val="false"/>
                <w:bCs w:val="false"/>
                <w:sz w:val="19"/>
                <w:szCs w:val="19"/>
              </w:rPr>
              <w:t xml:space="preserve">Implementa ou usa uma camada semântica em projeto real; entrega um PoC de GenAI aplicado a analytics (ex.: agente de Q&amp;A sobre métricas).</w:t>
            </w:r>
          </w:p>
        </w:tc>
      </w:tr>
      <w:tr>
        <w:tc>
          <w:tcPr>
            <w:tcW w:type="dxa" w:w="1100"/>
            <w:tcMar>
              <w:top w:type="dxa" w:w="80"/>
              <w:left w:type="dxa" w:w="100"/>
              <w:bottom w:type="dxa" w:w="80"/>
              <w:right w:type="dxa" w:w="100"/>
            </w:tcMar>
            <w:vAlign w:val="center"/>
          </w:tcPr>
          <w:p>
            <w:r>
              <w:rPr>
                <w:b/>
                <w:bCs/>
                <w:sz w:val="19"/>
                <w:szCs w:val="19"/>
              </w:rPr>
              <w:t xml:space="preserve">Fase 4</w:t>
            </w:r>
          </w:p>
        </w:tc>
        <w:tc>
          <w:tcPr>
            <w:tcW w:type="dxa" w:w="1400"/>
            <w:tcMar>
              <w:top w:type="dxa" w:w="80"/>
              <w:left w:type="dxa" w:w="100"/>
              <w:bottom w:type="dxa" w:w="80"/>
              <w:right w:type="dxa" w:w="100"/>
            </w:tcMar>
            <w:vAlign w:val="center"/>
          </w:tcPr>
          <w:p>
            <w:r>
              <w:rPr>
                <w:b w:val="false"/>
                <w:bCs w:val="false"/>
                <w:sz w:val="19"/>
                <w:szCs w:val="19"/>
              </w:rPr>
              <w:t xml:space="preserve">Meses 12–18</w:t>
            </w:r>
          </w:p>
        </w:tc>
        <w:tc>
          <w:tcPr>
            <w:tcW w:type="dxa" w:w="3200"/>
            <w:tcMar>
              <w:top w:type="dxa" w:w="80"/>
              <w:left w:type="dxa" w:w="100"/>
              <w:bottom w:type="dxa" w:w="80"/>
              <w:right w:type="dxa" w:w="100"/>
            </w:tcMar>
            <w:vAlign w:val="center"/>
          </w:tcPr>
          <w:p>
            <w:r>
              <w:rPr>
                <w:b w:val="false"/>
                <w:bCs w:val="false"/>
                <w:sz w:val="19"/>
                <w:szCs w:val="19"/>
              </w:rPr>
              <w:t xml:space="preserve">Escolha de especialização (aprofundar 1–2 pilares à escolha)</w:t>
            </w:r>
          </w:p>
        </w:tc>
        <w:tc>
          <w:tcPr>
            <w:tcW w:type="dxa" w:w="4650"/>
            <w:tcMar>
              <w:top w:type="dxa" w:w="80"/>
              <w:left w:type="dxa" w:w="100"/>
              <w:bottom w:type="dxa" w:w="80"/>
              <w:right w:type="dxa" w:w="100"/>
            </w:tcMar>
            <w:vAlign w:val="center"/>
          </w:tcPr>
          <w:p>
            <w:r>
              <w:rPr>
                <w:b w:val="false"/>
                <w:bCs w:val="false"/>
                <w:sz w:val="19"/>
                <w:szCs w:val="19"/>
              </w:rPr>
              <w:t xml:space="preserve">Define uma trilha de especialização pessoal (ex.: Arquitetura &amp; Plataforma, ou Produto &amp; Visualização) com plano validado por um Staff AE.</w:t>
            </w:r>
          </w:p>
        </w:tc>
      </w:tr>
      <w:tr>
        <w:tc>
          <w:tcPr>
            <w:tcW w:type="dxa" w:w="1100"/>
            <w:tcMar>
              <w:top w:type="dxa" w:w="80"/>
              <w:left w:type="dxa" w:w="100"/>
              <w:bottom w:type="dxa" w:w="80"/>
              <w:right w:type="dxa" w:w="100"/>
            </w:tcMar>
            <w:vAlign w:val="center"/>
          </w:tcPr>
          <w:p>
            <w:r>
              <w:rPr>
                <w:b/>
                <w:bCs/>
                <w:sz w:val="19"/>
                <w:szCs w:val="19"/>
              </w:rPr>
              <w:t xml:space="preserve">Fase 5</w:t>
            </w:r>
          </w:p>
        </w:tc>
        <w:tc>
          <w:tcPr>
            <w:tcW w:type="dxa" w:w="1400"/>
            <w:tcMar>
              <w:top w:type="dxa" w:w="80"/>
              <w:left w:type="dxa" w:w="100"/>
              <w:bottom w:type="dxa" w:w="80"/>
              <w:right w:type="dxa" w:w="100"/>
            </w:tcMar>
            <w:vAlign w:val="center"/>
          </w:tcPr>
          <w:p>
            <w:r>
              <w:rPr>
                <w:b w:val="false"/>
                <w:bCs w:val="false"/>
                <w:sz w:val="19"/>
                <w:szCs w:val="19"/>
              </w:rPr>
              <w:t xml:space="preserve">Meses 18–24+</w:t>
            </w:r>
          </w:p>
        </w:tc>
        <w:tc>
          <w:tcPr>
            <w:tcW w:type="dxa" w:w="3200"/>
            <w:tcMar>
              <w:top w:type="dxa" w:w="80"/>
              <w:left w:type="dxa" w:w="100"/>
              <w:bottom w:type="dxa" w:w="80"/>
              <w:right w:type="dxa" w:w="100"/>
            </w:tcMar>
            <w:vAlign w:val="center"/>
          </w:tcPr>
          <w:p>
            <w:r>
              <w:rPr>
                <w:b w:val="false"/>
                <w:bCs w:val="false"/>
                <w:sz w:val="19"/>
                <w:szCs w:val="19"/>
              </w:rPr>
              <w:t xml:space="preserve">Pilar 6 em profundidade + consolidação N3</w:t>
            </w:r>
          </w:p>
        </w:tc>
        <w:tc>
          <w:tcPr>
            <w:tcW w:type="dxa" w:w="4650"/>
            <w:tcMar>
              <w:top w:type="dxa" w:w="80"/>
              <w:left w:type="dxa" w:w="100"/>
              <w:bottom w:type="dxa" w:w="80"/>
              <w:right w:type="dxa" w:w="100"/>
            </w:tcMar>
            <w:vAlign w:val="center"/>
          </w:tcPr>
          <w:p>
            <w:r>
              <w:rPr>
                <w:b w:val="false"/>
                <w:bCs w:val="false"/>
                <w:sz w:val="19"/>
                <w:szCs w:val="19"/>
              </w:rPr>
              <w:t xml:space="preserve">Mentora pelo menos 1 AE júnior; escreve um RFC/ADR real; contribui com conteúdo interno ou externo (artigo, palestra, template reutilizável).</w:t>
            </w:r>
          </w:p>
        </w:tc>
      </w:tr>
    </w:tbl>
    <w:p>
      <w:pPr>
        <w:spacing w:after="160"/>
      </w:pPr>
    </w:p>
    <w:p>
      <w:pPr>
        <w:spacing w:after="200"/>
      </w:pPr>
      <w:r>
        <w:rPr>
          <w:i/>
          <w:iCs/>
          <w:color w:val="595959"/>
          <w:sz w:val="19"/>
          <w:szCs w:val="19"/>
        </w:rPr>
        <w:t xml:space="preserve">O roadmap é intencionalmente cumulativo, não sequencial-estanque: um AE em Fase 4 continua praticando os Pilares 1–2 no dia a dia; a fase indica onde o esforço extra de estudo deve ser direcionado.</w:t>
      </w:r>
    </w:p>
    <w:p>
      <w:r>
        <w:br w:type="page"/>
      </w:r>
    </w:p>
    <w:p>
      <w:pPr>
        <w:pStyle w:val="Heading1"/>
        <w:pBdr>
          <w:bottom w:val="single" w:color="C6398E" w:sz="12" w:space="4"/>
        </w:pBdr>
        <w:spacing w:after="200" w:before="400"/>
      </w:pPr>
      <w:r>
        <w:rPr>
          <w:b/>
          <w:bCs/>
          <w:color w:val="1B1F3B"/>
          <w:sz w:val="32"/>
          <w:szCs w:val="32"/>
        </w:rPr>
        <w:t xml:space="preserve">5. Conteúdo e Boas Práticas por Pilar</w:t>
      </w:r>
    </w:p>
    <w:p>
      <w:pPr>
        <w:spacing w:after="160" w:line="300"/>
      </w:pPr>
      <w:r>
        <w:rPr>
          <w:color w:val="222222"/>
          <w:sz w:val="21"/>
          <w:szCs w:val="21"/>
        </w:rPr>
        <w:t xml:space="preserve">Para cada pilar: os conceitos-chave que sustentam a competência, referências de mercado recomendadas (livros, cursos e comunidades reconhecidos na disciplina) e a prática que valida o aprendizado.</w:t>
      </w:r>
    </w:p>
    <w:p>
      <w:pPr>
        <w:spacing w:after="160" w:line="300"/>
      </w:pPr>
      <w:r>
        <w:rPr>
          <w:b/>
          <w:bCs/>
          <w:color w:val="FFFFFF"/>
          <w:sz w:val="16"/>
          <w:szCs w:val="16"/>
          <w:shd w:fill="2E5C8A" w:val="clear"/>
        </w:rPr>
        <w:t xml:space="preserve">  PILAR 1  </w:t>
      </w:r>
      <w:r>
        <w:rPr>
          <w:b/>
          <w:bCs/>
          <w:color w:val="1B1F3B"/>
          <w:sz w:val="22"/>
          <w:szCs w:val="22"/>
        </w:rPr>
        <w:t xml:space="preserve">  Modelagem &amp; Transformação de Dados</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Modelagem dimensional clássica (Kimball): star schema, fatos e dimensões, slowly changing dimensions.</w:t>
      </w:r>
    </w:p>
    <w:p>
      <w:pPr>
        <w:pStyle w:val="ListParagraph"/>
        <w:numPr>
          <w:ilvl w:val="0"/>
          <w:numId w:val="2"/>
        </w:numPr>
        <w:spacing w:after="80" w:line="280"/>
      </w:pPr>
      <w:r>
        <w:rPr>
          <w:color w:val="222222"/>
          <w:sz w:val="21"/>
          <w:szCs w:val="21"/>
        </w:rPr>
        <w:t xml:space="preserve">Alternativas e quando usá-las: Data Vault (auditabilidade/histórico), One Big Table (simplicidade para times pequenos), medallion architecture (bronze/silver/gold).</w:t>
      </w:r>
    </w:p>
    <w:p>
      <w:pPr>
        <w:pStyle w:val="ListParagraph"/>
        <w:numPr>
          <w:ilvl w:val="0"/>
          <w:numId w:val="2"/>
        </w:numPr>
        <w:spacing w:after="80" w:line="280"/>
      </w:pPr>
      <w:r>
        <w:rPr>
          <w:color w:val="222222"/>
          <w:sz w:val="21"/>
          <w:szCs w:val="21"/>
        </w:rPr>
        <w:t xml:space="preserve">dbt como motor de transformação: models, sources, seeds, snapshots, macros/Jinja, estratégias incrementais, exposures.</w:t>
      </w:r>
    </w:p>
    <w:p>
      <w:pPr>
        <w:pStyle w:val="ListParagraph"/>
        <w:numPr>
          <w:ilvl w:val="0"/>
          <w:numId w:val="2"/>
        </w:numPr>
        <w:spacing w:after="80" w:line="280"/>
      </w:pPr>
      <w:r>
        <w:rPr>
          <w:color w:val="222222"/>
          <w:sz w:val="21"/>
          <w:szCs w:val="21"/>
        </w:rPr>
        <w:t xml:space="preserve">SQL avançado: CTEs recursivas, window functions, otimização de planos de execução.</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"The Data Warehouse Toolkit" — Ralph Kimball &amp; Margy Ross </w:t>
      </w:r>
      <w:r>
        <w:rPr>
          <w:i/>
          <w:iCs/>
          <w:sz w:val="21"/>
          <w:szCs w:val="21"/>
        </w:rPr>
        <w:t xml:space="preserve">(a referência clássica de modelagem dimensional).</w:t>
      </w:r>
    </w:p>
    <w:p>
      <w:pPr>
        <w:pStyle w:val="ListParagraph"/>
        <w:numPr>
          <w:ilvl w:val="0"/>
          <w:numId w:val="2"/>
        </w:numPr>
        <w:spacing w:after="80" w:line="280"/>
      </w:pPr>
      <w:hyperlink w:history="1" r:id="rId5x8a_qulmmue1escv_ybr">
        <w:r>
          <w:rPr>
            <w:color w:val="1155CC"/>
            <w:u w:val="single"/>
          </w:rPr>
          <w:t xml:space="preserve">dbt Fundamentals (dbt Labs)</w:t>
        </w:r>
      </w:hyperlink>
      <w:r>
        <w:rPr>
          <w:i/>
          <w:iCs/>
          <w:sz w:val="21"/>
          <w:szCs w:val="21"/>
        </w:rPr>
        <w:t xml:space="preserve">  — curso gratuito oficial.</w:t>
      </w:r>
    </w:p>
    <w:p>
      <w:pPr>
        <w:pStyle w:val="ListParagraph"/>
        <w:numPr>
          <w:ilvl w:val="0"/>
          <w:numId w:val="2"/>
        </w:numPr>
        <w:spacing w:after="80" w:line="280"/>
      </w:pPr>
      <w:r>
        <w:rPr>
          <w:sz w:val="21"/>
          <w:szCs w:val="21"/>
        </w:rPr>
        <w:t xml:space="preserve">"Analytics Engineering with SQL and dbt" — Rui Machado &amp; Anthony Murphy (O'Reilly).</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Modelar, do zero, um data mart dimensional completo para um domínio de negócio (ex.: vendas, marketing), incluindo pelo menos uma dimensão do tipo SCD2, com testes de qualidade cobrindo chaves primárias e integridade referencial.</w:t>
      </w:r>
    </w:p>
    <w:p>
      <w:pPr>
        <w:spacing w:after="160" w:line="300"/>
      </w:pPr>
      <w:r>
        <w:rPr>
          <w:b/>
          <w:bCs/>
          <w:color w:val="FFFFFF"/>
          <w:sz w:val="16"/>
          <w:szCs w:val="16"/>
          <w:shd w:fill="6A1B9A" w:val="clear"/>
        </w:rPr>
        <w:t xml:space="preserve">  PILAR 2  </w:t>
      </w:r>
      <w:r>
        <w:rPr>
          <w:b/>
          <w:bCs/>
          <w:color w:val="1B1F3B"/>
          <w:sz w:val="22"/>
          <w:szCs w:val="22"/>
        </w:rPr>
        <w:t xml:space="preserve">  Engenharia de Software Aplicada (DataOps)</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Git flow aplicado a projetos analíticos: branches, pull requests, code review de SQL/dbt.</w:t>
      </w:r>
    </w:p>
    <w:p>
      <w:pPr>
        <w:pStyle w:val="ListParagraph"/>
        <w:numPr>
          <w:ilvl w:val="0"/>
          <w:numId w:val="2"/>
        </w:numPr>
        <w:spacing w:after="80" w:line="280"/>
      </w:pPr>
      <w:r>
        <w:rPr>
          <w:color w:val="222222"/>
          <w:sz w:val="21"/>
          <w:szCs w:val="21"/>
        </w:rPr>
        <w:t xml:space="preserve">CI/CD para dados: ambientes de dev/staging/prod, promoção automatizada de modelos, testes como gate de merge.</w:t>
      </w:r>
    </w:p>
    <w:p>
      <w:pPr>
        <w:pStyle w:val="ListParagraph"/>
        <w:numPr>
          <w:ilvl w:val="0"/>
          <w:numId w:val="2"/>
        </w:numPr>
        <w:spacing w:after="80" w:line="280"/>
      </w:pPr>
      <w:r>
        <w:rPr>
          <w:color w:val="222222"/>
          <w:sz w:val="21"/>
          <w:szCs w:val="21"/>
        </w:rPr>
        <w:t xml:space="preserve">Testes de qualidade de dados: dbt tests (generic e singular), frameworks como Great Expectations ou Soda.</w:t>
      </w:r>
    </w:p>
    <w:p>
      <w:pPr>
        <w:pStyle w:val="ListParagraph"/>
        <w:numPr>
          <w:ilvl w:val="0"/>
          <w:numId w:val="2"/>
        </w:numPr>
        <w:spacing w:after="80" w:line="280"/>
      </w:pPr>
      <w:r>
        <w:rPr>
          <w:color w:val="222222"/>
          <w:sz w:val="21"/>
          <w:szCs w:val="21"/>
        </w:rPr>
        <w:t xml:space="preserve">Observabilidade: freshness checks, detecção de anomalias, lineage automatizado (dbt docs, OpenLineage).</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"Fundamentals of Data Engineering" — Joe Reis &amp; Matt Housley (O'Reilly) — captura bem a mentalidade DataOps.</w:t>
      </w:r>
    </w:p>
    <w:p>
      <w:pPr>
        <w:pStyle w:val="ListParagraph"/>
        <w:numPr>
          <w:ilvl w:val="0"/>
          <w:numId w:val="2"/>
        </w:numPr>
        <w:spacing w:after="80" w:line="280"/>
      </w:pPr>
      <w:hyperlink w:history="1" r:id="rIdbsv_5gkyrqopy_j--l5ms">
        <w:r>
          <w:rPr>
            <w:color w:val="1155CC"/>
            <w:u w:val="single"/>
          </w:rPr>
          <w:t xml:space="preserve">The Analytics Setup Guidebook</w:t>
        </w:r>
      </w:hyperlink>
      <w:r>
        <w:rPr>
          <w:i/>
          <w:iCs/>
          <w:sz w:val="21"/>
          <w:szCs w:val="21"/>
        </w:rPr>
        <w:t xml:space="preserve">  — guia prático de referência do ecossistema dbt.</w:t>
      </w:r>
    </w:p>
    <w:p>
      <w:pPr>
        <w:pStyle w:val="ListParagraph"/>
        <w:numPr>
          <w:ilvl w:val="0"/>
          <w:numId w:val="2"/>
        </w:numPr>
        <w:spacing w:after="80" w:line="280"/>
      </w:pPr>
      <w:r>
        <w:rPr>
          <w:sz w:val="21"/>
          <w:szCs w:val="21"/>
        </w:rPr>
        <w:t xml:space="preserve">Documentação oficial de testes do dbt (generic tests, singular tests, unit tests).</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Configurar um pipeline de CI que roda os testes dbt automaticamente a cada pull request, bloqueando merge em caso de falha, e documentar o runbook de resposta a um alerta de qualidade de dados.</w:t>
      </w:r>
    </w:p>
    <w:p>
      <w:pPr>
        <w:spacing w:after="160" w:line="300"/>
      </w:pPr>
      <w:r>
        <w:rPr>
          <w:b/>
          <w:bCs/>
          <w:color w:val="FFFFFF"/>
          <w:sz w:val="16"/>
          <w:szCs w:val="16"/>
          <w:shd w:fill="00695C" w:val="clear"/>
        </w:rPr>
        <w:t xml:space="preserve">  PILAR 3  </w:t>
      </w:r>
      <w:r>
        <w:rPr>
          <w:b/>
          <w:bCs/>
          <w:color w:val="1B1F3B"/>
          <w:sz w:val="22"/>
          <w:szCs w:val="22"/>
        </w:rPr>
        <w:t xml:space="preserve">  Arquitetura &amp; Plataforma de Dados</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Trade-offs entre warehouses cloud: Snowflake, BigQuery, Databricks — custo, performance, casos de uso.</w:t>
      </w:r>
    </w:p>
    <w:p>
      <w:pPr>
        <w:pStyle w:val="ListParagraph"/>
        <w:numPr>
          <w:ilvl w:val="0"/>
          <w:numId w:val="2"/>
        </w:numPr>
        <w:spacing w:after="80" w:line="280"/>
      </w:pPr>
      <w:r>
        <w:rPr>
          <w:color w:val="222222"/>
          <w:sz w:val="21"/>
          <w:szCs w:val="21"/>
        </w:rPr>
        <w:t xml:space="preserve">Otimização: particionamento, clustering, sizing de warehouse, formatos de armazenamento (Iceberg/Delta Lake).</w:t>
      </w:r>
    </w:p>
    <w:p>
      <w:pPr>
        <w:pStyle w:val="ListParagraph"/>
        <w:numPr>
          <w:ilvl w:val="0"/>
          <w:numId w:val="2"/>
        </w:numPr>
        <w:spacing w:after="80" w:line="280"/>
      </w:pPr>
      <w:r>
        <w:rPr>
          <w:color w:val="222222"/>
          <w:sz w:val="21"/>
          <w:szCs w:val="21"/>
        </w:rPr>
        <w:t xml:space="preserve">Orquestração (Airflow, Dagster, dbt Cloud jobs) e ingestão (Fivetran, Airbyte, CDC).</w:t>
      </w:r>
    </w:p>
    <w:p>
      <w:pPr>
        <w:pStyle w:val="ListParagraph"/>
        <w:numPr>
          <w:ilvl w:val="0"/>
          <w:numId w:val="2"/>
        </w:numPr>
        <w:spacing w:after="80" w:line="280"/>
      </w:pPr>
      <w:r>
        <w:rPr>
          <w:color w:val="222222"/>
          <w:sz w:val="21"/>
          <w:szCs w:val="21"/>
        </w:rPr>
        <w:t xml:space="preserve">Camada semântica / métricas: dbt Semantic Layer, Cube, LookML — desacoplar a definição de métricas da ferramenta de BI.</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"Designing Data-Intensive Applications" — Martin Kleppmann — fundamentos de sistemas de dados em escala.</w:t>
      </w:r>
    </w:p>
    <w:p>
      <w:pPr>
        <w:pStyle w:val="ListParagraph"/>
        <w:numPr>
          <w:ilvl w:val="0"/>
          <w:numId w:val="2"/>
        </w:numPr>
        <w:spacing w:after="80" w:line="280"/>
      </w:pPr>
      <w:hyperlink w:history="1" r:id="rIdomrghcv2txwqq-oagpw5y">
        <w:r>
          <w:rPr>
            <w:color w:val="1155CC"/>
            <w:u w:val="single"/>
          </w:rPr>
          <w:t xml:space="preserve">dbt Semantic Layer — documentação oficial</w:t>
        </w:r>
      </w:hyperlink>
      <w:r>
        <w:rPr>
          <w:sz w:val="21"/>
          <w:szCs w:val="21"/>
        </w:rPr>
        <w:t xml:space="preserve"/>
      </w:r>
    </w:p>
    <w:p>
      <w:pPr>
        <w:pStyle w:val="ListParagraph"/>
        <w:numPr>
          <w:ilvl w:val="0"/>
          <w:numId w:val="2"/>
        </w:numPr>
        <w:spacing w:after="80" w:line="280"/>
      </w:pPr>
      <w:r>
        <w:rPr>
          <w:sz w:val="21"/>
          <w:szCs w:val="21"/>
        </w:rPr>
        <w:t xml:space="preserve">Documentação comparativa de warehouses (Snowflake/BigQuery/Databricks) — benchmarks públicos e whitepapers dos próprios vendors.</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Implementar (ou simular em ambiente de estudo) uma camada semântica simples com 3–5 métricas de negócio, consumida por mais de uma ferramenta (ex.: um dashboard e uma query ad-hoc), garantindo que o número bata nos dois lugares.</w:t>
      </w:r>
    </w:p>
    <w:p>
      <w:pPr>
        <w:spacing w:after="160" w:line="300"/>
      </w:pPr>
      <w:r>
        <w:rPr>
          <w:b/>
          <w:bCs/>
          <w:color w:val="FFFFFF"/>
          <w:sz w:val="16"/>
          <w:szCs w:val="16"/>
          <w:shd w:fill="C6398E" w:val="clear"/>
        </w:rPr>
        <w:t xml:space="preserve">  PILAR 4  </w:t>
      </w:r>
      <w:r>
        <w:rPr>
          <w:b/>
          <w:bCs/>
          <w:color w:val="1B1F3B"/>
          <w:sz w:val="22"/>
          <w:szCs w:val="22"/>
        </w:rPr>
        <w:t xml:space="preserve">  Visualização, Storytelling &amp; Dado como Produto</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Product thinking aplicado a dados: dono do dataset/dashboard, SLA de atualização, roadmap, métricas de adoção.</w:t>
      </w:r>
    </w:p>
    <w:p>
      <w:pPr>
        <w:pStyle w:val="ListParagraph"/>
        <w:numPr>
          <w:ilvl w:val="0"/>
          <w:numId w:val="2"/>
        </w:numPr>
        <w:spacing w:after="80" w:line="280"/>
      </w:pPr>
      <w:r>
        <w:rPr>
          <w:color w:val="222222"/>
          <w:sz w:val="21"/>
          <w:szCs w:val="21"/>
        </w:rPr>
        <w:t xml:space="preserve">UX para dashboards: hierarquia visual, pirâmide invertida (KPI crítico primeiro), interatividade com propósito.</w:t>
      </w:r>
    </w:p>
    <w:p>
      <w:pPr>
        <w:pStyle w:val="ListParagraph"/>
        <w:numPr>
          <w:ilvl w:val="0"/>
          <w:numId w:val="2"/>
        </w:numPr>
        <w:spacing w:after="80" w:line="280"/>
      </w:pPr>
      <w:r>
        <w:rPr>
          <w:color w:val="222222"/>
          <w:sz w:val="21"/>
          <w:szCs w:val="21"/>
        </w:rPr>
        <w:t xml:space="preserve">Frameworks de storytelling: pirâmide de Minto, estrutura "contexto → conflito → resolução", o teste do "e daí?".</w:t>
      </w:r>
    </w:p>
    <w:p>
      <w:pPr>
        <w:pStyle w:val="ListParagraph"/>
        <w:numPr>
          <w:ilvl w:val="0"/>
          <w:numId w:val="2"/>
        </w:numPr>
        <w:spacing w:after="80" w:line="280"/>
      </w:pPr>
      <w:r>
        <w:rPr>
          <w:color w:val="222222"/>
          <w:sz w:val="21"/>
          <w:szCs w:val="21"/>
        </w:rPr>
        <w:t xml:space="preserve">Self-service enablement: como capacitar áreas de negócio a explorar dados sem quebrar a governança.</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"Storytelling with Data" — Cole Nussbaumer Knaflic — referência de mercado em comunicação visual.</w:t>
      </w:r>
    </w:p>
    <w:p>
      <w:pPr>
        <w:pStyle w:val="ListParagraph"/>
        <w:numPr>
          <w:ilvl w:val="0"/>
          <w:numId w:val="2"/>
        </w:numPr>
        <w:spacing w:after="80" w:line="280"/>
      </w:pPr>
      <w:r>
        <w:rPr>
          <w:sz w:val="21"/>
          <w:szCs w:val="21"/>
        </w:rPr>
        <w:t xml:space="preserve">"The Big Book of Dashboards" — Steve Wexler, Jeffrey Shaffer &amp; Andy Cotgreave.</w:t>
      </w:r>
    </w:p>
    <w:p>
      <w:pPr>
        <w:pStyle w:val="ListParagraph"/>
        <w:numPr>
          <w:ilvl w:val="0"/>
          <w:numId w:val="2"/>
        </w:numPr>
        <w:spacing w:after="80" w:line="280"/>
      </w:pPr>
      <w:hyperlink w:history="1" r:id="rIda8i1nn7aylwknfgahz2l0">
        <w:r>
          <w:rPr>
            <w:color w:val="1155CC"/>
            <w:u w:val="single"/>
          </w:rPr>
          <w:t xml:space="preserve">workout wednesday</w:t>
        </w:r>
      </w:hyperlink>
      <w:r>
        <w:rPr>
          <w:i/>
          <w:iCs/>
          <w:sz w:val="21"/>
          <w:szCs w:val="21"/>
        </w:rPr>
        <w:t xml:space="preserve">  — prática semanal de visualização (Tableau/Power BI).</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Reformular um dashboard existente aplicando um framework de product thinking: definir um dono, um SLA de atualização e medir adoção (nº de usuários ativos) antes e depois da mudança.</w:t>
      </w:r>
    </w:p>
    <w:p>
      <w:pPr>
        <w:spacing w:after="160" w:line="300"/>
      </w:pPr>
      <w:r>
        <w:rPr>
          <w:b/>
          <w:bCs/>
          <w:color w:val="FFFFFF"/>
          <w:sz w:val="16"/>
          <w:szCs w:val="16"/>
          <w:shd w:fill="E65100" w:val="clear"/>
        </w:rPr>
        <w:t xml:space="preserve">  PILAR 5  </w:t>
      </w:r>
      <w:r>
        <w:rPr>
          <w:b/>
          <w:bCs/>
          <w:color w:val="1B1F3B"/>
          <w:sz w:val="22"/>
          <w:szCs w:val="22"/>
        </w:rPr>
        <w:t xml:space="preserve">  IA Generativa Aplicada à Analytics Engineering</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Conceitos-base de GenAI: LLMs, embeddings, RAG, agentes, prompt design — aplicados especificamente a dados analíticos.</w:t>
      </w:r>
    </w:p>
    <w:p>
      <w:pPr>
        <w:pStyle w:val="ListParagraph"/>
        <w:numPr>
          <w:ilvl w:val="0"/>
          <w:numId w:val="2"/>
        </w:numPr>
        <w:spacing w:after="80" w:line="280"/>
      </w:pPr>
      <w:r>
        <w:rPr>
          <w:color w:val="222222"/>
          <w:sz w:val="21"/>
          <w:szCs w:val="21"/>
        </w:rPr>
        <w:t xml:space="preserve">Por que a camada semântica importa para GenAI confiável: texto-para-SQL sem semântica governada tende a alucinar métricas.</w:t>
      </w:r>
    </w:p>
    <w:p>
      <w:pPr>
        <w:pStyle w:val="ListParagraph"/>
        <w:numPr>
          <w:ilvl w:val="0"/>
          <w:numId w:val="2"/>
        </w:numPr>
        <w:spacing w:after="80" w:line="280"/>
      </w:pPr>
      <w:r>
        <w:rPr>
          <w:color w:val="222222"/>
          <w:sz w:val="21"/>
          <w:szCs w:val="21"/>
        </w:rPr>
        <w:t xml:space="preserve">Padrões de arquitetura para Augmented BI: agente consultando métricas certificadas vs. consultando tabelas brutas.</w:t>
      </w:r>
    </w:p>
    <w:p>
      <w:pPr>
        <w:pStyle w:val="ListParagraph"/>
        <w:numPr>
          <w:ilvl w:val="0"/>
          <w:numId w:val="2"/>
        </w:numPr>
        <w:spacing w:after="80" w:line="280"/>
      </w:pPr>
      <w:r>
        <w:rPr>
          <w:color w:val="222222"/>
          <w:sz w:val="21"/>
          <w:szCs w:val="21"/>
        </w:rPr>
        <w:t xml:space="preserve">Governança: guardrails, auditoria de respostas geradas, custo/latência como critério de design.</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Documentação de frameworks de agentes (LangGraph, Vercel AI SDK, ADK) — escolher conforme o stack do projeto.</w:t>
      </w:r>
    </w:p>
    <w:p>
      <w:pPr>
        <w:pStyle w:val="ListParagraph"/>
        <w:numPr>
          <w:ilvl w:val="0"/>
          <w:numId w:val="2"/>
        </w:numPr>
        <w:spacing w:after="80" w:line="280"/>
      </w:pPr>
      <w:r>
        <w:rPr>
          <w:sz w:val="21"/>
          <w:szCs w:val="21"/>
        </w:rPr>
        <w:t xml:space="preserve">Estudos de caso públicos de "text-to-SQL" e "AI-BI" dos principais fornecedores de warehouse/BI (Databricks, Snowflake Cortex, Power BI Copilot).</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Construir um protótipo de agente que responde perguntas em linguagem natural consultando exclusivamente métricas certificadas de uma camada semântica (nunca tabelas brutas diretamente), com um mecanismo simples de citação da fonte.</w:t>
      </w:r>
    </w:p>
    <w:p>
      <w:pPr>
        <w:spacing w:after="160" w:line="300"/>
      </w:pPr>
      <w:r>
        <w:rPr>
          <w:b/>
          <w:bCs/>
          <w:color w:val="FFFFFF"/>
          <w:sz w:val="16"/>
          <w:szCs w:val="16"/>
          <w:shd w:fill="37474F" w:val="clear"/>
        </w:rPr>
        <w:t xml:space="preserve">  PILAR 6  </w:t>
      </w:r>
      <w:r>
        <w:rPr>
          <w:b/>
          <w:bCs/>
          <w:color w:val="1B1F3B"/>
          <w:sz w:val="22"/>
          <w:szCs w:val="22"/>
        </w:rPr>
        <w:t xml:space="preserve">  Negócio, Comunicação &amp; Liderança Técnica</w:t>
      </w:r>
    </w:p>
    <w:p>
      <w:pPr>
        <w:pStyle w:val="Heading3"/>
        <w:spacing w:after="100" w:before="240"/>
      </w:pPr>
      <w:r>
        <w:rPr>
          <w:b/>
          <w:bCs/>
          <w:color w:val="1B1F3B"/>
          <w:sz w:val="22"/>
          <w:szCs w:val="22"/>
        </w:rPr>
        <w:t xml:space="preserve">Conceitos-chave</w:t>
      </w:r>
    </w:p>
    <w:p>
      <w:pPr>
        <w:pStyle w:val="ListParagraph"/>
        <w:numPr>
          <w:ilvl w:val="0"/>
          <w:numId w:val="2"/>
        </w:numPr>
        <w:spacing w:after="80" w:line="280"/>
      </w:pPr>
      <w:r>
        <w:rPr>
          <w:color w:val="222222"/>
          <w:sz w:val="21"/>
          <w:szCs w:val="21"/>
        </w:rPr>
        <w:t xml:space="preserve">Estruturação de problemas com MECE; tradução de perguntas de negócio em hipóteses testáveis.</w:t>
      </w:r>
    </w:p>
    <w:p>
      <w:pPr>
        <w:pStyle w:val="ListParagraph"/>
        <w:numPr>
          <w:ilvl w:val="0"/>
          <w:numId w:val="2"/>
        </w:numPr>
        <w:spacing w:after="80" w:line="280"/>
      </w:pPr>
      <w:r>
        <w:rPr>
          <w:color w:val="222222"/>
          <w:sz w:val="21"/>
          <w:szCs w:val="21"/>
        </w:rPr>
        <w:t xml:space="preserve">Condução de discovery sessions e workshops com stakeholders não-técnicos.</w:t>
      </w:r>
    </w:p>
    <w:p>
      <w:pPr>
        <w:pStyle w:val="ListParagraph"/>
        <w:numPr>
          <w:ilvl w:val="0"/>
          <w:numId w:val="2"/>
        </w:numPr>
        <w:spacing w:after="80" w:line="280"/>
      </w:pPr>
      <w:r>
        <w:rPr>
          <w:color w:val="222222"/>
          <w:sz w:val="21"/>
          <w:szCs w:val="21"/>
        </w:rPr>
        <w:t xml:space="preserve">Escrita técnica: RFCs (Request for Comments) e ADRs (Architecture Decision Records) para decisões relevantes.</w:t>
      </w:r>
    </w:p>
    <w:p>
      <w:pPr>
        <w:pStyle w:val="ListParagraph"/>
        <w:numPr>
          <w:ilvl w:val="0"/>
          <w:numId w:val="2"/>
        </w:numPr>
        <w:spacing w:after="80" w:line="280"/>
      </w:pPr>
      <w:r>
        <w:rPr>
          <w:color w:val="222222"/>
          <w:sz w:val="21"/>
          <w:szCs w:val="21"/>
        </w:rPr>
        <w:t xml:space="preserve">Mentoria e liderança técnica sem cargo formal ("tech lead" informal de uma frente).</w:t>
      </w:r>
    </w:p>
    <w:p>
      <w:pPr>
        <w:pStyle w:val="Heading3"/>
        <w:spacing w:after="100" w:before="240"/>
      </w:pPr>
      <w:r>
        <w:rPr>
          <w:b/>
          <w:bCs/>
          <w:color w:val="1B1F3B"/>
          <w:sz w:val="22"/>
          <w:szCs w:val="22"/>
        </w:rPr>
        <w:t xml:space="preserve">Referências recomendadas</w:t>
      </w:r>
    </w:p>
    <w:p>
      <w:pPr>
        <w:pStyle w:val="ListParagraph"/>
        <w:numPr>
          <w:ilvl w:val="0"/>
          <w:numId w:val="2"/>
        </w:numPr>
        <w:spacing w:after="80" w:line="280"/>
      </w:pPr>
      <w:r>
        <w:rPr>
          <w:sz w:val="21"/>
          <w:szCs w:val="21"/>
        </w:rPr>
        <w:t xml:space="preserve">"The Pyramid Principle" — Barbara Minto — estruturação de comunicação e argumentação.</w:t>
      </w:r>
    </w:p>
    <w:p>
      <w:pPr>
        <w:pStyle w:val="ListParagraph"/>
        <w:numPr>
          <w:ilvl w:val="0"/>
          <w:numId w:val="2"/>
        </w:numPr>
        <w:spacing w:after="80" w:line="280"/>
      </w:pPr>
      <w:r>
        <w:rPr>
          <w:sz w:val="21"/>
          <w:szCs w:val="21"/>
        </w:rPr>
        <w:t xml:space="preserve">Templates públicos de ADR (Architecture Decision Records) usados amplamente na indústria de software.</w:t>
      </w:r>
    </w:p>
    <w:p>
      <w:pPr>
        <w:pStyle w:val="ListParagraph"/>
        <w:numPr>
          <w:ilvl w:val="0"/>
          <w:numId w:val="2"/>
        </w:numPr>
        <w:spacing w:after="80" w:line="280"/>
      </w:pPr>
      <w:r>
        <w:rPr>
          <w:sz w:val="21"/>
          <w:szCs w:val="21"/>
        </w:rPr>
        <w:t xml:space="preserve">"Staff Engineer" — Will Larson — sobre liderança técnica sem gestão de pessoas, aplicável a AEs seniores.</w:t>
      </w:r>
    </w:p>
    <w:p>
      <w:pPr>
        <w:pStyle w:val="Heading3"/>
        <w:spacing w:after="100" w:before="240"/>
      </w:pPr>
      <w:r>
        <w:rPr>
          <w:b/>
          <w:bCs/>
          <w:color w:val="1B1F3B"/>
          <w:sz w:val="22"/>
          <w:szCs w:val="22"/>
        </w:rPr>
        <w:t xml:space="preserve">Prática que valida o nível</w:t>
      </w:r>
    </w:p>
    <w:p>
      <w:pPr>
        <w:spacing w:after="200"/>
      </w:pPr>
      <w:r>
        <w:rPr>
          <w:i/>
          <w:iCs/>
          <w:color w:val="595959"/>
          <w:sz w:val="19"/>
          <w:szCs w:val="19"/>
        </w:rPr>
        <w:t xml:space="preserve">Escrever um RFC real propondo uma mudança técnica não-trivial (ex.: migrar um padrão de modelagem, adotar uma camada semântica), submetê-lo a revisão de pares e incorporar feedback antes da decisão final.</w:t>
      </w:r>
    </w:p>
    <w:p>
      <w:r>
        <w:br w:type="page"/>
      </w:r>
    </w:p>
    <w:p>
      <w:pPr>
        <w:pStyle w:val="Heading1"/>
        <w:pBdr>
          <w:bottom w:val="single" w:color="C6398E" w:sz="12" w:space="4"/>
        </w:pBdr>
        <w:spacing w:after="200" w:before="400"/>
      </w:pPr>
      <w:r>
        <w:rPr>
          <w:b/>
          <w:bCs/>
          <w:color w:val="1B1F3B"/>
          <w:sz w:val="32"/>
          <w:szCs w:val="32"/>
        </w:rPr>
        <w:t xml:space="preserve">6. Boas Práticas para Rodar Isso como um Programa Vivo</w:t>
      </w:r>
    </w:p>
    <w:p>
      <w:pPr>
        <w:spacing w:after="160" w:line="300"/>
      </w:pPr>
      <w:r>
        <w:rPr>
          <w:color w:val="222222"/>
          <w:sz w:val="21"/>
          <w:szCs w:val="21"/>
        </w:rPr>
        <w:t xml:space="preserve">Um framework de competências só funciona se for sustentado por rituais e uma estrutura de governança — não apenas uma lista de cursos que a pessoa consome sozinha.</w:t>
      </w:r>
    </w:p>
    <w:p>
      <w:pPr>
        <w:pStyle w:val="Heading3"/>
        <w:spacing w:after="100" w:before="240"/>
      </w:pPr>
      <w:r>
        <w:rPr>
          <w:b/>
          <w:bCs/>
          <w:color w:val="1B1F3B"/>
          <w:sz w:val="22"/>
          <w:szCs w:val="22"/>
        </w:rPr>
        <w:t xml:space="preserve">Mentoria estruturada</w:t>
      </w:r>
    </w:p>
    <w:p>
      <w:pPr>
        <w:spacing w:after="160" w:line="300"/>
      </w:pPr>
      <w:r>
        <w:rPr>
          <w:color w:val="222222"/>
          <w:sz w:val="21"/>
          <w:szCs w:val="21"/>
        </w:rPr>
        <w:t xml:space="preserve">Cada AE em N1/N2 deve ter um "padrinho" técnico em N3/N4, com 1:1s quinzenais focados em um pilar por vez — não em revisão geral de desempenho.</w:t>
      </w:r>
    </w:p>
    <w:p>
      <w:pPr>
        <w:pStyle w:val="Heading3"/>
        <w:spacing w:after="100" w:before="240"/>
      </w:pPr>
      <w:r>
        <w:rPr>
          <w:b/>
          <w:bCs/>
          <w:color w:val="1B1F3B"/>
          <w:sz w:val="22"/>
          <w:szCs w:val="22"/>
        </w:rPr>
        <w:t xml:space="preserve">Guildas por pilar</w:t>
      </w:r>
    </w:p>
    <w:p>
      <w:pPr>
        <w:spacing w:after="160" w:line="300"/>
      </w:pPr>
      <w:r>
        <w:rPr>
          <w:color w:val="222222"/>
          <w:sz w:val="21"/>
          <w:szCs w:val="21"/>
        </w:rPr>
        <w:t xml:space="preserve">Comunidades de prática internas, uma por pilar, com encontros mensais para compartilhar aprendizados, revisar decisões técnicas recentes e manter os templates/frameworks reutilizáveis atualizados.</w:t>
      </w:r>
    </w:p>
    <w:p>
      <w:pPr>
        <w:pStyle w:val="Heading3"/>
        <w:spacing w:after="100" w:before="240"/>
      </w:pPr>
      <w:r>
        <w:rPr>
          <w:b/>
          <w:bCs/>
          <w:color w:val="1B1F3B"/>
          <w:sz w:val="22"/>
          <w:szCs w:val="22"/>
        </w:rPr>
        <w:t xml:space="preserve">Rituais de aprendizado</w:t>
      </w:r>
    </w:p>
    <w:p>
      <w:pPr>
        <w:pStyle w:val="ListParagraph"/>
        <w:numPr>
          <w:ilvl w:val="0"/>
          <w:numId w:val="2"/>
        </w:numPr>
        <w:spacing w:after="80" w:line="280"/>
      </w:pPr>
      <w:r>
        <w:rPr>
          <w:color w:val="222222"/>
          <w:sz w:val="21"/>
          <w:szCs w:val="21"/>
        </w:rPr>
        <w:t xml:space="preserve">Code review obrigatório de modelos dbt/SQL, com foco pedagógico (não só aprovação/rejeição).</w:t>
      </w:r>
    </w:p>
    <w:p>
      <w:pPr>
        <w:pStyle w:val="ListParagraph"/>
        <w:numPr>
          <w:ilvl w:val="0"/>
          <w:numId w:val="2"/>
        </w:numPr>
        <w:spacing w:after="80" w:line="280"/>
      </w:pPr>
      <w:r>
        <w:rPr>
          <w:color w:val="222222"/>
          <w:sz w:val="21"/>
          <w:szCs w:val="21"/>
        </w:rPr>
        <w:t xml:space="preserve">"Lunch &amp; learn" quinzenal com um case real de projeto, apresentado pelo próprio AE que o resolveu.</w:t>
      </w:r>
    </w:p>
    <w:p>
      <w:pPr>
        <w:pStyle w:val="ListParagraph"/>
        <w:numPr>
          <w:ilvl w:val="0"/>
          <w:numId w:val="2"/>
        </w:numPr>
        <w:spacing w:after="80" w:line="280"/>
      </w:pPr>
      <w:r>
        <w:rPr>
          <w:color w:val="222222"/>
          <w:sz w:val="21"/>
          <w:szCs w:val="21"/>
        </w:rPr>
        <w:t xml:space="preserve">Hackathon interno semestral usando dados sintéticos, com foco alternado por pilar (ex.: um hackathon de GenAI aplicado, outro de arquitetura).</w:t>
      </w:r>
    </w:p>
    <w:p>
      <w:pPr>
        <w:pStyle w:val="Heading3"/>
        <w:spacing w:after="100" w:before="240"/>
      </w:pPr>
      <w:r>
        <w:rPr>
          <w:b/>
          <w:bCs/>
          <w:color w:val="1B1F3B"/>
          <w:sz w:val="22"/>
          <w:szCs w:val="22"/>
        </w:rPr>
        <w:t xml:space="preserve">Cultura de escrita</w:t>
      </w:r>
    </w:p>
    <w:p>
      <w:pPr>
        <w:spacing w:after="160" w:line="300"/>
      </w:pPr>
      <w:r>
        <w:rPr>
          <w:color w:val="222222"/>
          <w:sz w:val="21"/>
          <w:szCs w:val="21"/>
        </w:rPr>
        <w:t xml:space="preserve">Incentivar RFCs/ADRs para decisões técnicas relevantes e um blog interno (ou página no Knowledge Hub) onde AEs documentam soluções reutilizáveis — isso é, ao mesmo tempo, prática do Pilar 6 e geração de conteúdo para a trilha em si.</w:t>
      </w:r>
    </w:p>
    <w:p>
      <w:pPr>
        <w:pStyle w:val="Heading3"/>
        <w:spacing w:after="100" w:before="240"/>
      </w:pPr>
      <w:r>
        <w:rPr>
          <w:b/>
          <w:bCs/>
          <w:color w:val="1B1F3B"/>
          <w:sz w:val="22"/>
          <w:szCs w:val="22"/>
        </w:rPr>
        <w:t xml:space="preserve">Rotação de projeto</w:t>
      </w:r>
    </w:p>
    <w:p>
      <w:pPr>
        <w:spacing w:after="160" w:line="300"/>
      </w:pPr>
      <w:r>
        <w:rPr>
          <w:color w:val="222222"/>
          <w:sz w:val="21"/>
          <w:szCs w:val="21"/>
        </w:rPr>
        <w:t xml:space="preserve">Sempre que possível, expor o AE a mais de um stack/indústria nos primeiros 12 meses — a disciplina de Analytics Engineering se consolida mais rápido quando a pessoa vê o mesmo problema (ex.: modelar receita) resolvido de formas diferentes.</w:t>
      </w:r>
    </w:p>
    <w:p>
      <w:pPr>
        <w:pStyle w:val="Heading2"/>
        <w:spacing w:after="160" w:before="320"/>
      </w:pPr>
      <w:r>
        <w:rPr>
          <w:b/>
          <w:bCs/>
          <w:color w:val="1B1F3B"/>
          <w:sz w:val="26"/>
          <w:szCs w:val="26"/>
        </w:rPr>
        <w:t xml:space="preserve">6.1. Como Medir o Sucesso do Programa</w:t>
      </w:r>
    </w:p>
    <w:p>
      <w:pPr>
        <w:spacing w:after="160" w:line="300"/>
      </w:pPr>
      <w:r>
        <w:rPr>
          <w:color w:val="222222"/>
          <w:sz w:val="21"/>
          <w:szCs w:val="21"/>
        </w:rPr>
        <w:t xml:space="preserve">Evitar medir sucesso apenas por "conclusão de curso". Sugestão de indicadores:</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000"/>
        <w:gridCol w:w="7350"/>
      </w:tblGrid>
      <w:tr>
        <w:trPr>
          <w:tblHeader/>
        </w:trPr>
        <w:tc>
          <w:tcPr>
            <w:tcW w:type="dxa" w:w="3000"/>
            <w:shd w:fill="1B1F3B" w:val="clear"/>
            <w:tcMar>
              <w:top w:type="dxa" w:w="80"/>
              <w:left w:type="dxa" w:w="100"/>
              <w:bottom w:type="dxa" w:w="80"/>
              <w:right w:type="dxa" w:w="100"/>
            </w:tcMar>
            <w:vAlign w:val="center"/>
          </w:tcPr>
          <w:p>
            <w:r>
              <w:rPr>
                <w:b/>
                <w:bCs/>
                <w:color w:val="FFFFFF"/>
                <w:sz w:val="19"/>
                <w:szCs w:val="19"/>
              </w:rPr>
              <w:t xml:space="preserve">Indicador</w:t>
            </w:r>
          </w:p>
        </w:tc>
        <w:tc>
          <w:tcPr>
            <w:tcW w:type="dxa" w:w="7350"/>
            <w:shd w:fill="1B1F3B" w:val="clear"/>
            <w:tcMar>
              <w:top w:type="dxa" w:w="80"/>
              <w:left w:type="dxa" w:w="100"/>
              <w:bottom w:type="dxa" w:w="80"/>
              <w:right w:type="dxa" w:w="100"/>
            </w:tcMar>
            <w:vAlign w:val="center"/>
          </w:tcPr>
          <w:p>
            <w:r>
              <w:rPr>
                <w:b/>
                <w:bCs/>
                <w:color w:val="FFFFFF"/>
                <w:sz w:val="19"/>
                <w:szCs w:val="19"/>
              </w:rPr>
              <w:t xml:space="preserve">Como medir</w:t>
            </w:r>
          </w:p>
        </w:tc>
      </w:tr>
      <w:tr>
        <w:tc>
          <w:tcPr>
            <w:tcW w:type="dxa" w:w="3000"/>
            <w:tcMar>
              <w:top w:type="dxa" w:w="80"/>
              <w:left w:type="dxa" w:w="100"/>
              <w:bottom w:type="dxa" w:w="80"/>
              <w:right w:type="dxa" w:w="100"/>
            </w:tcMar>
            <w:vAlign w:val="center"/>
          </w:tcPr>
          <w:p>
            <w:r>
              <w:rPr>
                <w:b/>
                <w:bCs/>
                <w:sz w:val="19"/>
                <w:szCs w:val="19"/>
              </w:rPr>
              <w:t xml:space="preserve">Tempo até autonomia</w:t>
            </w:r>
          </w:p>
        </w:tc>
        <w:tc>
          <w:tcPr>
            <w:tcW w:type="dxa" w:w="7350"/>
            <w:tcMar>
              <w:top w:type="dxa" w:w="80"/>
              <w:left w:type="dxa" w:w="100"/>
              <w:bottom w:type="dxa" w:w="80"/>
              <w:right w:type="dxa" w:w="100"/>
            </w:tcMar>
            <w:vAlign w:val="center"/>
          </w:tcPr>
          <w:p>
            <w:r>
              <w:rPr>
                <w:b w:val="false"/>
                <w:bCs w:val="false"/>
                <w:sz w:val="19"/>
                <w:szCs w:val="19"/>
              </w:rPr>
              <w:t xml:space="preserve">Meses até o AE entregar, sozinho, um projeto ponta a ponta (Pilares 1+2+4).</w:t>
            </w:r>
          </w:p>
        </w:tc>
      </w:tr>
      <w:tr>
        <w:tc>
          <w:tcPr>
            <w:tcW w:type="dxa" w:w="3000"/>
            <w:tcMar>
              <w:top w:type="dxa" w:w="80"/>
              <w:left w:type="dxa" w:w="100"/>
              <w:bottom w:type="dxa" w:w="80"/>
              <w:right w:type="dxa" w:w="100"/>
            </w:tcMar>
            <w:vAlign w:val="center"/>
          </w:tcPr>
          <w:p>
            <w:r>
              <w:rPr>
                <w:b/>
                <w:bCs/>
                <w:sz w:val="19"/>
                <w:szCs w:val="19"/>
              </w:rPr>
              <w:t xml:space="preserve">Cobertura de testes</w:t>
            </w:r>
          </w:p>
        </w:tc>
        <w:tc>
          <w:tcPr>
            <w:tcW w:type="dxa" w:w="7350"/>
            <w:tcMar>
              <w:top w:type="dxa" w:w="80"/>
              <w:left w:type="dxa" w:w="100"/>
              <w:bottom w:type="dxa" w:w="80"/>
              <w:right w:type="dxa" w:w="100"/>
            </w:tcMar>
            <w:vAlign w:val="center"/>
          </w:tcPr>
          <w:p>
            <w:r>
              <w:rPr>
                <w:b w:val="false"/>
                <w:bCs w:val="false"/>
                <w:sz w:val="19"/>
                <w:szCs w:val="19"/>
              </w:rPr>
              <w:t xml:space="preserve">% de modelos dbt do time com pelo menos um teste de qualidade associado.</w:t>
            </w:r>
          </w:p>
        </w:tc>
      </w:tr>
      <w:tr>
        <w:tc>
          <w:tcPr>
            <w:tcW w:type="dxa" w:w="3000"/>
            <w:tcMar>
              <w:top w:type="dxa" w:w="80"/>
              <w:left w:type="dxa" w:w="100"/>
              <w:bottom w:type="dxa" w:w="80"/>
              <w:right w:type="dxa" w:w="100"/>
            </w:tcMar>
            <w:vAlign w:val="center"/>
          </w:tcPr>
          <w:p>
            <w:r>
              <w:rPr>
                <w:b/>
                <w:bCs/>
                <w:sz w:val="19"/>
                <w:szCs w:val="19"/>
              </w:rPr>
              <w:t xml:space="preserve">Contribuição documentada</w:t>
            </w:r>
          </w:p>
        </w:tc>
        <w:tc>
          <w:tcPr>
            <w:tcW w:type="dxa" w:w="7350"/>
            <w:tcMar>
              <w:top w:type="dxa" w:w="80"/>
              <w:left w:type="dxa" w:w="100"/>
              <w:bottom w:type="dxa" w:w="80"/>
              <w:right w:type="dxa" w:w="100"/>
            </w:tcMar>
            <w:vAlign w:val="center"/>
          </w:tcPr>
          <w:p>
            <w:r>
              <w:rPr>
                <w:b w:val="false"/>
                <w:bCs w:val="false"/>
                <w:sz w:val="19"/>
                <w:szCs w:val="19"/>
              </w:rPr>
              <w:t xml:space="preserve">Nº de RFCs/ADRs ou templates reutilizáveis produzidos por AE por semestre.</w:t>
            </w:r>
          </w:p>
        </w:tc>
      </w:tr>
      <w:tr>
        <w:tc>
          <w:tcPr>
            <w:tcW w:type="dxa" w:w="3000"/>
            <w:tcMar>
              <w:top w:type="dxa" w:w="80"/>
              <w:left w:type="dxa" w:w="100"/>
              <w:bottom w:type="dxa" w:w="80"/>
              <w:right w:type="dxa" w:w="100"/>
            </w:tcMar>
            <w:vAlign w:val="center"/>
          </w:tcPr>
          <w:p>
            <w:r>
              <w:rPr>
                <w:b/>
                <w:bCs/>
                <w:sz w:val="19"/>
                <w:szCs w:val="19"/>
              </w:rPr>
              <w:t xml:space="preserve">Diversidade de exposição</w:t>
            </w:r>
          </w:p>
        </w:tc>
        <w:tc>
          <w:tcPr>
            <w:tcW w:type="dxa" w:w="7350"/>
            <w:tcMar>
              <w:top w:type="dxa" w:w="80"/>
              <w:left w:type="dxa" w:w="100"/>
              <w:bottom w:type="dxa" w:w="80"/>
              <w:right w:type="dxa" w:w="100"/>
            </w:tcMar>
            <w:vAlign w:val="center"/>
          </w:tcPr>
          <w:p>
            <w:r>
              <w:rPr>
                <w:b w:val="false"/>
                <w:bCs w:val="false"/>
                <w:sz w:val="19"/>
                <w:szCs w:val="19"/>
              </w:rPr>
              <w:t xml:space="preserve">Nº de stacks/indústrias distintos vividos pelo AE nos primeiros 12 meses.</w:t>
            </w:r>
          </w:p>
        </w:tc>
      </w:tr>
      <w:tr>
        <w:tc>
          <w:tcPr>
            <w:tcW w:type="dxa" w:w="3000"/>
            <w:tcMar>
              <w:top w:type="dxa" w:w="80"/>
              <w:left w:type="dxa" w:w="100"/>
              <w:bottom w:type="dxa" w:w="80"/>
              <w:right w:type="dxa" w:w="100"/>
            </w:tcMar>
            <w:vAlign w:val="center"/>
          </w:tcPr>
          <w:p>
            <w:r>
              <w:rPr>
                <w:b/>
                <w:bCs/>
                <w:sz w:val="19"/>
                <w:szCs w:val="19"/>
              </w:rPr>
              <w:t xml:space="preserve">Adoção de camada semântica</w:t>
            </w:r>
          </w:p>
        </w:tc>
        <w:tc>
          <w:tcPr>
            <w:tcW w:type="dxa" w:w="7350"/>
            <w:tcMar>
              <w:top w:type="dxa" w:w="80"/>
              <w:left w:type="dxa" w:w="100"/>
              <w:bottom w:type="dxa" w:w="80"/>
              <w:right w:type="dxa" w:w="100"/>
            </w:tcMar>
            <w:vAlign w:val="center"/>
          </w:tcPr>
          <w:p>
            <w:r>
              <w:rPr>
                <w:b w:val="false"/>
                <w:bCs w:val="false"/>
                <w:sz w:val="19"/>
                <w:szCs w:val="19"/>
              </w:rPr>
              <w:t xml:space="preserve">% de dashboards do time consumindo métricas certificadas vs. cálculos ad-hoc.</w:t>
            </w:r>
          </w:p>
        </w:tc>
      </w:tr>
      <w:tr>
        <w:tc>
          <w:tcPr>
            <w:tcW w:type="dxa" w:w="3000"/>
            <w:tcMar>
              <w:top w:type="dxa" w:w="80"/>
              <w:left w:type="dxa" w:w="100"/>
              <w:bottom w:type="dxa" w:w="80"/>
              <w:right w:type="dxa" w:w="100"/>
            </w:tcMar>
            <w:vAlign w:val="center"/>
          </w:tcPr>
          <w:p>
            <w:r>
              <w:rPr>
                <w:b/>
                <w:bCs/>
                <w:sz w:val="19"/>
                <w:szCs w:val="19"/>
              </w:rPr>
              <w:t xml:space="preserve">Participação em mentoria</w:t>
            </w:r>
          </w:p>
        </w:tc>
        <w:tc>
          <w:tcPr>
            <w:tcW w:type="dxa" w:w="7350"/>
            <w:tcMar>
              <w:top w:type="dxa" w:w="80"/>
              <w:left w:type="dxa" w:w="100"/>
              <w:bottom w:type="dxa" w:w="80"/>
              <w:right w:type="dxa" w:w="100"/>
            </w:tcMar>
            <w:vAlign w:val="center"/>
          </w:tcPr>
          <w:p>
            <w:r>
              <w:rPr>
                <w:b w:val="false"/>
                <w:bCs w:val="false"/>
                <w:sz w:val="19"/>
                <w:szCs w:val="19"/>
              </w:rPr>
              <w:t xml:space="preserve">% de AEs N1/N2 com padrinho técnico ativo e 1:1s regulares.</w:t>
            </w:r>
          </w:p>
        </w:tc>
      </w:tr>
    </w:tbl>
    <w:p>
      <w:r>
        <w:br w:type="page"/>
      </w:r>
    </w:p>
    <w:p>
      <w:pPr>
        <w:pStyle w:val="Heading1"/>
        <w:pBdr>
          <w:bottom w:val="single" w:color="C6398E" w:sz="12" w:space="4"/>
        </w:pBdr>
        <w:spacing w:after="200" w:before="400"/>
      </w:pPr>
      <w:r>
        <w:rPr>
          <w:b/>
          <w:bCs/>
          <w:color w:val="1B1F3B"/>
          <w:sz w:val="32"/>
          <w:szCs w:val="32"/>
        </w:rPr>
        <w:t xml:space="preserve">7. Conexão com os Ativos Já Existentes na Artefact</w:t>
      </w:r>
    </w:p>
    <w:p>
      <w:pPr>
        <w:spacing w:after="160" w:line="300"/>
      </w:pPr>
      <w:r>
        <w:rPr>
          <w:color w:val="222222"/>
          <w:sz w:val="21"/>
          <w:szCs w:val="21"/>
        </w:rPr>
        <w:t xml:space="preserve">Esta seção final ancora o framework proposto na realidade: o que a Artefact já oferece (Tech Grid v4 + Learning Path) que sustenta cada pilar, e onde há espaço para evolução.</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650"/>
        <w:gridCol w:w="3300"/>
      </w:tblGrid>
      <w:tr>
        <w:trPr>
          <w:tblHeader/>
        </w:trPr>
        <w:tc>
          <w:tcPr>
            <w:tcW w:type="dxa" w:w="2300"/>
            <w:shd w:fill="1B1F3B" w:val="clear"/>
            <w:tcMar>
              <w:top w:type="dxa" w:w="80"/>
              <w:left w:type="dxa" w:w="100"/>
              <w:bottom w:type="dxa" w:w="80"/>
              <w:right w:type="dxa" w:w="100"/>
            </w:tcMar>
            <w:vAlign w:val="center"/>
          </w:tcPr>
          <w:p>
            <w:r>
              <w:rPr>
                <w:b/>
                <w:bCs/>
                <w:color w:val="FFFFFF"/>
                <w:sz w:val="19"/>
                <w:szCs w:val="19"/>
              </w:rPr>
              <w:t xml:space="preserve">Pilar proposto</w:t>
            </w:r>
          </w:p>
        </w:tc>
        <w:tc>
          <w:tcPr>
            <w:tcW w:type="dxa" w:w="2100"/>
            <w:shd w:fill="1B1F3B" w:val="clear"/>
            <w:tcMar>
              <w:top w:type="dxa" w:w="80"/>
              <w:left w:type="dxa" w:w="100"/>
              <w:bottom w:type="dxa" w:w="80"/>
              <w:right w:type="dxa" w:w="100"/>
            </w:tcMar>
            <w:vAlign w:val="center"/>
          </w:tcPr>
          <w:p>
            <w:r>
              <w:rPr>
                <w:b/>
                <w:bCs/>
                <w:color w:val="FFFFFF"/>
                <w:sz w:val="19"/>
                <w:szCs w:val="19"/>
              </w:rPr>
              <w:t xml:space="preserve">Skill do Tech Grid</w:t>
            </w:r>
          </w:p>
        </w:tc>
        <w:tc>
          <w:tcPr>
            <w:tcW w:type="dxa" w:w="2650"/>
            <w:shd w:fill="1B1F3B" w:val="clear"/>
            <w:tcMar>
              <w:top w:type="dxa" w:w="80"/>
              <w:left w:type="dxa" w:w="100"/>
              <w:bottom w:type="dxa" w:w="80"/>
              <w:right w:type="dxa" w:w="100"/>
            </w:tcMar>
            <w:vAlign w:val="center"/>
          </w:tcPr>
          <w:p>
            <w:r>
              <w:rPr>
                <w:b/>
                <w:bCs/>
                <w:color w:val="FFFFFF"/>
                <w:sz w:val="19"/>
                <w:szCs w:val="19"/>
              </w:rPr>
              <w:t xml:space="preserve">Recurso já existente</w:t>
            </w:r>
          </w:p>
        </w:tc>
        <w:tc>
          <w:tcPr>
            <w:tcW w:type="dxa" w:w="3300"/>
            <w:shd w:fill="1B1F3B" w:val="clear"/>
            <w:tcMar>
              <w:top w:type="dxa" w:w="80"/>
              <w:left w:type="dxa" w:w="100"/>
              <w:bottom w:type="dxa" w:w="80"/>
              <w:right w:type="dxa" w:w="100"/>
            </w:tcMar>
            <w:vAlign w:val="center"/>
          </w:tcPr>
          <w:p>
            <w:r>
              <w:rPr>
                <w:b/>
                <w:bCs/>
                <w:color w:val="FFFFFF"/>
                <w:sz w:val="19"/>
                <w:szCs w:val="19"/>
              </w:rPr>
              <w:t xml:space="preserve">Gap identificado</w:t>
            </w:r>
          </w:p>
        </w:tc>
      </w:tr>
      <w:tr>
        <w:tc>
          <w:tcPr>
            <w:tcW w:type="dxa" w:w="2300"/>
            <w:tcMar>
              <w:top w:type="dxa" w:w="80"/>
              <w:left w:type="dxa" w:w="100"/>
              <w:bottom w:type="dxa" w:w="80"/>
              <w:right w:type="dxa" w:w="100"/>
            </w:tcMar>
            <w:vAlign w:val="center"/>
          </w:tcPr>
          <w:p>
            <w:r>
              <w:rPr>
                <w:b/>
                <w:bCs/>
                <w:sz w:val="19"/>
                <w:szCs w:val="19"/>
              </w:rPr>
              <w:t xml:space="preserve">1. Modelagem &amp; Transformação</w:t>
            </w:r>
          </w:p>
        </w:tc>
        <w:tc>
          <w:tcPr>
            <w:tcW w:type="dxa" w:w="2100"/>
            <w:tcMar>
              <w:top w:type="dxa" w:w="80"/>
              <w:left w:type="dxa" w:w="100"/>
              <w:bottom w:type="dxa" w:w="80"/>
              <w:right w:type="dxa" w:w="100"/>
            </w:tcMar>
            <w:vAlign w:val="center"/>
          </w:tcPr>
          <w:p>
            <w:r>
              <w:rPr>
                <w:b w:val="false"/>
                <w:bCs w:val="false"/>
                <w:sz w:val="19"/>
                <w:szCs w:val="19"/>
              </w:rPr>
              <w:t xml:space="preserve">Data Handling (Core)</w:t>
            </w:r>
          </w:p>
        </w:tc>
        <w:tc>
          <w:tcPr>
            <w:tcW w:type="dxa" w:w="2650"/>
            <w:tcMar>
              <w:top w:type="dxa" w:w="80"/>
              <w:left w:type="dxa" w:w="100"/>
              <w:bottom w:type="dxa" w:w="80"/>
              <w:right w:type="dxa" w:w="100"/>
            </w:tcMar>
            <w:vAlign w:val="center"/>
          </w:tcPr>
          <w:p>
            <w:r>
              <w:rPr>
                <w:b w:val="false"/>
                <w:bCs w:val="false"/>
                <w:sz w:val="19"/>
                <w:szCs w:val="19"/>
              </w:rPr>
              <w:t xml:space="preserve">Introdução a SQL, Modelagem de Dados Relacional, EDA 101</w:t>
            </w:r>
          </w:p>
        </w:tc>
        <w:tc>
          <w:tcPr>
            <w:tcW w:type="dxa" w:w="3300"/>
            <w:tcMar>
              <w:top w:type="dxa" w:w="80"/>
              <w:left w:type="dxa" w:w="100"/>
              <w:bottom w:type="dxa" w:w="80"/>
              <w:right w:type="dxa" w:w="100"/>
            </w:tcMar>
            <w:vAlign w:val="center"/>
          </w:tcPr>
          <w:p>
            <w:r>
              <w:rPr>
                <w:b w:val="false"/>
                <w:bCs w:val="false"/>
                <w:sz w:val="19"/>
                <w:szCs w:val="19"/>
              </w:rPr>
              <w:t xml:space="preserve">Falta trilha formal de dbt/modelagem dimensional avançada (SCD, Data Vault) — hoje depende de aprendizado autodidata.</w:t>
            </w:r>
          </w:p>
        </w:tc>
      </w:tr>
      <w:tr>
        <w:tc>
          <w:tcPr>
            <w:tcW w:type="dxa" w:w="2300"/>
            <w:tcMar>
              <w:top w:type="dxa" w:w="80"/>
              <w:left w:type="dxa" w:w="100"/>
              <w:bottom w:type="dxa" w:w="80"/>
              <w:right w:type="dxa" w:w="100"/>
            </w:tcMar>
            <w:vAlign w:val="center"/>
          </w:tcPr>
          <w:p>
            <w:r>
              <w:rPr>
                <w:b/>
                <w:bCs/>
                <w:sz w:val="19"/>
                <w:szCs w:val="19"/>
              </w:rPr>
              <w:t xml:space="preserve">2. Engenharia de Software (DataOps)</w:t>
            </w:r>
          </w:p>
        </w:tc>
        <w:tc>
          <w:tcPr>
            <w:tcW w:type="dxa" w:w="2100"/>
            <w:tcMar>
              <w:top w:type="dxa" w:w="80"/>
              <w:left w:type="dxa" w:w="100"/>
              <w:bottom w:type="dxa" w:w="80"/>
              <w:right w:type="dxa" w:w="100"/>
            </w:tcMar>
            <w:vAlign w:val="center"/>
          </w:tcPr>
          <w:p>
            <w:r>
              <w:rPr>
                <w:b w:val="false"/>
                <w:bCs w:val="false"/>
                <w:sz w:val="19"/>
                <w:szCs w:val="19"/>
              </w:rPr>
              <w:t xml:space="preserve">Software Engineering Principles (Side)</w:t>
            </w:r>
          </w:p>
        </w:tc>
        <w:tc>
          <w:tcPr>
            <w:tcW w:type="dxa" w:w="2650"/>
            <w:tcMar>
              <w:top w:type="dxa" w:w="80"/>
              <w:left w:type="dxa" w:w="100"/>
              <w:bottom w:type="dxa" w:w="80"/>
              <w:right w:type="dxa" w:w="100"/>
            </w:tcMar>
            <w:vAlign w:val="center"/>
          </w:tcPr>
          <w:p>
            <w:r>
              <w:rPr>
                <w:b w:val="false"/>
                <w:bCs w:val="false"/>
                <w:sz w:val="19"/>
                <w:szCs w:val="19"/>
              </w:rPr>
              <w:t xml:space="preserve">Boas Práticas de Git, Software Engineering Curriculum</w:t>
            </w:r>
          </w:p>
        </w:tc>
        <w:tc>
          <w:tcPr>
            <w:tcW w:type="dxa" w:w="3300"/>
            <w:tcMar>
              <w:top w:type="dxa" w:w="80"/>
              <w:left w:type="dxa" w:w="100"/>
              <w:bottom w:type="dxa" w:w="80"/>
              <w:right w:type="dxa" w:w="100"/>
            </w:tcMar>
            <w:vAlign w:val="center"/>
          </w:tcPr>
          <w:p>
            <w:r>
              <w:rPr>
                <w:b w:val="false"/>
                <w:bCs w:val="false"/>
                <w:sz w:val="19"/>
                <w:szCs w:val="19"/>
              </w:rPr>
              <w:t xml:space="preserve">Testes de qualidade de dados e observability não têm treinamento dedicado no catálogo atual.</w:t>
            </w:r>
          </w:p>
        </w:tc>
      </w:tr>
      <w:tr>
        <w:tc>
          <w:tcPr>
            <w:tcW w:type="dxa" w:w="2300"/>
            <w:tcMar>
              <w:top w:type="dxa" w:w="80"/>
              <w:left w:type="dxa" w:w="100"/>
              <w:bottom w:type="dxa" w:w="80"/>
              <w:right w:type="dxa" w:w="100"/>
            </w:tcMar>
            <w:vAlign w:val="center"/>
          </w:tcPr>
          <w:p>
            <w:r>
              <w:rPr>
                <w:b/>
                <w:bCs/>
                <w:sz w:val="19"/>
                <w:szCs w:val="19"/>
              </w:rPr>
              <w:t xml:space="preserve">3. Arquitetura &amp; Plataforma</w:t>
            </w:r>
          </w:p>
        </w:tc>
        <w:tc>
          <w:tcPr>
            <w:tcW w:type="dxa" w:w="2100"/>
            <w:tcMar>
              <w:top w:type="dxa" w:w="80"/>
              <w:left w:type="dxa" w:w="100"/>
              <w:bottom w:type="dxa" w:w="80"/>
              <w:right w:type="dxa" w:w="100"/>
            </w:tcMar>
            <w:vAlign w:val="center"/>
          </w:tcPr>
          <w:p>
            <w:r>
              <w:rPr>
                <w:b w:val="false"/>
                <w:bCs w:val="false"/>
                <w:sz w:val="19"/>
                <w:szCs w:val="19"/>
              </w:rPr>
              <w:t xml:space="preserve">Cloud Architecture (Important)</w:t>
            </w:r>
          </w:p>
        </w:tc>
        <w:tc>
          <w:tcPr>
            <w:tcW w:type="dxa" w:w="2650"/>
            <w:tcMar>
              <w:top w:type="dxa" w:w="80"/>
              <w:left w:type="dxa" w:w="100"/>
              <w:bottom w:type="dxa" w:w="80"/>
              <w:right w:type="dxa" w:w="100"/>
            </w:tcMar>
            <w:vAlign w:val="center"/>
          </w:tcPr>
          <w:p>
            <w:r>
              <w:rPr>
                <w:b w:val="false"/>
                <w:bCs w:val="false"/>
                <w:sz w:val="19"/>
                <w:szCs w:val="19"/>
              </w:rPr>
              <w:t xml:space="preserve">Azure data engineer path, Designing Data-Intensive Apps, ByteByteGo</w:t>
            </w:r>
          </w:p>
        </w:tc>
        <w:tc>
          <w:tcPr>
            <w:tcW w:type="dxa" w:w="3300"/>
            <w:tcMar>
              <w:top w:type="dxa" w:w="80"/>
              <w:left w:type="dxa" w:w="100"/>
              <w:bottom w:type="dxa" w:w="80"/>
              <w:right w:type="dxa" w:w="100"/>
            </w:tcMar>
            <w:vAlign w:val="center"/>
          </w:tcPr>
          <w:p>
            <w:r>
              <w:rPr>
                <w:b w:val="false"/>
                <w:bCs w:val="false"/>
                <w:sz w:val="19"/>
                <w:szCs w:val="19"/>
              </w:rPr>
              <w:t xml:space="preserve">Camada semântica (dbt Semantic Layer/Cube) ainda não aparece como conteúdo formal.</w:t>
            </w:r>
          </w:p>
        </w:tc>
      </w:tr>
      <w:tr>
        <w:tc>
          <w:tcPr>
            <w:tcW w:type="dxa" w:w="2300"/>
            <w:tcMar>
              <w:top w:type="dxa" w:w="80"/>
              <w:left w:type="dxa" w:w="100"/>
              <w:bottom w:type="dxa" w:w="80"/>
              <w:right w:type="dxa" w:w="100"/>
            </w:tcMar>
            <w:vAlign w:val="center"/>
          </w:tcPr>
          <w:p>
            <w:r>
              <w:rPr>
                <w:b/>
                <w:bCs/>
                <w:sz w:val="19"/>
                <w:szCs w:val="19"/>
              </w:rPr>
              <w:t xml:space="preserve">4. Visualização &amp; Dado como Produto</w:t>
            </w:r>
          </w:p>
        </w:tc>
        <w:tc>
          <w:tcPr>
            <w:tcW w:type="dxa" w:w="2100"/>
            <w:tcMar>
              <w:top w:type="dxa" w:w="80"/>
              <w:left w:type="dxa" w:w="100"/>
              <w:bottom w:type="dxa" w:w="80"/>
              <w:right w:type="dxa" w:w="100"/>
            </w:tcMar>
            <w:vAlign w:val="center"/>
          </w:tcPr>
          <w:p>
            <w:r>
              <w:rPr>
                <w:b w:val="false"/>
                <w:bCs w:val="false"/>
                <w:sz w:val="19"/>
                <w:szCs w:val="19"/>
              </w:rPr>
              <w:t xml:space="preserve">Data Viz + Product Design (Core)</w:t>
            </w:r>
          </w:p>
        </w:tc>
        <w:tc>
          <w:tcPr>
            <w:tcW w:type="dxa" w:w="2650"/>
            <w:tcMar>
              <w:top w:type="dxa" w:w="80"/>
              <w:left w:type="dxa" w:w="100"/>
              <w:bottom w:type="dxa" w:w="80"/>
              <w:right w:type="dxa" w:w="100"/>
            </w:tcMar>
            <w:vAlign w:val="center"/>
          </w:tcPr>
          <w:p>
            <w:r>
              <w:rPr>
                <w:b w:val="false"/>
                <w:bCs w:val="false"/>
                <w:sz w:val="19"/>
                <w:szCs w:val="19"/>
              </w:rPr>
              <w:t xml:space="preserve">Fundamentos de BI/Power BI, workout wednesday</w:t>
            </w:r>
          </w:p>
        </w:tc>
        <w:tc>
          <w:tcPr>
            <w:tcW w:type="dxa" w:w="3300"/>
            <w:tcMar>
              <w:top w:type="dxa" w:w="80"/>
              <w:left w:type="dxa" w:w="100"/>
              <w:bottom w:type="dxa" w:w="80"/>
              <w:right w:type="dxa" w:w="100"/>
            </w:tcMar>
            <w:vAlign w:val="center"/>
          </w:tcPr>
          <w:p>
            <w:r>
              <w:rPr>
                <w:b w:val="false"/>
                <w:bCs w:val="false"/>
                <w:sz w:val="19"/>
                <w:szCs w:val="19"/>
              </w:rPr>
              <w:t xml:space="preserve">Product thinking aplicado a dados (SLA, ownership, adoção) não é tratado como disciplina própria ainda.</w:t>
            </w:r>
          </w:p>
        </w:tc>
      </w:tr>
      <w:tr>
        <w:tc>
          <w:tcPr>
            <w:tcW w:type="dxa" w:w="2300"/>
            <w:tcMar>
              <w:top w:type="dxa" w:w="80"/>
              <w:left w:type="dxa" w:w="100"/>
              <w:bottom w:type="dxa" w:w="80"/>
              <w:right w:type="dxa" w:w="100"/>
            </w:tcMar>
            <w:vAlign w:val="center"/>
          </w:tcPr>
          <w:p>
            <w:r>
              <w:rPr>
                <w:b/>
                <w:bCs/>
                <w:sz w:val="19"/>
                <w:szCs w:val="19"/>
              </w:rPr>
              <w:t xml:space="preserve">5. IA Generativa Aplicada</w:t>
            </w:r>
          </w:p>
        </w:tc>
        <w:tc>
          <w:tcPr>
            <w:tcW w:type="dxa" w:w="2100"/>
            <w:tcMar>
              <w:top w:type="dxa" w:w="80"/>
              <w:left w:type="dxa" w:w="100"/>
              <w:bottom w:type="dxa" w:w="80"/>
              <w:right w:type="dxa" w:w="100"/>
            </w:tcMar>
            <w:vAlign w:val="center"/>
          </w:tcPr>
          <w:p>
            <w:r>
              <w:rPr>
                <w:b w:val="false"/>
                <w:bCs w:val="false"/>
                <w:sz w:val="19"/>
                <w:szCs w:val="19"/>
              </w:rPr>
              <w:t xml:space="preserve">Generative AI Solutions (Important)</w:t>
            </w:r>
          </w:p>
        </w:tc>
        <w:tc>
          <w:tcPr>
            <w:tcW w:type="dxa" w:w="2650"/>
            <w:tcMar>
              <w:top w:type="dxa" w:w="80"/>
              <w:left w:type="dxa" w:w="100"/>
              <w:bottom w:type="dxa" w:w="80"/>
              <w:right w:type="dxa" w:w="100"/>
            </w:tcMar>
            <w:vAlign w:val="center"/>
          </w:tcPr>
          <w:p>
            <w:r>
              <w:rPr>
                <w:b w:val="false"/>
                <w:bCs w:val="false"/>
                <w:sz w:val="19"/>
                <w:szCs w:val="19"/>
              </w:rPr>
              <w:t xml:space="preserve">Agentic AI (Academy)</w:t>
            </w:r>
          </w:p>
        </w:tc>
        <w:tc>
          <w:tcPr>
            <w:tcW w:type="dxa" w:w="3300"/>
            <w:tcMar>
              <w:top w:type="dxa" w:w="80"/>
              <w:left w:type="dxa" w:w="100"/>
              <w:bottom w:type="dxa" w:w="80"/>
              <w:right w:type="dxa" w:w="100"/>
            </w:tcMar>
            <w:vAlign w:val="center"/>
          </w:tcPr>
          <w:p>
            <w:r>
              <w:rPr>
                <w:b w:val="false"/>
                <w:bCs w:val="false"/>
                <w:sz w:val="19"/>
                <w:szCs w:val="19"/>
              </w:rPr>
              <w:t xml:space="preserve">Sem certificação/expert dedicado ainda a "Augmented BI" especificamente — maior gap identificado.</w:t>
            </w:r>
          </w:p>
        </w:tc>
      </w:tr>
      <w:tr>
        <w:tc>
          <w:tcPr>
            <w:tcW w:type="dxa" w:w="2300"/>
            <w:tcMar>
              <w:top w:type="dxa" w:w="80"/>
              <w:left w:type="dxa" w:w="100"/>
              <w:bottom w:type="dxa" w:w="80"/>
              <w:right w:type="dxa" w:w="100"/>
            </w:tcMar>
            <w:vAlign w:val="center"/>
          </w:tcPr>
          <w:p>
            <w:r>
              <w:rPr>
                <w:b/>
                <w:bCs/>
                <w:sz w:val="19"/>
                <w:szCs w:val="19"/>
              </w:rPr>
              <w:t xml:space="preserve">6. Negócio, Comunicação &amp; Liderança</w:t>
            </w:r>
          </w:p>
        </w:tc>
        <w:tc>
          <w:tcPr>
            <w:tcW w:type="dxa" w:w="2100"/>
            <w:tcMar>
              <w:top w:type="dxa" w:w="80"/>
              <w:left w:type="dxa" w:w="100"/>
              <w:bottom w:type="dxa" w:w="80"/>
              <w:right w:type="dxa" w:w="100"/>
            </w:tcMar>
            <w:vAlign w:val="center"/>
          </w:tcPr>
          <w:p>
            <w:r>
              <w:rPr>
                <w:b w:val="false"/>
                <w:bCs w:val="false"/>
                <w:sz w:val="19"/>
                <w:szCs w:val="19"/>
              </w:rPr>
              <w:t xml:space="preserve">Analytical Mindset, Communication (Human Skills)</w:t>
            </w:r>
          </w:p>
        </w:tc>
        <w:tc>
          <w:tcPr>
            <w:tcW w:type="dxa" w:w="2650"/>
            <w:tcMar>
              <w:top w:type="dxa" w:w="80"/>
              <w:left w:type="dxa" w:w="100"/>
              <w:bottom w:type="dxa" w:w="80"/>
              <w:right w:type="dxa" w:w="100"/>
            </w:tcMar>
            <w:vAlign w:val="center"/>
          </w:tcPr>
          <w:p>
            <w:r>
              <w:rPr>
                <w:b w:val="false"/>
                <w:bCs w:val="false"/>
                <w:sz w:val="19"/>
                <w:szCs w:val="19"/>
              </w:rPr>
              <w:t xml:space="preserve">Skill Curriculums com Camila Moreno; Documentação/Handover (Senior)</w:t>
            </w:r>
          </w:p>
        </w:tc>
        <w:tc>
          <w:tcPr>
            <w:tcW w:type="dxa" w:w="3300"/>
            <w:tcMar>
              <w:top w:type="dxa" w:w="80"/>
              <w:left w:type="dxa" w:w="100"/>
              <w:bottom w:type="dxa" w:w="80"/>
              <w:right w:type="dxa" w:w="100"/>
            </w:tcMar>
            <w:vAlign w:val="center"/>
          </w:tcPr>
          <w:p>
            <w:r>
              <w:rPr>
                <w:b w:val="false"/>
                <w:bCs w:val="false"/>
                <w:sz w:val="19"/>
                <w:szCs w:val="19"/>
              </w:rPr>
              <w:t xml:space="preserve">Prática de RFC/ADR e mentoria estruturada não são rituais formalizados hoje.</w:t>
            </w:r>
          </w:p>
        </w:tc>
      </w:tr>
    </w:tbl>
    <w:p>
      <w:pPr>
        <w:spacing w:after="160"/>
      </w:pPr>
    </w:p>
    <w:p>
      <w:pPr>
        <w:spacing w:after="200"/>
      </w:pPr>
      <w:r>
        <w:rPr>
          <w:i/>
          <w:iCs/>
          <w:color w:val="595959"/>
          <w:sz w:val="19"/>
          <w:szCs w:val="19"/>
        </w:rPr>
        <w:t xml:space="preserve">Os gaps acima são a recomendação mais concreta e acionável deste documento: são as lacunas que, se preenchidas no Learning Path, fariam a oferta interna da Artefact acompanhar totalmente este framework.</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x8a_qulmmue1escv_ybr" Type="http://schemas.openxmlformats.org/officeDocument/2006/relationships/hyperlink" Target="https://courses.getdbt.com/courses/fundamentals" TargetMode="External"/><Relationship Id="rIdbsv_5gkyrqopy_j--l5ms" Type="http://schemas.openxmlformats.org/officeDocument/2006/relationships/hyperlink" Target="https://www.getdbt.com/analytics-engineering/" TargetMode="External"/><Relationship Id="rIdomrghcv2txwqq-oagpw5y" Type="http://schemas.openxmlformats.org/officeDocument/2006/relationships/hyperlink" Target="https://docs.getdbt.com/docs/use-dbt-semantic-layer/dbt-sl" TargetMode="External"/><Relationship Id="rIda8i1nn7aylwknfgahz2l0" Type="http://schemas.openxmlformats.org/officeDocument/2006/relationships/hyperlink" Target="https://workout-wednesday.com/lates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de Desenvolvimento para Analytics Engineers</dc:title>
  <dc:creator>Artefact — Knowledge Hub de AEs</dc:creator>
  <cp:lastModifiedBy>Un-named</cp:lastModifiedBy>
  <cp:revision>1</cp:revision>
  <dcterms:created xsi:type="dcterms:W3CDTF">2026-07-24T15:46:31.533Z</dcterms:created>
  <dcterms:modified xsi:type="dcterms:W3CDTF">2026-07-24T15:46:31.535Z</dcterms:modified>
</cp:coreProperties>
</file>

<file path=docProps/custom.xml><?xml version="1.0" encoding="utf-8"?>
<Properties xmlns="http://schemas.openxmlformats.org/officeDocument/2006/custom-properties" xmlns:vt="http://schemas.openxmlformats.org/officeDocument/2006/docPropsVTypes"/>
</file>