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sz w:val="72"/>
          <w:szCs w:val="72"/>
        </w:rPr>
        <w:t xml:space="preserve">🎓</w:t>
      </w:r>
    </w:p>
    <w:p>
      <w:pPr>
        <w:spacing w:after="120" w:before="300"/>
        <w:jc w:val="center"/>
      </w:pPr>
      <w:r>
        <w:rPr>
          <w:b/>
          <w:bCs/>
          <w:color w:val="1B1F3B"/>
          <w:sz w:val="52"/>
          <w:szCs w:val="52"/>
        </w:rPr>
        <w:t xml:space="preserve">Trilha de Aprendizado Ideal</w:t>
      </w:r>
    </w:p>
    <w:p>
      <w:pPr>
        <w:spacing w:after="400"/>
        <w:jc w:val="center"/>
      </w:pPr>
      <w:r>
        <w:rPr>
          <w:b/>
          <w:bCs/>
          <w:color w:val="C6398E"/>
          <w:sz w:val="36"/>
          <w:szCs w:val="36"/>
        </w:rPr>
        <w:t xml:space="preserve">para Analytics Engineers (AE)</w:t>
      </w:r>
    </w:p>
    <w:p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 xml:space="preserve">Da base ao nível de referência — um caminho de onboarding e crescimento</w:t>
      </w:r>
    </w:p>
    <w:p>
      <w:pPr>
        <w:spacing w:before="600"/>
        <w:jc w:val="center"/>
      </w:pPr>
      <w:r>
        <w:rPr>
          <w:color w:val="595959"/>
          <w:sz w:val="20"/>
          <w:szCs w:val="20"/>
        </w:rPr>
        <w:t xml:space="preserve">Fundamentado no Tech Grid v4 e no Learning Path — Artefact LATAM</w:t>
      </w:r>
    </w:p>
    <w:p>
      <w:pPr>
        <w:spacing w:before="1600"/>
        <w:jc w:val="center"/>
      </w:pPr>
      <w:r>
        <w:rPr>
          <w:color w:val="595959"/>
          <w:sz w:val="18"/>
          <w:szCs w:val="18"/>
        </w:rPr>
        <w:t xml:space="preserve">Knowledge Hub de AEs · Artefact</w:t>
      </w:r>
    </w:p>
    <w:p>
      <w:r>
        <w:br w:type="page"/>
      </w:r>
    </w:p>
    <w:p>
      <w:pPr>
        <w:pStyle w:val="Heading1"/>
        <w:pBdr>
          <w:bottom w:val="single" w:color="C6398E" w:sz="12" w:space="4"/>
        </w:pBdr>
        <w:spacing w:after="200" w:before="400"/>
      </w:pPr>
      <w:r>
        <w:rPr>
          <w:b/>
          <w:bCs/>
          <w:color w:val="1B1F3B"/>
          <w:sz w:val="32"/>
          <w:szCs w:val="32"/>
        </w:rPr>
        <w:t xml:space="preserve">1. Objetivo e Metodologia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Este documento propõe uma trilha de aprendizado ideal para um(a) Analytics Engineer (AE) recém-chegado(a) à Artefact — indo além dos treinamentos básicos de onboarding e conectando, de forma concreta, as habilidades exigidas pelo Tech Grid v4 aos recursos de formação já existentes no Learning Path Artefact LATAM (Academy, Skill Curriculums, certificações, comunidade de experts).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Diferente de uma lista solta de cursos, a trilha aqui é construída a partir de dois documentos internos oficiais, lidos e cruzados na íntegra: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Tech Grid v4 — a matriz de competências que define, para cada skill, quatro níveis de maturidade (não são "Iniciante/Intermediário/Avançado", e sim quatro estágios de impacto) e o peso real de cada skill para o papel de AE especificamente.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Learning Path — Artefact LATAM — o catálogo vivo que conecta cada skill do grid a um treinamento (Academy, Skill Curriculum, curso global) e a um expert interno de referência.</w:t>
      </w:r>
    </w:p>
    <w:p>
      <w:pPr>
        <w:pStyle w:val="Heading2"/>
        <w:spacing w:after="160" w:before="320"/>
      </w:pPr>
      <w:r>
        <w:rPr>
          <w:b/>
          <w:bCs/>
          <w:color w:val="1B1F3B"/>
          <w:sz w:val="26"/>
          <w:szCs w:val="26"/>
        </w:rPr>
        <w:t xml:space="preserve">1.1. Como o Tech Grid realmente funciona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O grid organiza 16 competências em três categorias: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Human Skills — Analytical Mindset, Communication, People Management, Time/Project Management. Transversais a todos os papéis técnicos, desde o dia 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Core Skills — as 10 competências técnicas centrais: Data Handling, Data Pipelines, Applied Math &amp; Statistics, Machine Learning and Optimization Techniques, Operations (DevOps/MLOps), Software Engineering Principles, Generative AI Solutions, Product Design, Data Viz e Cloud Architecture.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Growth — Internal Efficiency e Sales. Tornam-se obrigatórias a partir do nível Senior (é necessário evoluir em pelo menos uma delas para chegar a Senior, e em duas para chegar a Manager).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Cada competência tem exatamente quatro níveis, definidos pelo alcance ("Reach") do impacto da pessoa: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50"/>
      </w:tblGrid>
      <w:tr>
        <w:trPr>
          <w:tblHeader/>
        </w:trPr>
        <w:tc>
          <w:tcPr>
            <w:tcW w:type="dxa" w:w="1200"/>
            <w:shd w:fill="1B1F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2200"/>
            <w:shd w:fill="1B1F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Alcance (Reach)</w:t>
            </w:r>
          </w:p>
        </w:tc>
        <w:tc>
          <w:tcPr>
            <w:tcW w:type="dxa" w:w="5950"/>
            <w:shd w:fill="1B1F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significa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Individual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Sabe fazer com orientação mínima.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Metas do projeto, Time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Sabe fazer de forma autônoma.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Conta, stakeholder, time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Consegue ensinar internamente / ser referência para o cliente.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Grande conta; Artefact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Faz a Artefact brilhar / é referência fora da Artefact.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b/>
          <w:bCs/>
          <w:color w:val="1B1F3B"/>
          <w:sz w:val="26"/>
          <w:szCs w:val="26"/>
        </w:rPr>
        <w:t xml:space="preserve">1.2. Nem toda skill pesa igual para um AE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O ponto mais importante — e que a maioria das trilhas genéricas ignora — é que o próprio Tech Grid v4 já classifica, por papel, o quanto cada Core Skill importa para um Analytics Engineer especificamente (aba "points per level"). Essa classificação é o critério que usamos para priorizar esta trilha:</w:t>
      </w:r>
    </w:p>
    <w:p>
      <w:pPr>
        <w:spacing w:after="160" w:line="300"/>
      </w:pPr>
      <w:r>
        <w:rPr>
          <w:b/>
          <w:bCs/>
          <w:color w:val="FFFFFF"/>
          <w:sz w:val="16"/>
          <w:szCs w:val="16"/>
          <w:shd w:fill="1B5E20" w:val="clear"/>
        </w:rPr>
        <w:t xml:space="preserve">  CORE  </w:t>
      </w:r>
      <w:r>
        <w:rPr>
          <w:sz w:val="21"/>
          <w:szCs w:val="21"/>
        </w:rPr>
        <w:t xml:space="preserve">  — competência definidora do papel de AE; deve evoluir continuamente desde o onboarding.</w:t>
      </w:r>
    </w:p>
    <w:p>
      <w:pPr>
        <w:spacing w:after="160" w:line="300"/>
      </w:pPr>
      <w:r>
        <w:rPr>
          <w:b/>
          <w:bCs/>
          <w:color w:val="FFFFFF"/>
          <w:sz w:val="16"/>
          <w:szCs w:val="16"/>
          <w:shd w:fill="8A6D00" w:val="clear"/>
        </w:rPr>
        <w:t xml:space="preserve">  IMPORTANTE  </w:t>
      </w:r>
      <w:r>
        <w:rPr>
          <w:sz w:val="21"/>
          <w:szCs w:val="21"/>
        </w:rPr>
        <w:t xml:space="preserve">  — relevante e crescente; começa a aparecer com força a partir da autonomia (meio da trilha).</w:t>
      </w:r>
    </w:p>
    <w:p>
      <w:pPr>
        <w:spacing w:after="160" w:line="300"/>
      </w:pPr>
      <w:r>
        <w:rPr>
          <w:b/>
          <w:bCs/>
          <w:color w:val="FFFFFF"/>
          <w:sz w:val="16"/>
          <w:szCs w:val="16"/>
          <w:shd w:fill="757575" w:val="clear"/>
        </w:rPr>
        <w:t xml:space="preserve">  COMPLEMENTAR  </w:t>
      </w:r>
      <w:r>
        <w:rPr>
          <w:sz w:val="21"/>
          <w:szCs w:val="21"/>
        </w:rPr>
        <w:t xml:space="preserve">  — complementar; não é o foco do papel de AE, mas soma como diferencial competitivo.</w:t>
      </w:r>
    </w:p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Nota metodológica: esta trilha também não deve ser confundida com um critério automático de promoção no grid — o próprio time que mantém o Learning Path é explícito sobre isso: o objetivo é guiar a evolução de skill, não substituir o processo de avaliação e promoção.</w:t>
      </w:r>
    </w:p>
    <w:p>
      <w:r>
        <w:br w:type="page"/>
      </w:r>
    </w:p>
    <w:p>
      <w:pPr>
        <w:pStyle w:val="Heading1"/>
        <w:pBdr>
          <w:bottom w:val="single" w:color="C6398E" w:sz="12" w:space="4"/>
        </w:pBdr>
        <w:spacing w:after="200" w:before="400"/>
      </w:pPr>
      <w:r>
        <w:rPr>
          <w:b/>
          <w:bCs/>
          <w:color w:val="1B1F3B"/>
          <w:sz w:val="32"/>
          <w:szCs w:val="32"/>
        </w:rPr>
        <w:t xml:space="preserve">2. Mapa de Prioridade de Skills para um AE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tabela abaixo cruza a classificação real de importância do grid para AE com o nível-alvo esperado em cada estágio de carreira (extraído do "points per level", que usa os estágios Pré-onboarding → Associate → Engineer → Senior → Manager). Ela é a espinha dorsal das fases descritas na Seção 3.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350"/>
        <w:gridCol w:w="1400"/>
        <w:gridCol w:w="1400"/>
        <w:gridCol w:w="1400"/>
      </w:tblGrid>
      <w:tr>
        <w:trPr>
          <w:tblHeader/>
        </w:trPr>
        <w:tc>
          <w:tcPr>
            <w:tcW w:type="dxa" w:w="2400"/>
            <w:shd w:fill="1B1F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 (Core Skills)</w:t>
            </w:r>
          </w:p>
        </w:tc>
        <w:tc>
          <w:tcPr>
            <w:tcW w:type="dxa" w:w="1400"/>
            <w:shd w:fill="1B1F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Peso p/ AE</w:t>
            </w:r>
          </w:p>
        </w:tc>
        <w:tc>
          <w:tcPr>
            <w:tcW w:type="dxa" w:w="2350"/>
            <w:shd w:fill="1B1F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 que se trata</w:t>
            </w:r>
          </w:p>
        </w:tc>
        <w:tc>
          <w:tcPr>
            <w:tcW w:type="dxa" w:w="1400"/>
            <w:shd w:fill="1B1F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 1</w:t>
            </w:r>
          </w:p>
        </w:tc>
        <w:tc>
          <w:tcPr>
            <w:tcW w:type="dxa" w:w="1400"/>
            <w:shd w:fill="1B1F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 2</w:t>
            </w:r>
          </w:p>
        </w:tc>
        <w:tc>
          <w:tcPr>
            <w:tcW w:type="dxa" w:w="1400"/>
            <w:shd w:fill="1B1F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Data Handling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5E20"/>
                <w:sz w:val="18"/>
                <w:szCs w:val="18"/>
              </w:rPr>
              <w:t xml:space="preserve">Core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SQL, modelagem, qualidade de dados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L2–L3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Data Viz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5E20"/>
                <w:sz w:val="18"/>
                <w:szCs w:val="18"/>
              </w:rPr>
              <w:t xml:space="preserve">Core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Dashboards e storytelling visual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L3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Applied Math &amp; Statistics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5E20"/>
                <w:sz w:val="18"/>
                <w:szCs w:val="18"/>
              </w:rPr>
              <w:t xml:space="preserve">Core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KPIs, estatística aplicada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L0–L1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Product Design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5E20"/>
                <w:sz w:val="18"/>
                <w:szCs w:val="18"/>
              </w:rPr>
              <w:t xml:space="preserve">Core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Dado como produto, UX de dashboard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L0–L1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L2–L3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Generative AI Solutions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Important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LLMs, agentes, RAG aplicados a dados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Cloud Architecture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Important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Medallion architecture, plataformas cloud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L0–L1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L1–L2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Data Pipelines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757575"/>
                <w:sz w:val="18"/>
                <w:szCs w:val="18"/>
              </w:rPr>
              <w:t xml:space="preserve">Side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ETL/ELT, orquestração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L0–L1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L1–L2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Software Engineering Principles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757575"/>
                <w:sz w:val="18"/>
                <w:szCs w:val="18"/>
              </w:rPr>
              <w:t xml:space="preserve">Side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Git, CI/CD, código limpo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Machine Learning &amp; Optimization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757575"/>
                <w:sz w:val="18"/>
                <w:szCs w:val="18"/>
              </w:rPr>
              <w:t xml:space="preserve">Side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é foco do papel de AE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Operations (DevOps/MLOps)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757575"/>
                <w:sz w:val="18"/>
                <w:szCs w:val="18"/>
              </w:rPr>
              <w:t xml:space="preserve">Side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é foco do papel de AE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Human Skills (Analytical Mindset, Communication, People Management, Time/Project Management) não entram nessa tabela porque o grid não as pontua por papel — elas são esperadas de forma transversal, desde o primeiro dia, para qualquer trilha técnica.</w:t>
      </w:r>
    </w:p>
    <w:p>
      <w:r>
        <w:br w:type="page"/>
      </w:r>
    </w:p>
    <w:p>
      <w:pPr>
        <w:pStyle w:val="Heading1"/>
        <w:pBdr>
          <w:bottom w:val="single" w:color="C6398E" w:sz="12" w:space="4"/>
        </w:pBdr>
        <w:spacing w:after="200" w:before="400"/>
      </w:pPr>
      <w:r>
        <w:rPr>
          <w:b/>
          <w:bCs/>
          <w:color w:val="1B1F3B"/>
          <w:sz w:val="32"/>
          <w:szCs w:val="32"/>
        </w:rPr>
        <w:t xml:space="preserve">3. A Trilha em 4 Fases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Cada fase abaixo combina: (a) a definição oficial do grid para o nível-alvo, (b) os treinamentos internos reais mapeados no Learning Path — com o expert responsável — e (c) um critério de validação prático.</w:t>
      </w:r>
    </w:p>
    <w:p>
      <w:pPr>
        <w:pStyle w:val="Heading2"/>
        <w:spacing w:after="160" w:before="320"/>
      </w:pPr>
      <w:r>
        <w:rPr>
          <w:b/>
          <w:bCs/>
          <w:color w:val="1B1F3B"/>
          <w:sz w:val="26"/>
          <w:szCs w:val="26"/>
        </w:rPr>
        <w:t xml:space="preserve">Fase 0 — Onboarding Institucional (semanas 1–4)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Antes de qualquer skill técnica, o novo AE precisa entender a empresa: como a Artefact se organiza, fala com o mercado e estrutura o raciocínio de negócio. Esta fase não está explícita no grid — é a base que faz toda a trilha técnica fazer sentido depois.</w:t>
      </w:r>
    </w:p>
    <w:p>
      <w:pPr>
        <w:pStyle w:val="Heading3"/>
        <w:spacing w:after="100" w:before="240"/>
      </w:pPr>
      <w:r>
        <w:rPr>
          <w:b/>
          <w:bCs/>
          <w:color w:val="1B1F3B"/>
          <w:sz w:val="22"/>
          <w:szCs w:val="22"/>
        </w:rPr>
        <w:t xml:space="preserve">Treinamentos institucionais (Academy · Todas | Entry)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sbgqqwmlxj0725kkpywc4">
        <w:r>
          <w:rPr>
            <w:color w:val="1155CC"/>
            <w:u w:val="single"/>
          </w:rPr>
          <w:t xml:space="preserve">Estruturação de Problemas, Lógica de Raciocínio e Business Case</w:t>
        </w:r>
      </w:hyperlink>
      <w:r>
        <w:rPr>
          <w:i/>
          <w:iCs/>
          <w:sz w:val="21"/>
          <w:szCs w:val="21"/>
        </w:rPr>
        <w:t xml:space="preserve">  — Victor Campos, Victor Pontello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yddocmtotkur7wm0eq2l_">
        <w:r>
          <w:rPr>
            <w:color w:val="1155CC"/>
            <w:u w:val="single"/>
          </w:rPr>
          <w:t xml:space="preserve">Nosso Business: Go To Market — Industries &amp; Offers</w:t>
        </w:r>
      </w:hyperlink>
      <w:r>
        <w:rPr>
          <w:i/>
          <w:iCs/>
          <w:sz w:val="21"/>
          <w:szCs w:val="21"/>
        </w:rPr>
        <w:t xml:space="preserve">  — Pedro Lauand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cxvvg2qmgmbxz0mn3zuk-">
        <w:r>
          <w:rPr>
            <w:color w:val="1155CC"/>
            <w:u w:val="single"/>
          </w:rPr>
          <w:t xml:space="preserve">Comunicação Oral e Escrita</w:t>
        </w:r>
      </w:hyperlink>
      <w:r>
        <w:rPr>
          <w:i/>
          <w:iCs/>
          <w:sz w:val="21"/>
          <w:szCs w:val="21"/>
        </w:rPr>
        <w:t xml:space="preserve">  — Pierre Moutier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0mryt5qgjljl09dltwuqb">
        <w:r>
          <w:rPr>
            <w:color w:val="1155CC"/>
            <w:u w:val="single"/>
          </w:rPr>
          <w:t xml:space="preserve">Gestão de Tempo, Trabalho Remoto e Work-life Balance</w:t>
        </w:r>
      </w:hyperlink>
      <w:r>
        <w:rPr>
          <w:i/>
          <w:iCs/>
          <w:sz w:val="21"/>
          <w:szCs w:val="21"/>
        </w:rPr>
        <w:t xml:space="preserve">  — Felipe Baldisseri</w:t>
      </w:r>
    </w:p>
    <w:p>
      <w:pPr>
        <w:pStyle w:val="Heading3"/>
        <w:spacing w:after="100" w:before="240"/>
      </w:pPr>
      <w:r>
        <w:rPr>
          <w:b/>
          <w:bCs/>
          <w:color w:val="1B1F3B"/>
          <w:sz w:val="22"/>
          <w:szCs w:val="22"/>
        </w:rPr>
        <w:t xml:space="preserve">Contexto de negócio (aba Industry / Offers do Learning Path)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Explorar as verticais e ofertas reais da Artefact ajuda o AE a traduzir demandas de negócio em soluções de dados desde o início: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Indústrias: B2B &amp; Industries, Brands, Finance, Healthcare, Luxury, Public Sector, Real Estate, Retail, Telecom, Travel &amp; Tourism.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Ofertas: Strategy &amp; Governance, Foundational Tech (Data Platform), BI, AI – Supply &amp; Manufacturing, AI – Comercial, AI – Support Functions, GenAI, Marketing Investments Optimization (MROI/Precision Marketing), Customer Insights (CDP).</w:t>
      </w:r>
    </w:p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Validação da Fase 0: o novo AE consegue explicar, em suas palavras, em qual indústria e oferta o seu primeiro projeto se encaixa, e quem são os sponsors/experts daquela vertical.</w:t>
      </w:r>
    </w:p>
    <w:p>
      <w:pPr>
        <w:pStyle w:val="Heading2"/>
        <w:spacing w:after="160" w:before="320"/>
      </w:pPr>
      <w:r>
        <w:rPr>
          <w:b/>
          <w:bCs/>
          <w:color w:val="1B1F3B"/>
          <w:sz w:val="26"/>
          <w:szCs w:val="26"/>
        </w:rPr>
        <w:t xml:space="preserve">Fase 1 — Fundamentos do Analytics Engineer (meses 1–3, alvo: L1 nas Core Skills)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Foco total nas quatro competências que o grid classifica como CORE para o papel de AE, mais as duas Human Skills mais citadas no dia a dia (Analytical Mindset e Communication).</w:t>
      </w:r>
    </w:p>
    <w:p>
      <w:pPr>
        <w:pStyle w:val="Heading3"/>
        <w:spacing w:after="100" w:before="240"/>
      </w:pPr>
      <w:r>
        <w:rPr>
          <w:b/>
          <w:bCs/>
          <w:color w:val="1B5E20"/>
          <w:sz w:val="22"/>
          <w:szCs w:val="22"/>
        </w:rPr>
        <w:t xml:space="preserve">3.1.1. Data Handling</w:t>
      </w:r>
    </w:p>
    <w:p>
      <w:pPr>
        <w:spacing w:after="160" w:line="300"/>
      </w:pPr>
      <w:r>
        <w:rPr>
          <w:b/>
          <w:bCs/>
          <w:color w:val="FFFFFF"/>
          <w:sz w:val="16"/>
          <w:szCs w:val="16"/>
          <w:shd w:fill="1B5E20" w:val="clear"/>
        </w:rPr>
        <w:t xml:space="preserve">  CORE  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Definição do grid (L1): escrever queries SQL para responder perguntas de negócio e modelar dados para consumo em modelos semânticos; fazer JOINs simples, agregações básicas; usar templates de Star Schema para dimensões essenciais; entender os principais KPIs da área do projeto.</w:t>
      </w:r>
    </w:p>
    <w:p>
      <w:pPr>
        <w:pStyle w:val="Heading3"/>
        <w:spacing w:after="100" w:before="240"/>
      </w:pPr>
      <w:r>
        <w:rPr>
          <w:b/>
          <w:bCs/>
          <w:color w:val="1B1F3B"/>
          <w:sz w:val="22"/>
          <w:szCs w:val="22"/>
        </w:rPr>
        <w:t xml:space="preserve">Trilha sugerida: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l9powzvtsl7ue8zumm075">
        <w:r>
          <w:rPr>
            <w:color w:val="1155CC"/>
            <w:u w:val="single"/>
          </w:rPr>
          <w:t xml:space="preserve">Introdução a SQL</w:t>
        </w:r>
      </w:hyperlink>
      <w:r>
        <w:rPr>
          <w:i/>
          <w:iCs/>
          <w:sz w:val="21"/>
          <w:szCs w:val="21"/>
        </w:rPr>
        <w:t xml:space="preserve">  (Academy · AE | Entry) — Aline Martins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iklcauo1ljjwehx2iux6k">
        <w:r>
          <w:rPr>
            <w:color w:val="1155CC"/>
            <w:u w:val="single"/>
          </w:rPr>
          <w:t xml:space="preserve">Modelagem de Dados Relacional</w:t>
        </w:r>
      </w:hyperlink>
      <w:r>
        <w:rPr>
          <w:i/>
          <w:iCs/>
          <w:sz w:val="21"/>
          <w:szCs w:val="21"/>
        </w:rPr>
        <w:t xml:space="preserve">  (Academy · AE | Entry) — Rhuan Assis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v8vonciosnoa7o39jtpr4">
        <w:r>
          <w:rPr>
            <w:color w:val="1155CC"/>
            <w:u w:val="single"/>
          </w:rPr>
          <w:t xml:space="preserve">EDA 101</w:t>
        </w:r>
      </w:hyperlink>
      <w:r>
        <w:rPr>
          <w:i/>
          <w:iCs/>
          <w:sz w:val="21"/>
          <w:szCs w:val="21"/>
        </w:rPr>
        <w:t xml:space="preserve">  (Skills Tech Grid) — Carolina Dias</w:t>
      </w:r>
    </w:p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Validação: escrever queries com JOINs e agregações simples e alimentar um dashboard funcional que responda a uma pergunta de negócio real.</w:t>
      </w:r>
    </w:p>
    <w:p>
      <w:pPr>
        <w:pStyle w:val="Heading3"/>
        <w:spacing w:after="100" w:before="240"/>
      </w:pPr>
      <w:r>
        <w:rPr>
          <w:b/>
          <w:bCs/>
          <w:color w:val="1B5E20"/>
          <w:sz w:val="22"/>
          <w:szCs w:val="22"/>
        </w:rPr>
        <w:t xml:space="preserve">3.1.2. Data Viz</w:t>
      </w:r>
    </w:p>
    <w:p>
      <w:pPr>
        <w:spacing w:after="160" w:line="300"/>
      </w:pPr>
      <w:r>
        <w:rPr>
          <w:b/>
          <w:bCs/>
          <w:color w:val="FFFFFF"/>
          <w:sz w:val="16"/>
          <w:szCs w:val="16"/>
          <w:shd w:fill="1B5E20" w:val="clear"/>
        </w:rPr>
        <w:t xml:space="preserve">  CORE  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Definição do grid (L1): extrair informação dos dados e criar visualizações básicas com orientação mínima; escolher o gráfico adequado; usar elementos visuais padrão; navegar com autonomia relativa em ferramentas de BI.</w:t>
      </w:r>
    </w:p>
    <w:p>
      <w:pPr>
        <w:pStyle w:val="Heading3"/>
        <w:spacing w:after="100" w:before="240"/>
      </w:pPr>
      <w:r>
        <w:rPr>
          <w:b/>
          <w:bCs/>
          <w:color w:val="1B1F3B"/>
          <w:sz w:val="22"/>
          <w:szCs w:val="22"/>
        </w:rPr>
        <w:t xml:space="preserve">Trilha sugerida: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jxqm5_zq8de53ortlbw7p">
        <w:r>
          <w:rPr>
            <w:color w:val="1155CC"/>
            <w:u w:val="single"/>
          </w:rPr>
          <w:t xml:space="preserve">Fundamentos de BI e Dashboards (Power BI) para Negócios</w:t>
        </w:r>
      </w:hyperlink>
      <w:r>
        <w:rPr>
          <w:i/>
          <w:iCs/>
          <w:sz w:val="21"/>
          <w:szCs w:val="21"/>
        </w:rPr>
        <w:t xml:space="preserve">  (Academy · AE | Entry) — Gabriella Cardoso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c9cisv3snt3ahhbgkh2st">
        <w:r>
          <w:rPr>
            <w:color w:val="1155CC"/>
            <w:u w:val="single"/>
          </w:rPr>
          <w:t xml:space="preserve">Power BI – Beginner + Beginner Part II</w:t>
        </w:r>
      </w:hyperlink>
      <w:r>
        <w:rPr>
          <w:i/>
          <w:iCs/>
          <w:sz w:val="21"/>
          <w:szCs w:val="21"/>
        </w:rPr>
        <w:t xml:space="preserve">  (Skills Consulting Grid) — Gustavo Ribeiro, Thayna Ribeiro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ll7ils16xz-mya1dfovau">
        <w:r>
          <w:rPr>
            <w:color w:val="1155CC"/>
            <w:u w:val="single"/>
          </w:rPr>
          <w:t xml:space="preserve">workout wednesday – challenges (Tableau)</w:t>
        </w:r>
      </w:hyperlink>
      <w:r>
        <w:rPr>
          <w:i/>
          <w:iCs/>
          <w:sz w:val="21"/>
          <w:szCs w:val="21"/>
        </w:rPr>
        <w:t xml:space="preserve">  — prática guiada por Gustavo Ribeiro, Thayna Ribeiro, Mauricio Guggiana</w:t>
      </w:r>
    </w:p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Validação: construir um dashboard que conte uma história clara para um público não-técnico, justificando as escolhas visuais.</w:t>
      </w:r>
    </w:p>
    <w:p>
      <w:pPr>
        <w:pStyle w:val="Heading3"/>
        <w:spacing w:after="100" w:before="240"/>
      </w:pPr>
      <w:r>
        <w:rPr>
          <w:b/>
          <w:bCs/>
          <w:color w:val="1B5E20"/>
          <w:sz w:val="22"/>
          <w:szCs w:val="22"/>
        </w:rPr>
        <w:t xml:space="preserve">3.1.3. Applied Math &amp; Statistics</w:t>
      </w:r>
    </w:p>
    <w:p>
      <w:pPr>
        <w:spacing w:after="160" w:line="300"/>
      </w:pPr>
      <w:r>
        <w:rPr>
          <w:b/>
          <w:bCs/>
          <w:color w:val="FFFFFF"/>
          <w:sz w:val="16"/>
          <w:szCs w:val="16"/>
          <w:shd w:fill="1B5E20" w:val="clear"/>
        </w:rPr>
        <w:t xml:space="preserve">  CORE  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Definição do grid (L1): compreender conceitos estatísticos básicos e aplicá-los na criação de cálculos de KPI consistentes; usar estatística para extrair insights e validar resultados com baixa supervisão.</w:t>
      </w:r>
    </w:p>
    <w:p>
      <w:pPr>
        <w:pStyle w:val="Heading3"/>
        <w:spacing w:after="100" w:before="240"/>
      </w:pPr>
      <w:r>
        <w:rPr>
          <w:b/>
          <w:bCs/>
          <w:color w:val="1B1F3B"/>
          <w:sz w:val="22"/>
          <w:szCs w:val="22"/>
        </w:rPr>
        <w:t xml:space="preserve">Trilha sugerida: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hngu08c8tijplm4gr4jqg">
        <w:r>
          <w:rPr>
            <w:color w:val="1155CC"/>
            <w:u w:val="single"/>
          </w:rPr>
          <w:t xml:space="preserve">Statistics</w:t>
        </w:r>
      </w:hyperlink>
      <w:r>
        <w:rPr>
          <w:i/>
          <w:iCs/>
          <w:sz w:val="21"/>
          <w:szCs w:val="21"/>
        </w:rPr>
        <w:t xml:space="preserve">  (Skills Tech Grid) — Clarissa Chevalier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f9ecwjzynnrzt8yolwp_m">
        <w:r>
          <w:rPr>
            <w:color w:val="1155CC"/>
            <w:u w:val="single"/>
          </w:rPr>
          <w:t xml:space="preserve">Statistics for Data Analysis (Udemy)</w:t>
        </w:r>
      </w:hyperlink>
      <w:r>
        <w:rPr>
          <w:i/>
          <w:iCs/>
          <w:sz w:val="21"/>
          <w:szCs w:val="21"/>
        </w:rPr>
        <w:t xml:space="preserve">  — Clarissa Chevalier</w:t>
      </w:r>
    </w:p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Validação: implementar fórmulas de cálculo de KPI consistentes sem supervisão e explicar o racional estatístico por trás delas.</w:t>
      </w:r>
    </w:p>
    <w:p>
      <w:pPr>
        <w:pStyle w:val="Heading3"/>
        <w:spacing w:after="100" w:before="240"/>
      </w:pPr>
      <w:r>
        <w:rPr>
          <w:b/>
          <w:bCs/>
          <w:color w:val="1B5E20"/>
          <w:sz w:val="22"/>
          <w:szCs w:val="22"/>
        </w:rPr>
        <w:t xml:space="preserve">3.1.4. Product Design</w:t>
      </w:r>
    </w:p>
    <w:p>
      <w:pPr>
        <w:spacing w:after="160" w:line="300"/>
      </w:pPr>
      <w:r>
        <w:rPr>
          <w:b/>
          <w:bCs/>
          <w:color w:val="FFFFFF"/>
          <w:sz w:val="16"/>
          <w:szCs w:val="16"/>
          <w:shd w:fill="1B5E20" w:val="clear"/>
        </w:rPr>
        <w:t xml:space="preserve">  CORE  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Definição do grid (L1): trazer uma visão centrada no usuário para o produto de dados, aplicando templates de storytelling e documentação básica; ainda com apoio de um supervisor para validar o resultado final.</w:t>
      </w:r>
    </w:p>
    <w:p>
      <w:pPr>
        <w:pStyle w:val="Heading3"/>
        <w:spacing w:after="100" w:before="240"/>
      </w:pPr>
      <w:r>
        <w:rPr>
          <w:b/>
          <w:bCs/>
          <w:color w:val="1B1F3B"/>
          <w:sz w:val="22"/>
          <w:szCs w:val="22"/>
        </w:rPr>
        <w:t xml:space="preserve">Trilha sugerida: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Não há treinamento formal específico no catálogo para esta skill em nível Entry — recomenda-se mentoria direta com </w:t>
      </w:r>
      <w:r>
        <w:rPr>
          <w:b/>
          <w:bCs/>
          <w:sz w:val="21"/>
          <w:szCs w:val="21"/>
        </w:rPr>
        <w:t xml:space="preserve">Felipe Rocha</w:t>
      </w:r>
      <w:r>
        <w:rPr>
          <w:sz w:val="21"/>
          <w:szCs w:val="21"/>
        </w:rPr>
        <w:t xml:space="preserve"> (expert da skill no grid) aplicada a um projeto real, complementada por: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Prática de storytelling visual em conjunto com Data Viz (ver 3.1.2), aplicando templates de documentação de dashboards desde o primeiro projeto.</w:t>
      </w:r>
    </w:p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Validação: entregar um dashboard com documentação básica (dicionário de dados, definição de métricas) usando um template padrão, com apoio de um revisor.</w:t>
      </w:r>
    </w:p>
    <w:p>
      <w:pPr>
        <w:pStyle w:val="Heading3"/>
        <w:spacing w:after="100" w:before="240"/>
      </w:pPr>
      <w:r>
        <w:rPr>
          <w:b/>
          <w:bCs/>
          <w:color w:val="1B1F3B"/>
          <w:sz w:val="22"/>
          <w:szCs w:val="22"/>
        </w:rPr>
        <w:t xml:space="preserve">3.1.5. Analytical Mindset (Human Skill)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Definição do grid (L1): identificar e estruturar problemas de negócio; extrair KPIs; comunicar storytelling básico; dividir problemas simples com estrutura MECE.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ortuzvwv9x526ap7hppkc">
        <w:r>
          <w:rPr>
            <w:color w:val="1155CC"/>
            <w:u w:val="single"/>
          </w:rPr>
          <w:t xml:space="preserve">Analytical Mindset Skill Curriculum</w:t>
        </w:r>
      </w:hyperlink>
      <w:r>
        <w:rPr>
          <w:i/>
          <w:iCs/>
          <w:sz w:val="21"/>
          <w:szCs w:val="21"/>
        </w:rPr>
        <w:t xml:space="preserve">  — Camila Moreno</w:t>
      </w:r>
    </w:p>
    <w:p>
      <w:pPr>
        <w:pStyle w:val="Heading3"/>
        <w:spacing w:after="100" w:before="240"/>
      </w:pPr>
      <w:r>
        <w:rPr>
          <w:b/>
          <w:bCs/>
          <w:color w:val="1B1F3B"/>
          <w:sz w:val="22"/>
          <w:szCs w:val="22"/>
        </w:rPr>
        <w:t xml:space="preserve">3.1.6. Communication (Human Skill)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Definição do grid (L1): manter um ambiente de trabalho saudável, comunicando com eficiência; preparar apresentações básicas com apoio.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e5f75vbuvwhqx2fyevpcq">
        <w:r>
          <w:rPr>
            <w:color w:val="1155CC"/>
            <w:u w:val="single"/>
          </w:rPr>
          <w:t xml:space="preserve">Oral Communication Skill Curriculum</w:t>
        </w:r>
      </w:hyperlink>
      <w:r>
        <w:rPr>
          <w:i/>
          <w:iCs/>
          <w:sz w:val="21"/>
          <w:szCs w:val="21"/>
        </w:rPr>
        <w:t xml:space="preserve">  — Camila Moreno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fythupijvnuzloxmxar7e">
        <w:r>
          <w:rPr>
            <w:color w:val="1155CC"/>
            <w:u w:val="single"/>
          </w:rPr>
          <w:t xml:space="preserve">Oral Communication (KNOW)</w:t>
        </w:r>
      </w:hyperlink>
    </w:p>
    <w:p>
      <w:r>
        <w:br w:type="page"/>
      </w:r>
    </w:p>
    <w:p>
      <w:pPr>
        <w:pStyle w:val="Heading2"/>
        <w:spacing w:after="160" w:before="320"/>
      </w:pPr>
      <w:r>
        <w:rPr>
          <w:b/>
          <w:bCs/>
          <w:color w:val="1B1F3B"/>
          <w:sz w:val="26"/>
          <w:szCs w:val="26"/>
        </w:rPr>
        <w:t xml:space="preserve">Fase 2 — Construindo Autonomia (meses 3–9, alvo: L2 nas Core Skills, L1 nas Important)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O AE já entrega sozinho. É o momento de aprofundar as quatro Core Skills para o nível 2 e começar a evoluir nas skills classificadas como Important pelo grid: Generative AI Solutions e Cloud Architecture.</w:t>
      </w:r>
    </w:p>
    <w:p>
      <w:pPr>
        <w:pStyle w:val="Heading3"/>
        <w:spacing w:after="100" w:before="240"/>
      </w:pPr>
      <w:r>
        <w:rPr>
          <w:b/>
          <w:bCs/>
          <w:color w:val="1B5E20"/>
          <w:sz w:val="22"/>
          <w:szCs w:val="22"/>
        </w:rPr>
        <w:t xml:space="preserve">Data Handling (L2)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Grid: CTEs, múltiplos joins, funções de janela (window functions), tratamento de NULLs, scripts Python (pandas/PySpark), Star Schemas adaptados a cenários específicos, validação de integridade de modelos.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lrm3yhgwptyhwzbdscudw">
        <w:r>
          <w:rPr>
            <w:color w:val="1155CC"/>
            <w:u w:val="single"/>
          </w:rPr>
          <w:t xml:space="preserve">Data Pipelines Pocket Reference</w:t>
        </w:r>
      </w:hyperlink>
      <w:r>
        <w:rPr>
          <w:i/>
          <w:iCs/>
          <w:sz w:val="21"/>
          <w:szCs w:val="21"/>
        </w:rPr>
        <w:t xml:space="preserve">  — Isaque Campello, Rodrigo Ogava</w:t>
      </w:r>
    </w:p>
    <w:p>
      <w:pPr>
        <w:pStyle w:val="Heading3"/>
        <w:spacing w:after="100" w:before="240"/>
      </w:pPr>
      <w:r>
        <w:rPr>
          <w:b/>
          <w:bCs/>
          <w:color w:val="1B5E20"/>
          <w:sz w:val="22"/>
          <w:szCs w:val="22"/>
        </w:rPr>
        <w:t xml:space="preserve">Data Viz (L2)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Grid: interatividade avançada (drill-through, tooltips dinâmicos), princípio da pirâmide invertida em dashboards (KPIs críticos primeiro), escolha de visualizações para cada tipo de história.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kepydtg-dt40fuq2qqem7">
        <w:r>
          <w:rPr>
            <w:color w:val="1155CC"/>
            <w:u w:val="single"/>
          </w:rPr>
          <w:t xml:space="preserve">Power BI – DC &amp; DA Meetup</w:t>
        </w:r>
      </w:hyperlink>
      <w:r>
        <w:rPr>
          <w:i/>
          <w:iCs/>
          <w:sz w:val="21"/>
          <w:szCs w:val="21"/>
        </w:rPr>
        <w:t xml:space="preserve">  — Gustavo Ribeiro, Thayna Ribeiro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Prática contínua em </w:t>
      </w:r>
      <w:hyperlink w:history="1" r:id="rIdnzqwl1u2jhsj0qfcvasrn">
        <w:r>
          <w:rPr>
            <w:color w:val="1155CC"/>
            <w:u w:val="single"/>
          </w:rPr>
          <w:t xml:space="preserve">workout wednesday</w:t>
        </w:r>
      </w:hyperlink>
      <w:r>
        <w:rPr>
          <w:sz w:val="21"/>
          <w:szCs w:val="21"/>
        </w:rPr>
        <w:t xml:space="preserve"> com desafios de complexidade crescente.</w:t>
      </w:r>
    </w:p>
    <w:p>
      <w:pPr>
        <w:pStyle w:val="Heading3"/>
        <w:spacing w:after="100" w:before="240"/>
      </w:pPr>
      <w:r>
        <w:rPr>
          <w:b/>
          <w:bCs/>
          <w:color w:val="1B5E20"/>
          <w:sz w:val="22"/>
          <w:szCs w:val="22"/>
        </w:rPr>
        <w:t xml:space="preserve">Product Design (L2)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Grid: visuais interativos e acionáveis; dicionários de dados com regras de validação; condução de discovery sessions e criação de wireframes; QA/UAT do dashboard entregue.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Aplicar o "Data Product Delivery Framework" (discovery → wireframe → implementação → QA) em um projeto real, com revisão de </w:t>
      </w:r>
      <w:r>
        <w:rPr>
          <w:b/>
          <w:bCs/>
          <w:sz w:val="21"/>
          <w:szCs w:val="21"/>
        </w:rPr>
        <w:t xml:space="preserve">Felipe Rocha</w:t>
      </w:r>
      <w:r>
        <w:rPr>
          <w:sz w:val="21"/>
          <w:szCs w:val="21"/>
        </w:rPr>
        <w:t xml:space="preserve">.</w:t>
      </w:r>
    </w:p>
    <w:p>
      <w:pPr>
        <w:pStyle w:val="Heading3"/>
        <w:spacing w:after="100" w:before="240"/>
      </w:pPr>
      <w:r>
        <w:rPr>
          <w:b/>
          <w:bCs/>
          <w:color w:val="757575"/>
          <w:sz w:val="22"/>
          <w:szCs w:val="22"/>
        </w:rPr>
        <w:t xml:space="preserve">Software Engineering Principles (Side, mas essencial para a qualidade do código do AE)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0pbvwk2200znp30ymxqh_">
        <w:r>
          <w:rPr>
            <w:color w:val="1155CC"/>
            <w:u w:val="single"/>
          </w:rPr>
          <w:t xml:space="preserve">Boas Práticas de Codificação, Revisão de Código, Versionamento e Colaboração com Git</w:t>
        </w:r>
      </w:hyperlink>
      <w:r>
        <w:rPr>
          <w:i/>
          <w:iCs/>
          <w:sz w:val="21"/>
          <w:szCs w:val="21"/>
        </w:rPr>
        <w:t xml:space="preserve">  (Academy · DE | Entry)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qcsros_tbsnqryzyfk8_y">
        <w:r>
          <w:rPr>
            <w:color w:val="1155CC"/>
            <w:u w:val="single"/>
          </w:rPr>
          <w:t xml:space="preserve">Software Engineering Curriculum</w:t>
        </w:r>
      </w:hyperlink>
      <w:r>
        <w:rPr>
          <w:i/>
          <w:iCs/>
          <w:sz w:val="21"/>
          <w:szCs w:val="21"/>
        </w:rPr>
        <w:t xml:space="preserve">  — Leonardo Brandão</w:t>
      </w:r>
    </w:p>
    <w:p>
      <w:pPr>
        <w:pStyle w:val="Heading3"/>
        <w:spacing w:after="100" w:before="240"/>
      </w:pPr>
      <w:r>
        <w:rPr>
          <w:b/>
          <w:bCs/>
          <w:color w:val="757575"/>
          <w:sz w:val="22"/>
          <w:szCs w:val="22"/>
        </w:rPr>
        <w:t xml:space="preserve">Data Pipelines (Side, cresce a partir daqui)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Fundamentos de ETL e Construção de Pipelines de Dados</w:t>
      </w:r>
      <w:r>
        <w:rPr>
          <w:i/>
          <w:iCs/>
          <w:sz w:val="21"/>
          <w:szCs w:val="21"/>
        </w:rPr>
        <w:t xml:space="preserve">  (Academy · DE | Entry) — conteúdo relevante para entender o fluxo completo além do modelo de dados.</w:t>
      </w:r>
    </w:p>
    <w:p>
      <w:pPr>
        <w:pStyle w:val="Heading3"/>
        <w:spacing w:after="100" w:before="240"/>
      </w:pPr>
      <w:r>
        <w:rPr>
          <w:b/>
          <w:bCs/>
          <w:color w:val="8A6D00"/>
          <w:sz w:val="22"/>
          <w:szCs w:val="22"/>
        </w:rPr>
        <w:t xml:space="preserve">Cloud Architecture (Important — começa aqui)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Grid: identificar o propósito de cada camada (bronze/silver/gold) da Medallion Architecture; adaptar padrões a requisitos de negócio.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hmve43c_t5jtdtvchaiqw">
        <w:r>
          <w:rPr>
            <w:color w:val="1155CC"/>
            <w:u w:val="single"/>
          </w:rPr>
          <w:t xml:space="preserve">Azure data engineer training path</w:t>
        </w:r>
      </w:hyperlink>
      <w:r>
        <w:rPr>
          <w:i/>
          <w:iCs/>
          <w:sz w:val="21"/>
          <w:szCs w:val="21"/>
        </w:rPr>
        <w:t xml:space="preserve">  — Tadeu Passos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uix0ax2lc1vsaawb3exgp">
        <w:r>
          <w:rPr>
            <w:color w:val="1155CC"/>
            <w:u w:val="single"/>
          </w:rPr>
          <w:t xml:space="preserve">Designing Data-Intensive Applications</w:t>
        </w:r>
      </w:hyperlink>
      <w:r>
        <w:rPr>
          <w:i/>
          <w:iCs/>
          <w:sz w:val="21"/>
          <w:szCs w:val="21"/>
        </w:rPr>
        <w:t xml:space="preserve">  — Hugo Carl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y6oge5szgg87xupsod6ot">
        <w:r>
          <w:rPr>
            <w:color w:val="1155CC"/>
            <w:u w:val="single"/>
          </w:rPr>
          <w:t xml:space="preserve">ByteByteGo</w:t>
        </w:r>
      </w:hyperlink>
      <w:r>
        <w:rPr>
          <w:i/>
          <w:iCs/>
          <w:sz w:val="21"/>
          <w:szCs w:val="21"/>
        </w:rPr>
        <w:t xml:space="preserve">  — Pedro Mangino</w:t>
      </w:r>
    </w:p>
    <w:p>
      <w:pPr>
        <w:pStyle w:val="Heading3"/>
        <w:spacing w:after="100" w:before="240"/>
      </w:pPr>
      <w:r>
        <w:rPr>
          <w:b/>
          <w:bCs/>
          <w:color w:val="8A6D00"/>
          <w:sz w:val="22"/>
          <w:szCs w:val="22"/>
        </w:rPr>
        <w:t xml:space="preserve">Generative AI Solutions (Important — começa aqui)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Grid: usar LLMs via API (OpenAI, Gemini, Claude) para construir PoCs, automatizar tarefas ou reforçar o fluxo de analytics, seguindo boas práticas de prompt design e privacidade de dados.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amopwddzhgvr3arqve2ue">
        <w:r>
          <w:rPr>
            <w:color w:val="1155CC"/>
            <w:u w:val="single"/>
          </w:rPr>
          <w:t xml:space="preserve">Agentic AI</w:t>
        </w:r>
      </w:hyperlink>
      <w:r>
        <w:rPr>
          <w:i/>
          <w:iCs/>
          <w:sz w:val="21"/>
          <w:szCs w:val="21"/>
        </w:rPr>
        <w:t xml:space="preserve">  (Academy · Todas) — Wedeueis Braz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Certificação </w:t>
      </w:r>
      <w:r>
        <w:rPr>
          <w:b/>
          <w:bCs/>
          <w:sz w:val="21"/>
          <w:szCs w:val="21"/>
        </w:rPr>
        <w:t xml:space="preserve">Databricks GenAI Engineer Associate</w:t>
      </w:r>
      <w:r>
        <w:rPr>
          <w:sz w:val="21"/>
          <w:szCs w:val="21"/>
        </w:rPr>
        <w:t xml:space="preserve"> ou </w:t>
      </w:r>
      <w:r>
        <w:rPr>
          <w:b/>
          <w:bCs/>
          <w:sz w:val="21"/>
          <w:szCs w:val="21"/>
        </w:rPr>
        <w:t xml:space="preserve">Databricks (AE)</w:t>
      </w:r>
      <w:r>
        <w:rPr>
          <w:sz w:val="21"/>
          <w:szCs w:val="21"/>
        </w:rPr>
        <w:t xml:space="preserve"> — expert interno Gabriella Cardoso.</w:t>
      </w:r>
    </w:p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Validação da Fase 2: liderar, sozinho, a construção de um dashboard de ponta a ponta (discovery → SQL/modelagem → visualização → deploy), incluindo pelo menos uma automação simples com Git/CI e um componente assistido por IA generativa.</w:t>
      </w:r>
    </w:p>
    <w:p>
      <w:r>
        <w:br w:type="page"/>
      </w:r>
    </w:p>
    <w:p>
      <w:pPr>
        <w:pStyle w:val="Heading2"/>
        <w:spacing w:after="160" w:before="320"/>
      </w:pPr>
      <w:r>
        <w:rPr>
          <w:b/>
          <w:bCs/>
          <w:color w:val="1B1F3B"/>
          <w:sz w:val="26"/>
          <w:szCs w:val="26"/>
        </w:rPr>
        <w:t xml:space="preserve">Fase 3 — Referência e Especialização (12+ meses, alvo: L2–L3, início de Growth)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marca do nível 3 em qualquer skill do grid é a mesma: a pessoa passa a ensinar internamente e ser referência para o cliente. Esta fase é sobre consolidar esse papel, aprofundar as Important Skills e abrir a porta para as Growth Skills, obrigatórias a partir do Senior.</w:t>
      </w:r>
    </w:p>
    <w:p>
      <w:pPr>
        <w:pStyle w:val="Heading3"/>
        <w:spacing w:after="100" w:before="240"/>
      </w:pPr>
      <w:r>
        <w:rPr>
          <w:b/>
          <w:bCs/>
          <w:color w:val="1B1F3B"/>
          <w:sz w:val="22"/>
          <w:szCs w:val="22"/>
        </w:rPr>
        <w:t xml:space="preserve">Aprofundamento técnico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Cloud Architecture → L2: desenhar e adaptar arquiteturas analíticas conforme requisitos de negócio, indo além do padrão Medallion.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Generative AI Solutions → L2: desenhar componentes de GenAI de ponta a ponta dentro do time (RAG, agentes, orquestração), gerenciando trade-offs de custo/latência/qualidade.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Data Handling / Data Viz / Product Design → L3: revisar e desbloquear o trabalho de outros, ser a referência de arquitetura semântica e de storytelling do time.</w:t>
      </w:r>
    </w:p>
    <w:p>
      <w:pPr>
        <w:pStyle w:val="Heading3"/>
        <w:spacing w:after="100" w:before="240"/>
      </w:pPr>
      <w:r>
        <w:rPr>
          <w:b/>
          <w:bCs/>
          <w:color w:val="1B1F3B"/>
          <w:sz w:val="22"/>
          <w:szCs w:val="22"/>
        </w:rPr>
        <w:t xml:space="preserve">Documentação, produtização e handover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n1utndudntoozqljdej7o">
        <w:r>
          <w:rPr>
            <w:color w:val="1155CC"/>
            <w:u w:val="single"/>
          </w:rPr>
          <w:t xml:space="preserve">Documentação, Produtização e Handover de Projetos</w:t>
        </w:r>
      </w:hyperlink>
      <w:r>
        <w:rPr>
          <w:i/>
          <w:iCs/>
          <w:sz w:val="21"/>
          <w:szCs w:val="21"/>
        </w:rPr>
        <w:t xml:space="preserve">  (Academy · Todas | Senior) — Lara Sproesser, Isabela Simões</w:t>
      </w:r>
    </w:p>
    <w:p>
      <w:pPr>
        <w:pStyle w:val="Heading3"/>
        <w:spacing w:after="100" w:before="240"/>
      </w:pPr>
      <w:r>
        <w:rPr>
          <w:b/>
          <w:bCs/>
          <w:color w:val="8A6D00"/>
          <w:sz w:val="22"/>
          <w:szCs w:val="22"/>
        </w:rPr>
        <w:t xml:space="preserve">Growth Skills — Internal Efficiency e Sales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O próprio grid é explícito: a partir do Senior é preciso evoluir em pelo menos uma das três skills de Growth (Internal Efficiency, Sales, Time/Project Management); a partir de Manager, em pelo menos duas.</w:t>
      </w:r>
    </w:p>
    <w:p>
      <w:pPr>
        <w:pStyle w:val="ListParagraph"/>
        <w:numPr>
          <w:ilvl w:val="0"/>
          <w:numId w:val="2"/>
        </w:numPr>
        <w:spacing w:after="80" w:line="280"/>
      </w:pPr>
      <w:hyperlink w:history="1" r:id="rId6il_pe6gwkjuqlmfmvql9">
        <w:r>
          <w:rPr>
            <w:color w:val="1155CC"/>
            <w:u w:val="single"/>
          </w:rPr>
          <w:t xml:space="preserve">Contribution to Growth (KNOW)</w:t>
        </w:r>
      </w:hyperlink>
      <w:r>
        <w:rPr>
          <w:i/>
          <w:iCs/>
          <w:sz w:val="21"/>
          <w:szCs w:val="21"/>
        </w:rPr>
        <w:t xml:space="preserve">  — Victor Pontello</w:t>
      </w:r>
    </w:p>
    <w:p>
      <w:pPr>
        <w:pStyle w:val="Heading3"/>
        <w:spacing w:after="100" w:before="240"/>
      </w:pPr>
      <w:r>
        <w:rPr>
          <w:b/>
          <w:bCs/>
          <w:color w:val="1B1F3B"/>
          <w:sz w:val="22"/>
          <w:szCs w:val="22"/>
        </w:rPr>
        <w:t xml:space="preserve">Certificações recomendadas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Para consolidar a especialização técnica, vale revisitar o catálogo de certificações sugeridas para AEs (já mapeado na página de Certifications do Knowledge Hub), com destaque para as que têm expert interno dedicado: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Databricks (AE) — expert interno Gabriella Cardoso.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Power BI (Microsoft PL-300) — expert interno Gabriella Cardoso.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SnowPro Core / SnowPro Advanced — plataforma cloud usada em múltiplos projetos.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dbt Analytics Engineering Certification — padrão de mercado para Analytics Engineering.</w:t>
      </w:r>
    </w:p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Validação da Fase 3: conduzir, sozinho, o handover de um projeto para outro time, incluindo documentação completa; e treinar/revisar o trabalho de pelo menos um AE mais júnior.</w:t>
      </w:r>
    </w:p>
    <w:p>
      <w:r>
        <w:br w:type="page"/>
      </w:r>
    </w:p>
    <w:p>
      <w:pPr>
        <w:pStyle w:val="Heading1"/>
        <w:pBdr>
          <w:bottom w:val="single" w:color="C6398E" w:sz="12" w:space="4"/>
        </w:pBdr>
        <w:spacing w:after="200" w:before="400"/>
      </w:pPr>
      <w:r>
        <w:rPr>
          <w:b/>
          <w:bCs/>
          <w:color w:val="1B1F3B"/>
          <w:sz w:val="32"/>
          <w:szCs w:val="32"/>
        </w:rPr>
        <w:t xml:space="preserve">4. Além do Grid — Diferenciais para um AE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Algumas frentes não aparecem explicitamente como skill isolada no grid, mas são o que diferencia um bom AE de um AE excelente:</w:t>
      </w:r>
    </w:p>
    <w:p>
      <w:pPr>
        <w:pStyle w:val="Heading3"/>
        <w:spacing w:after="100" w:before="240"/>
      </w:pPr>
      <w:r>
        <w:rPr>
          <w:b/>
          <w:bCs/>
          <w:color w:val="1B1F3B"/>
          <w:sz w:val="22"/>
          <w:szCs w:val="22"/>
        </w:rPr>
        <w:t xml:space="preserve">Conhecimento de negócio e indústria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Entender o contexto do cliente é o que transforma uma demanda técnica em uma solução relevante. As abas Industry e Offers do Learning Path (ver Fase 0) devem ser revisitadas a cada novo projeto/cliente, não só no onboarding.</w:t>
      </w:r>
    </w:p>
    <w:p>
      <w:pPr>
        <w:pStyle w:val="Heading3"/>
        <w:spacing w:after="100" w:before="240"/>
      </w:pPr>
      <w:r>
        <w:rPr>
          <w:b/>
          <w:bCs/>
          <w:color w:val="1B1F3B"/>
          <w:sz w:val="22"/>
          <w:szCs w:val="22"/>
        </w:rPr>
        <w:t xml:space="preserve">Cultura de Dado como Produto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O próprio grid já trata isso como Core Skill (Product Design) — não é acessório. Pensar em usabilidade, ciclo de vida e governança de dashboards desde a primeira entrega é o que sustenta a evolução até o nível 3.</w:t>
      </w:r>
    </w:p>
    <w:p>
      <w:pPr>
        <w:pStyle w:val="Heading3"/>
        <w:spacing w:after="100" w:before="240"/>
      </w:pPr>
      <w:r>
        <w:rPr>
          <w:b/>
          <w:bCs/>
          <w:color w:val="1B1F3B"/>
          <w:sz w:val="22"/>
          <w:szCs w:val="22"/>
        </w:rPr>
        <w:t xml:space="preserve">Automação e CI/CD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Mesmo classificadas como "Side" para o papel de AE, Software Engineering Principles e Operations (DevOps/MLOps) são um diferencial competitivo real: automatizar o deploy de modelos (ex.: dbt Cloud) e aplicar CI/CD a pipelines de dados aumenta a confiabilidade e a velocidade de entrega.</w:t>
      </w:r>
    </w:p>
    <w:p>
      <w:pPr>
        <w:pStyle w:val="Heading3"/>
        <w:spacing w:after="100" w:before="240"/>
      </w:pPr>
      <w:r>
        <w:rPr>
          <w:b/>
          <w:bCs/>
          <w:color w:val="1B1F3B"/>
          <w:sz w:val="22"/>
          <w:szCs w:val="22"/>
        </w:rPr>
        <w:t xml:space="preserve">Ferramentas do Modern Data Stack (MDS)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Familiaridade com o ecossistema padrão de mercado é valiosa para a carreira, além do que é usado no projeto atual: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Transformação: dbt, Dataform.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Plataformas cloud: Snowflake, Databricks, Azure/Fabric, Google Cloud (BigQuery).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Ingestão/orquestração: Fivetran, Airbyte, Dagster, Airflow.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Visualização: Power BI, Tableau, Looker.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Ferramentas específicas do catálogo interno: Azure DevOps (Joao Podesta), Treasure Data/CDP (João Roberto, Rodrigo Ogava), Palantir.</w:t>
      </w:r>
    </w:p>
    <w:p>
      <w:r>
        <w:br w:type="page"/>
      </w:r>
    </w:p>
    <w:p>
      <w:pPr>
        <w:pStyle w:val="Heading1"/>
        <w:pBdr>
          <w:bottom w:val="single" w:color="C6398E" w:sz="12" w:space="4"/>
        </w:pBdr>
        <w:spacing w:after="200" w:before="400"/>
      </w:pPr>
      <w:r>
        <w:rPr>
          <w:b/>
          <w:bCs/>
          <w:color w:val="1B1F3B"/>
          <w:sz w:val="32"/>
          <w:szCs w:val="32"/>
        </w:rPr>
        <w:t xml:space="preserve">5. Como Aplicar na Prática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1"/>
          <w:szCs w:val="21"/>
        </w:rPr>
        <w:t xml:space="preserve">Use como cardápio, não como pacote fechado. </w:t>
      </w:r>
      <w:r>
        <w:rPr>
          <w:sz w:val="21"/>
          <w:szCs w:val="21"/>
        </w:rPr>
        <w:t xml:space="preserve">Para cada skill do grid, busque o treinamento recomendado (Academy, Skill Curriculum) e complemente com os recursos "Globais" e certificações quando fizer sentido para o projeto atual.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1"/>
          <w:szCs w:val="21"/>
        </w:rPr>
        <w:t xml:space="preserve">Priorize a prática. </w:t>
      </w:r>
      <w:r>
        <w:rPr>
          <w:sz w:val="21"/>
          <w:szCs w:val="21"/>
        </w:rPr>
        <w:t xml:space="preserve">A teoria é o ponto de partida — use os desafios do workout wednesday para Data Viz e aplique SQL/modelagem em projetos reais ou estudos de caso, não só em cursos.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1"/>
          <w:szCs w:val="21"/>
        </w:rPr>
        <w:t xml:space="preserve">Converse com os experts. </w:t>
      </w:r>
      <w:r>
        <w:rPr>
          <w:sz w:val="21"/>
          <w:szCs w:val="21"/>
        </w:rPr>
        <w:t xml:space="preserve">Cada skill do grid tem um nome de pessoa real por trás no Learning Path — não hesite em marcar uma conversa.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1"/>
          <w:szCs w:val="21"/>
        </w:rPr>
        <w:t xml:space="preserve">Lembre-se: trilha ≠ promoção automática. </w:t>
      </w:r>
      <w:r>
        <w:rPr>
          <w:sz w:val="21"/>
          <w:szCs w:val="21"/>
        </w:rPr>
        <w:t xml:space="preserve">Concluir os treinamentos aqui listados não substitui o processo de avaliação do grid — é o caminho para chegar lá com consistência.</w:t>
      </w:r>
    </w:p>
    <w:p>
      <w:pPr>
        <w:pStyle w:val="Heading2"/>
        <w:spacing w:after="160" w:before="320"/>
      </w:pPr>
      <w:r>
        <w:rPr>
          <w:b/>
          <w:bCs/>
          <w:color w:val="1B1F3B"/>
          <w:sz w:val="26"/>
          <w:szCs w:val="26"/>
        </w:rPr>
        <w:t xml:space="preserve">5.1. Diretório de Experts por Skill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850"/>
      </w:tblGrid>
      <w:tr>
        <w:trPr>
          <w:tblHeader/>
        </w:trPr>
        <w:tc>
          <w:tcPr>
            <w:tcW w:type="dxa" w:w="5500"/>
            <w:shd w:fill="1B1F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4850"/>
            <w:shd w:fill="1B1F3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Expert interno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Analytical Mindset / Communication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Camila Moreno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People Management / Time-Project Management / Growth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Victor Pontello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Data Handling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Carolina Dias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Data Pipelines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Isaque Campello, Rodrigo Ogava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Applied Math &amp; Statistics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Clarissa Chevalier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Machine Learning &amp; Optimization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Wedeueis Braz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Generative AI Solutions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Wedeueis Braz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Operations (DevOps/MLOps)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Clarissa Chevalier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Software Engineering Principles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Leonardo Brandão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Product Design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Felipe Rocha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Data Viz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Gustavo Ribeiro, Thayna Ribeiro, Mauricio Guggiana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Cloud Architecture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Tadeu Passos, Hugo Carl, Pedro Mangino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Databricks (AE) / Power BI (certificação)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Gabriella Cardoso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398E" w:sz="12" w:space="4"/>
        </w:pBdr>
        <w:spacing w:after="200" w:before="400"/>
      </w:pPr>
      <w:r>
        <w:rPr>
          <w:b/>
          <w:bCs/>
          <w:color w:val="1B1F3B"/>
          <w:sz w:val="32"/>
          <w:szCs w:val="32"/>
        </w:rPr>
        <w:t xml:space="preserve">Anexo — Fontes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Este documento foi construído a partir da leitura integral de dois arquivos internos: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Tech Grid v4 (.xlsx) — abas "tech grid" (64 linhas de definição de skill/nível) e "points per level" (motor de pontuação por estágio de carreira e papel).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Learning Path — Artefact LATAM (.xlsx) — abas "Skills Tech Grid", "Skills Consulting Grid", "Tools &amp; Certifications", "Industry", "Offers", "ACADEMIA I" e "Lista Experts".</w:t>
      </w:r>
    </w:p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Todos os nomes de treinamentos, experts e links citados neste documento foram extraídos diretamente desses arquivos — nenhum foi inventado ou aproximado.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80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bgqqwmlxj0725kkpywc4" Type="http://schemas.openxmlformats.org/officeDocument/2006/relationships/hyperlink" Target="https://drive.google.com/drive/folders/1EgH9UrlgavAHphE-l5J_x6mVQeNLlRxh" TargetMode="External"/><Relationship Id="rIdyddocmtotkur7wm0eq2l_" Type="http://schemas.openxmlformats.org/officeDocument/2006/relationships/hyperlink" Target="https://drive.google.com/drive/folders/1CXqiM8P49lIqax8wjSg5Ft59M3sj9YYU" TargetMode="External"/><Relationship Id="rIdcxvvg2qmgmbxz0mn3zuk-" Type="http://schemas.openxmlformats.org/officeDocument/2006/relationships/hyperlink" Target="https://drive.google.com/drive/folders/1hkii4TZudZI3-TJ9Ubo8-BQCDVMzWT3X" TargetMode="External"/><Relationship Id="rId0mryt5qgjljl09dltwuqb" Type="http://schemas.openxmlformats.org/officeDocument/2006/relationships/hyperlink" Target="https://drive.google.com/drive/folders/1MzKZNekr8fCv3rdoSsAoQULgp68cQqNu" TargetMode="External"/><Relationship Id="rIdl9powzvtsl7ue8zumm075" Type="http://schemas.openxmlformats.org/officeDocument/2006/relationships/hyperlink" Target="https://drive.google.com/drive/folders/1Y8CJ_HiKOEuc-NTlpz08kzRhV6MORS_9" TargetMode="External"/><Relationship Id="rIdiklcauo1ljjwehx2iux6k" Type="http://schemas.openxmlformats.org/officeDocument/2006/relationships/hyperlink" Target="https://drive.google.com/drive/folders/1w84EOR1tcUJ9gC3H--OjG4Y9YWi8df3O" TargetMode="External"/><Relationship Id="rIdv8vonciosnoa7o39jtpr4" Type="http://schemas.openxmlformats.org/officeDocument/2006/relationships/hyperlink" Target="https://artefact-talentdevelopment.csod.com/ui/lms-learning-details/app/event/69d105a1-90d2-491b-a0d6-de17ad3129a4" TargetMode="External"/><Relationship Id="rIdjxqm5_zq8de53ortlbw7p" Type="http://schemas.openxmlformats.org/officeDocument/2006/relationships/hyperlink" Target="https://drive.google.com/drive/folders/1MuR8OZ1UEy3aN0LurV_f8Q6dutxi5AT8" TargetMode="External"/><Relationship Id="rIdc9cisv3snt3ahhbgkh2st" Type="http://schemas.openxmlformats.org/officeDocument/2006/relationships/hyperlink" Target="https://sites.google.com/artefact.com/artefact-know/learning-dev/oral-communication?authuser=0" TargetMode="External"/><Relationship Id="rIdll7ils16xz-mya1dfovau" Type="http://schemas.openxmlformats.org/officeDocument/2006/relationships/hyperlink" Target="https://workout-wednesday.com/latest/" TargetMode="External"/><Relationship Id="rIdhngu08c8tijplm4gr4jqg" Type="http://schemas.openxmlformats.org/officeDocument/2006/relationships/hyperlink" Target="https://artefact-talentdevelopment.csod.com/ui/lms-learning-details/app/event/97b3ee06-cf70-4e6c-8e6a-a14faf379b65" TargetMode="External"/><Relationship Id="rIdf9ecwjzynnrzt8yolwp_m" Type="http://schemas.openxmlformats.org/officeDocument/2006/relationships/hyperlink" Target="https://www.udemy.com/course/statistics-for-data-science-data-analytics/" TargetMode="External"/><Relationship Id="rIdortuzvwv9x526ap7hppkc" Type="http://schemas.openxmlformats.org/officeDocument/2006/relationships/hyperlink" Target="https://artefact-talentdevelopment.csod.com/ui/lms-learning-details/app/curriculum/5407da88-066f-49b0-8057-417ad72129a1" TargetMode="External"/><Relationship Id="rIde5f75vbuvwhqx2fyevpcq" Type="http://schemas.openxmlformats.org/officeDocument/2006/relationships/hyperlink" Target="https://artefact-talentdevelopment.csod.com/ui/lms-learning-details/app/curriculum/48ba35c6-9fe3-4396-9181-481a4fdfc157" TargetMode="External"/><Relationship Id="rIdfythupijvnuzloxmxar7e" Type="http://schemas.openxmlformats.org/officeDocument/2006/relationships/hyperlink" Target="https://sites.google.com/artefact.com/artefact-know/learning-dev/oral-communication?authuser=0" TargetMode="External"/><Relationship Id="rIdlrm3yhgwptyhwzbdscudw" Type="http://schemas.openxmlformats.org/officeDocument/2006/relationships/hyperlink" Target="https://www.amazon.com/Data-Pipelines-Pocket-Reference-Processing/dp/1492087831" TargetMode="External"/><Relationship Id="rIdkepydtg-dt40fuq2qqem7" Type="http://schemas.openxmlformats.org/officeDocument/2006/relationships/hyperlink" Target="https://sites.google.com/artefact.com/artefact-know/learning-dev/oral-communication?authuser=0" TargetMode="External"/><Relationship Id="rIdnzqwl1u2jhsj0qfcvasrn" Type="http://schemas.openxmlformats.org/officeDocument/2006/relationships/hyperlink" Target="https://workout-wednesday.com/latest/" TargetMode="External"/><Relationship Id="rId0pbvwk2200znp30ymxqh_" Type="http://schemas.openxmlformats.org/officeDocument/2006/relationships/hyperlink" Target="https://drive.google.com/drive/folders/1w84EOR1tcUJ9gC3H--OjG4Y9YWi8df3O" TargetMode="External"/><Relationship Id="rIdqcsros_tbsnqryzyfk8_y" Type="http://schemas.openxmlformats.org/officeDocument/2006/relationships/hyperlink" Target="https://artefact-talentdevelopment.csod.com/ui/lms-learning-details/app/curriculum/507cc465-d5af-4b1d-bd52-335cc6ce32b0" TargetMode="External"/><Relationship Id="rIdhmve43c_t5jtdtvchaiqw" Type="http://schemas.openxmlformats.org/officeDocument/2006/relationships/hyperlink" Target="https://learn.microsoft.com/pt-br/training/modules/introduction-to-data-engineering-azure/1-introduction" TargetMode="External"/><Relationship Id="rIduix0ax2lc1vsaawb3exgp" Type="http://schemas.openxmlformats.org/officeDocument/2006/relationships/hyperlink" Target="https://www.amazon.com.br/Designing-Data-Intensive-Applications-Martin-Kleppmann/dp/1449373321" TargetMode="External"/><Relationship Id="rIdy6oge5szgg87xupsod6ot" Type="http://schemas.openxmlformats.org/officeDocument/2006/relationships/hyperlink" Target="https://bytebytego.com/" TargetMode="External"/><Relationship Id="rIdamopwddzhgvr3arqve2ue" Type="http://schemas.openxmlformats.org/officeDocument/2006/relationships/hyperlink" Target="https://drive.google.com/drive/folders/1jw6BRGN38R4G-0F04wowRbt02pX_3B3y" TargetMode="External"/><Relationship Id="rIdn1utndudntoozqljdej7o" Type="http://schemas.openxmlformats.org/officeDocument/2006/relationships/hyperlink" Target="https://drive.google.com/drive/folders/1CCVyJAshxbows-R3PyR4VKwN6sEEKpzz" TargetMode="External"/><Relationship Id="rId6il_pe6gwkjuqlmfmvql9" Type="http://schemas.openxmlformats.org/officeDocument/2006/relationships/hyperlink" Target="https://sites.google.com/artefact.com/artefact-know/learning-dev/contribution-to-growth?authuser=0" TargetMode="External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Trilha de Aprendizado Ideal para Analytics Engineers (AE)</dc:title>
  <dc:creator>Artefact — Knowledge Hub de AEs</dc:creator>
  <cp:lastModifiedBy>Un-named</cp:lastModifiedBy>
  <cp:revision>1</cp:revision>
  <dcterms:created xsi:type="dcterms:W3CDTF">2026-07-24T15:06:42.600Z</dcterms:created>
  <dcterms:modified xsi:type="dcterms:W3CDTF">2026-07-24T15:06:42.600Z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