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Response to the Consultation of Commercial Conditions Guidelines</w:t>
      </w:r>
    </w:p>
    <w:p>
      <w:r>
        <w:t>Acme Rail Cargo - Jane Doe</w:t>
      </w:r>
    </w:p>
    <w:p>
      <w:r>
        <w:t>jane.doe@acme-rail.example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Paragraph</w:t>
            </w:r>
          </w:p>
        </w:tc>
        <w:tc>
          <w:tcPr>
            <w:tcW w:type="dxa" w:w="2880"/>
          </w:tcPr>
          <w:p>
            <w:r>
              <w:t>Considerations</w:t>
            </w:r>
          </w:p>
        </w:tc>
        <w:tc>
          <w:tcPr>
            <w:tcW w:type="dxa" w:w="2880"/>
          </w:tcPr>
          <w:p>
            <w:r>
              <w:t>Proposals</w:t>
            </w:r>
          </w:p>
        </w:tc>
      </w:tr>
      <w:tr>
        <w:tc>
          <w:tcPr>
            <w:tcW w:type="dxa" w:w="2880"/>
          </w:tcPr>
          <w:p>
            <w:r>
              <w:t>2.2 Incentives for Applicants</w:t>
            </w:r>
          </w:p>
        </w:tc>
        <w:tc>
          <w:tcPr>
            <w:tcW w:type="dxa" w:w="2880"/>
          </w:tcPr>
          <w:p>
            <w:r>
              <w:t>The cancellation thresholds seem too strict for ad-hoc freight requests.</w:t>
            </w:r>
          </w:p>
        </w:tc>
        <w:tc>
          <w:tcPr>
            <w:tcW w:type="dxa" w:w="2880"/>
          </w:tcPr>
          <w:p>
            <w:r>
              <w:t>Introduce a more gradual fee curve for ad-hoc paths.</w:t>
            </w:r>
          </w:p>
        </w:tc>
      </w:tr>
      <w:tr>
        <w:tc>
          <w:tcPr>
            <w:tcW w:type="dxa" w:w="2880"/>
          </w:tcPr>
          <w:p>
            <w:r>
              <w:t>2.3 Incentives for IMs</w:t>
            </w:r>
          </w:p>
        </w:tc>
        <w:tc>
          <w:tcPr>
            <w:tcW w:type="dxa" w:w="2880"/>
          </w:tcPr>
          <w:p>
            <w:r>
              <w:t>We welcome reciprocity but ask for clearer rules on TCR-related changes.</w:t>
            </w:r>
          </w:p>
        </w:tc>
        <w:tc>
          <w:tcPr>
            <w:tcW w:type="dxa" w:w="2880"/>
          </w:tcPr>
          <w:p>
            <w:r>
              <w:t>Align IM penalties with the draft Capacity Regulation.</w:t>
            </w:r>
          </w:p>
        </w:tc>
      </w:tr>
      <w:tr>
        <w:tc>
          <w:tcPr>
            <w:tcW w:type="dxa" w:w="2880"/>
          </w:tcPr>
          <w:p>
            <w:r>
              <w:t>3.2 Monitoring, IT tools and simulation phase</w:t>
            </w:r>
          </w:p>
        </w:tc>
        <w:tc>
          <w:tcPr>
            <w:tcW w:type="dxa" w:w="2880"/>
          </w:tcPr>
          <w:p>
            <w:r>
              <w:t>A simulation phase before go-live is essential.</w:t>
            </w:r>
          </w:p>
        </w:tc>
        <w:tc>
          <w:tcPr>
            <w:tcW w:type="dxa" w:w="2880"/>
          </w:tcPr>
          <w:p>
            <w:r>
              <w:t>Add a one-year monitoring period with published KPIs.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