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3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color w:val="17365D"/>
          <w:sz w:val="52"/>
          <w:szCs w:val="52"/>
        </w:rPr>
        <w:t>ДОГОВОР ПОСТАВКИ №</w:t>
      </w:r>
      <w:r>
        <w:rPr>
          <w:color w:val="17365D"/>
          <w:sz w:val="52"/>
          <w:szCs w:val="52"/>
          <w:lang w:val="en-US"/>
        </w:rPr>
        <w:t>{{nomer}}</w:t>
      </w:r>
      <w:r>
        <w:rPr>
          <w:color w:val="17365D"/>
          <w:sz w:val="52"/>
          <w:szCs w:val="52"/>
        </w:rPr>
        <w:t xml:space="preserve"> 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г. Москва                                                                                                                    </w:t>
      </w:r>
      <w:r>
        <w:rPr>
          <w:rFonts w:eastAsia="Cambria" w:cs="Cambria" w:ascii="Cambria" w:hAnsi="Cambria"/>
          <w:color w:val="000000"/>
          <w:lang w:val="en-US"/>
        </w:rPr>
        <w:t xml:space="preserve">  {{ date }} </w:t>
      </w:r>
      <w:r>
        <w:rPr>
          <w:rFonts w:eastAsia="Cambria" w:cs="Cambria" w:ascii="Cambria" w:hAnsi="Cambria"/>
          <w:color w:val="000000"/>
        </w:rPr>
        <w:t>г.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{{seller_name}}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действующий на основании свидетельства о государственной регистрации, </w:t>
      </w:r>
      <w:r>
        <w:rPr>
          <w:rFonts w:eastAsia="Cambria" w:cs="Cambria" w:ascii="Cambria" w:hAnsi="Cambria"/>
          <w:color w:val="000000"/>
        </w:rPr>
        <w:t>именуемый в дальнейшем «Продавец», и</w:t>
      </w:r>
      <w:r>
        <w:rPr>
          <w:rFonts w:eastAsia="Cambria" w:cs="Cambria" w:ascii="Cambria" w:hAnsi="Cambria"/>
          <w:color w:val="000000"/>
          <w:lang w:val="en-US"/>
        </w:rPr>
        <w:t xml:space="preserve"> {{buyer_company_name}}</w:t>
      </w:r>
      <w:r>
        <w:rPr>
          <w:rFonts w:eastAsia="Cambria" w:cs="Cambria" w:ascii="Cambria" w:hAnsi="Cambria"/>
          <w:lang w:val="en-US"/>
        </w:rPr>
        <w:t xml:space="preserve"> </w:t>
      </w:r>
      <w:r>
        <w:rPr>
          <w:rFonts w:eastAsia="Cambria" w:cs="Cambria" w:ascii="Cambria" w:hAnsi="Cambria"/>
          <w:color w:val="000000"/>
        </w:rPr>
        <w:t>именуемый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1. Предмет договора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 xml:space="preserve">1.1. Продавец обязуется по поручению Покупателя поставить </w:t>
      </w:r>
      <w:r>
        <w:rPr>
          <w:rFonts w:eastAsia="Cambria" w:cs="Cambria" w:ascii="Cambria" w:hAnsi="Cambria"/>
        </w:rPr>
        <w:t xml:space="preserve">автозапчасти </w:t>
      </w:r>
      <w:r>
        <w:rPr>
          <w:rFonts w:eastAsia="Cambria" w:cs="Cambria" w:ascii="Cambria" w:hAnsi="Cambria"/>
          <w:color w:val="000000"/>
        </w:rPr>
        <w:t>из Китайской Народной Республики (далее — «Товар»), а Покупатель обязуется принять и оплатить Товар на условиях настоящего договора.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1.2. Поставка осуществляется под заказ, на основании согласованных с Покупателем наименований, артикулов и количеств,</w:t>
      </w:r>
      <w:r>
        <w:rPr>
          <w:rFonts w:eastAsia="Cambria" w:cs="Cambria" w:ascii="Cambria" w:hAnsi="Cambria"/>
          <w:color w:val="000000"/>
          <w:shd w:fill="auto" w:val="clear"/>
        </w:rPr>
        <w:t xml:space="preserve"> </w:t>
      </w:r>
      <w:r>
        <w:rPr>
          <w:rFonts w:eastAsia="Cambria" w:cs="Cambria" w:ascii="Cambria" w:hAnsi="Cambria"/>
          <w:color w:val="000000"/>
          <w:shd w:fill="auto" w:val="clear"/>
        </w:rPr>
        <w:t>согласно приложению 1, которое является неотъемлемой частью настоящего договора.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2. Условия поставки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</w:rPr>
      </w:pPr>
      <w:r>
        <w:rPr>
          <w:rFonts w:eastAsia="Cambria" w:cs="Cambria" w:ascii="Cambria" w:hAnsi="Cambria"/>
        </w:rPr>
        <w:t xml:space="preserve">2.1. Срок доставки до склада продавца в г. Москва составляет до 45 рабочих дней с момента получения 100% предоплаты. 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</w:rPr>
      </w:pPr>
      <w:r>
        <w:rPr>
          <w:rFonts w:eastAsia="Cambria" w:cs="Cambria" w:ascii="Cambria" w:hAnsi="Cambria"/>
        </w:rPr>
        <w:t>2.2.  В случае нарушения Срока Поставки по вине Продавца, Покупатель вправе требовать уплаты пени в размере 0,1% (ноль целых одна десятая процента) от стоимости непоставленного Товара за каждый день просрочки в случае, если просрочка составила свыше 15 рабочих дней. Общая сумма пени не может превышать 5% (пяти процентов) от стоимости Товара.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>2.3. Местом поставки считается склад временного хранения в г. Фрязино, ул. Заводской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>проезд 2В, либо иной адрес, согласованный Сторонами.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</w:r>
    </w:p>
    <w:p>
      <w:pPr>
        <w:pStyle w:val="Normal"/>
        <w:spacing w:lineRule="auto" w:line="240" w:before="0" w:after="20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>2.4. Страхование груза осуществляется по желанию Покупателя за отдельную плату в размере от 1% до 3% от стоимости Товара. Условия и сумма уточняются и согласовываются до оплаты. В случае согласия Покупателя, услуга страхования включается в итоговый счёт.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3. Порядок расчетов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3.1. Покупатель производит 100% предоплату стоимости Товара в Китае на основании выставленного счет</w:t>
      </w:r>
      <w:r>
        <w:rPr>
          <w:rFonts w:eastAsia="Cambria" w:cs="Cambria" w:ascii="Cambria" w:hAnsi="Cambria"/>
        </w:rPr>
        <w:t>а.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 xml:space="preserve">3.2. Стоимость доставки из Китая </w:t>
      </w:r>
      <w:r>
        <w:rPr>
          <w:rFonts w:eastAsia="Cambria" w:cs="Cambria" w:ascii="Cambria" w:hAnsi="Cambria"/>
        </w:rPr>
        <w:t>до города Москва и таможенная очистка включена в итоговую стоимость товара.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color w:val="000000"/>
        </w:rPr>
      </w:pPr>
      <w:r>
        <w:rPr>
          <w:rFonts w:eastAsia="Cambria" w:cs="Cambria" w:ascii="Cambria" w:hAnsi="Cambria"/>
          <w:color w:val="000000"/>
        </w:rPr>
        <w:t>3.3. Оплата осуществляется путем перечисления денежных средств на счет Продавца либо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color w:val="000000"/>
        </w:rPr>
      </w:pPr>
      <w:r>
        <w:rPr>
          <w:rFonts w:eastAsia="Cambria" w:cs="Cambria" w:ascii="Cambria" w:hAnsi="Cambria"/>
          <w:color w:val="000000"/>
        </w:rPr>
        <w:t>иным согласованным способом.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4. Проверка качества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4.1. Проверка соответствия Товара осуществляется Продавцом: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Онлайн при наличии связи со складом поставщика, совместно с Покупателем;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С предоставлением фото- и видеоматериалов по запросу Покупателя.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4.2. Проверяются следующие параметры: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Соответствие запчастей заказу;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Упаковка, стикеры, маркировка, целостность.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5. Приемка и выявление брака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  <w:shd w:fill="auto" w:val="clear"/>
        </w:rPr>
        <w:t>5. 1. Продавец передаёт, а Покупатель принимает Товар по Акту приёмки (Приложение 2), который является неотъемлемой частью настоящего договора.</w:t>
      </w:r>
      <w:r>
        <w:rPr>
          <w:rFonts w:eastAsia="Cambria" w:cs="Cambria" w:ascii="Cambria" w:hAnsi="Cambria"/>
          <w:color w:val="000000"/>
        </w:rPr>
        <w:br/>
        <w:br/>
        <w:t>5.2. В случае выявления брака, пересорта, некондиции, Покупатель составляет «Выбраковочную ведомость», с указанием: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Перечня дефектов;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Количества;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Цены и общей стоимости.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5.3. Ведомость сопровождается фото- и видеоматериалами.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5.4. Претензия направляется Продавцу, который взаимодействует с Поставщиком/Производителем.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  <w:sz w:val="24"/>
          <w:szCs w:val="24"/>
        </w:rPr>
        <w:t>5.5. Все претензии решаются в пользу Покупателя путем возврата, компенсации, скидки или замены Товара.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6. Ответственность сторон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6.1. За неисполнение или ненадлежащее исполнение обязательств Стороны несут ответственность в соответствии с действующим законодательством РФ.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6.2. Продавец несёт ответственность за: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 xml:space="preserve">- </w:t>
      </w:r>
      <w:r>
        <w:rPr>
          <w:rFonts w:eastAsia="Cambria" w:cs="Cambria" w:ascii="Cambria" w:hAnsi="Cambria"/>
        </w:rPr>
        <w:t>Доставку</w:t>
      </w:r>
      <w:r>
        <w:rPr>
          <w:rFonts w:eastAsia="Cambria" w:cs="Cambria" w:ascii="Cambria" w:hAnsi="Cambria"/>
          <w:color w:val="000000"/>
        </w:rPr>
        <w:t xml:space="preserve"> (при условии своевременной оплаты);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Страхование груза;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Качество Товара в рамках заявленных характеристик.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6.3. Покупатель несёт ответственность за: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Своевременную оплату;</w:t>
      </w:r>
    </w:p>
    <w:p>
      <w:pPr>
        <w:pStyle w:val="Normal"/>
        <w:spacing w:lineRule="auto" w:line="24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Точную передачу информации по заказу.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7. Форс-мажор</w:t>
      </w:r>
    </w:p>
    <w:p>
      <w:pPr>
        <w:pStyle w:val="Normal"/>
        <w:spacing w:lineRule="auto" w:line="240" w:before="0" w:after="200"/>
        <w:rPr>
          <w:rFonts w:ascii="Cambria" w:hAnsi="Cambria" w:eastAsia="Cambria" w:cs="Cambria"/>
          <w:color w:val="000000"/>
        </w:rPr>
      </w:pPr>
      <w:r>
        <w:rPr>
          <w:rFonts w:eastAsia="Cambria" w:cs="Cambria" w:ascii="Cambria" w:hAnsi="Cambria"/>
          <w:color w:val="000000"/>
        </w:rPr>
        <w:t>7.1. Стороны освобождаются от ответственности за полное или частичное неисполнение обязательств, если это вызвано обстоятельствами стихийных бедствий, войны, эпидемии, забастовки, действия властей, непреодолимой силы (форс-мажор).</w:t>
      </w:r>
    </w:p>
    <w:p>
      <w:pPr>
        <w:pStyle w:val="Normal"/>
        <w:spacing w:lineRule="auto" w:line="240" w:before="0" w:after="200"/>
        <w:rPr>
          <w:rFonts w:ascii="Cambria" w:hAnsi="Cambria" w:eastAsia="Times New Roman" w:cs="Times New Roman"/>
        </w:rPr>
      </w:pPr>
      <w:r>
        <w:rPr>
          <w:rFonts w:eastAsia="Times New Roman" w:cs="Times New Roman" w:ascii="Cambria" w:hAnsi="Cambria"/>
        </w:rPr>
        <w:t>Сторона, сославшись на форс-мажор, не несет ответственности (штрафов, неустоек) за просрочку или неисполнение, но обязательство по поставке не прекращается, а срок его исполнения продлевается на время действия форс-мажорных обстоятельств. Сторона обязана незамедлительно уведомить другую сторону о наступлении и прекращении форс-мажора.</w:t>
      </w:r>
    </w:p>
    <w:p>
      <w:pPr>
        <w:pStyle w:val="Normal"/>
        <w:spacing w:lineRule="auto" w:line="240" w:before="0" w:after="200"/>
        <w:rPr>
          <w:rFonts w:ascii="Cambria" w:hAnsi="Cambria" w:eastAsia="Cambria" w:cs="Cambria"/>
          <w:color w:val="000000"/>
        </w:rPr>
      </w:pPr>
      <w:r>
        <w:rPr>
          <w:rFonts w:eastAsia="Cambria" w:cs="Cambria" w:ascii="Cambria" w:hAnsi="Cambria"/>
          <w:color w:val="000000"/>
        </w:rPr>
        <w:t>7.2. Сторона, для которой наступили такие обстоятельства, обязана уведомить другую сторону в течение 3 (трёх) рабочих дней.</w:t>
      </w:r>
    </w:p>
    <w:p>
      <w:pPr>
        <w:pStyle w:val="Normal"/>
        <w:spacing w:lineRule="auto" w:line="240" w:before="0" w:after="200"/>
        <w:rPr>
          <w:rFonts w:ascii="Cambria" w:hAnsi="Cambria" w:eastAsia="Times New Roman" w:cs="Times New Roman"/>
        </w:rPr>
      </w:pPr>
      <w:r>
        <w:rPr>
          <w:rFonts w:eastAsia="Times New Roman" w:cs="Times New Roman" w:ascii="Cambria" w:hAnsi="Cambria"/>
        </w:rPr>
        <w:t>7.3. Покупатель вправе воспользоваться добровольным страхованием от форс-мажора. Сумма страховки не может превышать 5% от стоимости товара.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8. Срок действия и расторжение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8.1. Настоящий договор вступает в силу с момента подписания и действует до полного исполнения обязательств.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8.2. Договор может быть расторгнут: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- По соглашению сторон;</w:t>
      </w:r>
    </w:p>
    <w:p>
      <w:pPr>
        <w:pStyle w:val="Normal"/>
        <w:spacing w:lineRule="auto" w:line="240" w:before="0" w:after="200"/>
        <w:rPr>
          <w:rFonts w:ascii="Cambria" w:hAnsi="Cambria" w:eastAsia="Cambria" w:cs="Cambria"/>
          <w:color w:val="000000"/>
        </w:rPr>
      </w:pPr>
      <w:r>
        <w:rPr>
          <w:rFonts w:eastAsia="Cambria" w:cs="Cambria" w:ascii="Cambria" w:hAnsi="Cambria"/>
          <w:color w:val="000000"/>
        </w:rPr>
        <w:t>- В одностороннем порядке при нарушении условий оплаты или поставки, с обязательным письменным уведомлением не менее чем за 5 (пять) рабочих дней.</w:t>
      </w:r>
    </w:p>
    <w:p>
      <w:pPr>
        <w:pStyle w:val="Normal"/>
        <w:spacing w:lineRule="auto" w:line="240" w:before="200" w:after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b/>
          <w:bCs/>
          <w:color w:val="4F81BD"/>
          <w:sz w:val="26"/>
          <w:szCs w:val="26"/>
        </w:rPr>
        <w:t>9. Обмен документами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ambria" w:cs="Cambria" w:ascii="Cambria" w:hAnsi="Cambria"/>
          <w:color w:val="000000"/>
        </w:rPr>
        <w:t>9.1. Документы, направленные по электронной почте, мессенджерам или через электронные сервисы, приравниваются к оригиналам, если иное не предусмотрено законодательством.</w:t>
      </w:r>
    </w:p>
    <w:p>
      <w:pPr>
        <w:pStyle w:val="Normal"/>
        <w:spacing w:lineRule="auto" w:line="240" w:before="200" w:after="0"/>
        <w:rPr>
          <w:b/>
          <w:bCs/>
          <w:color w:val="4F81BD"/>
          <w:sz w:val="26"/>
          <w:szCs w:val="26"/>
        </w:rPr>
      </w:pPr>
      <w:r>
        <w:rPr>
          <w:b/>
          <w:bCs/>
          <w:color w:val="4F81BD"/>
          <w:sz w:val="26"/>
          <w:szCs w:val="26"/>
        </w:rPr>
      </w:r>
    </w:p>
    <w:p>
      <w:pPr>
        <w:pStyle w:val="Normal"/>
        <w:spacing w:lineRule="auto" w:line="240" w:before="200" w:after="0"/>
        <w:rPr>
          <w:b/>
          <w:bCs/>
          <w:color w:val="4F81BD"/>
          <w:sz w:val="26"/>
          <w:szCs w:val="26"/>
        </w:rPr>
      </w:pPr>
      <w:r>
        <w:rPr>
          <w:b/>
          <w:bCs/>
          <w:color w:val="4F81BD"/>
          <w:sz w:val="26"/>
          <w:szCs w:val="26"/>
        </w:rPr>
        <w:t>10. Реквизиты сторон</w:t>
      </w:r>
    </w:p>
    <w:tbl>
      <w:tblPr>
        <w:tblStyle w:val="aa"/>
        <w:tblW w:w="9420" w:type="dxa"/>
        <w:jc w:val="start"/>
        <w:tblInd w:w="-7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4740"/>
        <w:gridCol w:w="4680"/>
      </w:tblGrid>
      <w:tr>
        <w:trPr/>
        <w:tc>
          <w:tcPr>
            <w:tcW w:w="4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end="-100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Продавец:</w:t>
            </w:r>
          </w:p>
          <w:p>
            <w:pPr>
              <w:pStyle w:val="Normal"/>
              <w:widowControl w:val="false"/>
              <w:spacing w:lineRule="auto" w:line="360"/>
              <w:rPr>
                <w:rFonts w:ascii="Calibri" w:hAnsi="Calibri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{{seller_name}}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/>
              <w:ind w:start="2"/>
              <w:rPr>
                <w:rFonts w:ascii="Calibri" w:hAnsi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  <w:lang w:val="en-US"/>
              </w:rPr>
              <w:t>{{seller_inn}}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/>
              <w:ind w:start="2"/>
              <w:rPr>
                <w:rFonts w:ascii="Calibri" w:hAnsi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  <w:lang w:val="en-US"/>
              </w:rPr>
              <w:t>{{seller_kpp}}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/>
              <w:ind w:start="2"/>
              <w:rPr>
                <w:rFonts w:ascii="Calibri" w:hAnsi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  <w:lang w:val="en-US"/>
              </w:rPr>
              <w:t>{{seller_ogrn}}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/>
              <w:ind w:start="2"/>
              <w:rPr>
                <w:rFonts w:ascii="Calibri" w:hAnsi="Calibri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Юридический адрес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{{seller_address}}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/>
              <w:ind w:start="2"/>
              <w:rPr>
                <w:rFonts w:ascii="Calibri" w:hAnsi="Calibri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Банковские реквизиты: </w:t>
            </w:r>
            <w:r>
              <w:rPr>
                <w:sz w:val="24"/>
                <w:szCs w:val="24"/>
                <w:lang w:val="en-US"/>
              </w:rPr>
              <w:t>{{seller_bank}}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360"/>
              <w:ind w:start="2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{{seller_phone}}</w:t>
            </w:r>
          </w:p>
          <w:p>
            <w:pPr>
              <w:pStyle w:val="Normal"/>
              <w:spacing w:lineRule="auto" w:line="276" w:before="0" w:after="2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spacing w:lineRule="auto" w:line="276" w:before="0" w:after="200"/>
              <w:jc w:val="end"/>
              <w:rPr/>
            </w:pPr>
            <w:r>
              <w:rPr>
                <w:rFonts w:eastAsia="Cambria" w:cs="Cambria" w:ascii="Cambria" w:hAnsi="Cambria"/>
                <w:color w:val="000000"/>
                <w:lang w:val="en-US"/>
              </w:rPr>
              <w:t>{{ seller_signature }}</w:t>
            </w:r>
            <w:r>
              <w:rPr>
                <w:rFonts w:eastAsia="Cambria" w:cs="Cambria" w:ascii="Cambria" w:hAnsi="Cambria"/>
                <w:color w:val="000000"/>
              </w:rPr>
              <w:t>/</w:t>
            </w:r>
            <w:r>
              <w:rPr>
                <w:rFonts w:eastAsia="Cambria" w:cs="Cambria" w:ascii="Cambria" w:hAnsi="Cambria"/>
                <w:color w:val="000000"/>
                <w:lang w:val="en-US"/>
              </w:rPr>
              <w:t>{{seller_name}}</w:t>
            </w:r>
          </w:p>
          <w:p>
            <w:pPr>
              <w:pStyle w:val="Normal"/>
              <w:spacing w:lineRule="auto" w:line="276" w:before="0" w:after="2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{{seller_stamp}}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 w:before="0" w:after="0"/>
              <w:ind w:hanging="0"/>
              <w:rPr>
                <w:lang w:val="en-US"/>
              </w:rPr>
            </w:pPr>
            <w:r>
              <w:rPr>
                <w:lang w:val="en-US"/>
              </w:rPr>
              <w:t>{{buyer_company_name}}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Юридический адрес: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{{buyer_address}}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 xml:space="preserve">ИНН: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{{buyer_inn}}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 xml:space="preserve">ОГРН: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{{buyer_ogrn}}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 xml:space="preserve">Расчетный счет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{{buyer_schet}}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 xml:space="preserve">БИК: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{{buyer_bik}}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 xml:space="preserve">Банк: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{{buyer_bank}}</w:t>
            </w:r>
          </w:p>
          <w:p>
            <w:pPr>
              <w:pStyle w:val="Normal"/>
              <w:spacing w:lineRule="auto" w:line="48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 xml:space="preserve">Генеральный Директор: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{{buyer_director_name}}</w:t>
            </w:r>
          </w:p>
          <w:p>
            <w:pPr>
              <w:pStyle w:val="Normal"/>
              <w:spacing w:lineRule="auto" w:line="276" w:before="0" w:after="20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</w:r>
          </w:p>
          <w:p>
            <w:pPr>
              <w:pStyle w:val="Normal"/>
              <w:spacing w:lineRule="auto" w:line="276" w:before="0" w:after="200"/>
              <w:jc w:val="end"/>
              <w:rPr/>
            </w:pPr>
            <w:r>
              <w:rPr>
                <w:rFonts w:eastAsia="Cambria" w:cs="Cambria" w:ascii="Cambria" w:hAnsi="Cambria"/>
                <w:color w:val="000000"/>
                <w:lang w:val="en-US"/>
              </w:rPr>
              <w:t>{{ signature_pok }}</w:t>
            </w:r>
            <w:r>
              <w:rPr>
                <w:rFonts w:eastAsia="Cambria" w:cs="Cambria" w:ascii="Cambria" w:hAnsi="Cambria"/>
                <w:color w:val="000000"/>
              </w:rPr>
              <w:t>/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{{ initials }}</w:t>
            </w:r>
          </w:p>
          <w:p>
            <w:pPr>
              <w:pStyle w:val="Normal"/>
              <w:spacing w:lineRule="auto" w:line="276" w:before="200" w:after="160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6"/>
                <w:szCs w:val="36"/>
              </w:rPr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mbria" w:cs="Cambria" w:ascii="Cambria" w:hAnsi="Cambria"/>
          <w:color w:val="000000"/>
        </w:rPr>
        <w:t xml:space="preserve"> </w:t>
      </w:r>
      <w:r>
        <w:rPr>
          <w:rFonts w:eastAsia="Cambria" w:cs="Cambria" w:ascii="Cambria" w:hAnsi="Cambria"/>
          <w:color w:val="000000"/>
        </w:rPr>
        <w:br/>
      </w:r>
    </w:p>
    <w:p>
      <w:pPr>
        <w:pStyle w:val="Normal"/>
        <w:spacing w:lineRule="auto" w:line="240" w:before="0" w:after="200"/>
        <w:rPr/>
      </w:pPr>
      <w:r>
        <w:rPr>
          <w:rFonts w:eastAsia="Cambria" w:cs="Cambria" w:ascii="Cambria" w:hAnsi="Cambria"/>
          <w:color w:val="000000"/>
        </w:rPr>
        <w:br/>
      </w:r>
    </w:p>
    <w:sectPr>
      <w:type w:val="nextPage"/>
      <w:pgSz w:w="11906" w:h="16838"/>
      <w:pgMar w:left="1701" w:right="850" w:gutter="0" w:header="0" w:top="567" w:footer="0" w:bottom="17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 w:characterSet="windows-125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cc" w:characterSet="windows-125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XO Thames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Times New Roman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cc" w:characterSet="windows-1251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64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spacing w:before="120" w:after="120"/>
      <w:jc w:val="both"/>
      <w:outlineLvl w:val="0"/>
    </w:pPr>
    <w:rPr>
      <w:rFonts w:ascii="XO Thames" w:hAnsi="XO Thames" w:eastAsia="XO Thames" w:cs="XO Thame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jc w:val="both"/>
      <w:outlineLvl w:val="1"/>
    </w:pPr>
    <w:rPr>
      <w:rFonts w:ascii="XO Thames" w:hAnsi="XO Thames" w:eastAsia="XO Thames" w:cs="XO Thame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jc w:val="both"/>
      <w:outlineLvl w:val="2"/>
    </w:pPr>
    <w:rPr>
      <w:rFonts w:ascii="XO Thames" w:hAnsi="XO Thames" w:eastAsia="XO Thames" w:cs="XO Thames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jc w:val="both"/>
      <w:outlineLvl w:val="3"/>
    </w:pPr>
    <w:rPr>
      <w:rFonts w:ascii="XO Thames" w:hAnsi="XO Thames" w:eastAsia="XO Thames" w:cs="XO Thames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120" w:after="120"/>
      <w:jc w:val="both"/>
      <w:outlineLvl w:val="4"/>
    </w:pPr>
    <w:rPr>
      <w:rFonts w:ascii="XO Thames" w:hAnsi="XO Thames" w:eastAsia="XO Thames" w:cs="XO Thames"/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главление 2 Знак"/>
    <w:qFormat/>
    <w:rPr>
      <w:rFonts w:ascii="XO Thames" w:hAnsi="XO Thames"/>
      <w:sz w:val="28"/>
    </w:rPr>
  </w:style>
  <w:style w:type="character" w:styleId="4" w:customStyle="1">
    <w:name w:val="Оглавление 4 Знак"/>
    <w:qFormat/>
    <w:rPr>
      <w:rFonts w:ascii="XO Thames" w:hAnsi="XO Thames"/>
      <w:sz w:val="28"/>
    </w:rPr>
  </w:style>
  <w:style w:type="character" w:styleId="6" w:customStyle="1">
    <w:name w:val="Оглавление 6 Знак"/>
    <w:qFormat/>
    <w:rPr>
      <w:rFonts w:ascii="XO Thames" w:hAnsi="XO Thames"/>
      <w:sz w:val="28"/>
    </w:rPr>
  </w:style>
  <w:style w:type="character" w:styleId="7" w:customStyle="1">
    <w:name w:val="Оглавление 7 Знак"/>
    <w:qFormat/>
    <w:rPr>
      <w:rFonts w:ascii="XO Thames" w:hAnsi="XO Thames"/>
      <w:sz w:val="28"/>
    </w:rPr>
  </w:style>
  <w:style w:type="character" w:styleId="Style8" w:customStyle="1">
    <w:name w:val="Без интервала Знак"/>
    <w:link w:val="NoSpacing"/>
    <w:qFormat/>
    <w:rPr/>
  </w:style>
  <w:style w:type="character" w:styleId="3" w:customStyle="1">
    <w:name w:val="Оглавление 3 Знак"/>
    <w:qFormat/>
    <w:rPr>
      <w:rFonts w:ascii="XO Thames" w:hAnsi="XO Thames"/>
      <w:sz w:val="28"/>
    </w:rPr>
  </w:style>
  <w:style w:type="character" w:styleId="Hyperlink">
    <w:name w:val="Hyperlink"/>
    <w:link w:val="11"/>
    <w:rPr>
      <w:color w:val="0000FF"/>
      <w:u w:val="single"/>
    </w:rPr>
  </w:style>
  <w:style w:type="character" w:styleId="Footnote" w:customStyle="1">
    <w:name w:val="Footnote"/>
    <w:link w:val="Footnote1"/>
    <w:qFormat/>
    <w:rPr>
      <w:rFonts w:ascii="XO Thames" w:hAnsi="XO Thames"/>
      <w:sz w:val="22"/>
    </w:rPr>
  </w:style>
  <w:style w:type="character" w:styleId="1" w:customStyle="1">
    <w:name w:val="Оглавление 1 Знак"/>
    <w:qFormat/>
    <w:rPr>
      <w:rFonts w:ascii="XO Thames" w:hAnsi="XO Thames"/>
      <w:b/>
      <w:sz w:val="28"/>
    </w:rPr>
  </w:style>
  <w:style w:type="character" w:styleId="HeaderandFooter" w:customStyle="1">
    <w:name w:val="Header and Footer"/>
    <w:qFormat/>
    <w:rPr>
      <w:rFonts w:ascii="XO Thames" w:hAnsi="XO Thames"/>
      <w:sz w:val="20"/>
    </w:rPr>
  </w:style>
  <w:style w:type="character" w:styleId="9" w:customStyle="1">
    <w:name w:val="Оглавление 9 Знак"/>
    <w:qFormat/>
    <w:rPr>
      <w:rFonts w:ascii="XO Thames" w:hAnsi="XO Thames"/>
      <w:sz w:val="28"/>
    </w:rPr>
  </w:style>
  <w:style w:type="character" w:styleId="8" w:customStyle="1">
    <w:name w:val="Оглавление 8 Знак"/>
    <w:qFormat/>
    <w:rPr>
      <w:rFonts w:ascii="XO Thames" w:hAnsi="XO Thames"/>
      <w:sz w:val="28"/>
    </w:rPr>
  </w:style>
  <w:style w:type="character" w:styleId="5" w:customStyle="1">
    <w:name w:val="Оглавление 5 Знак"/>
    <w:qFormat/>
    <w:rPr>
      <w:rFonts w:ascii="XO Thames" w:hAnsi="XO Thames"/>
      <w:sz w:val="28"/>
    </w:rPr>
  </w:style>
  <w:style w:type="character" w:styleId="Style9">
    <w:name w:val="Символ сноски"/>
    <w:qFormat/>
    <w:rPr/>
  </w:style>
  <w:style w:type="character" w:styleId="Style10">
    <w:name w:val="Символ концевой сноски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spacing w:before="567" w:after="567"/>
      <w:jc w:val="center"/>
    </w:pPr>
    <w:rPr>
      <w:rFonts w:ascii="XO Thames" w:hAnsi="XO Thames" w:eastAsia="XO Thames" w:cs="XO Thames"/>
      <w:b/>
      <w:bCs/>
      <w:smallCaps/>
      <w:color w:val="000000"/>
      <w:sz w:val="40"/>
      <w:szCs w:val="40"/>
    </w:rPr>
  </w:style>
  <w:style w:type="paragraph" w:styleId="TOC2">
    <w:name w:val="toc 2"/>
    <w:link w:val="2"/>
    <w:uiPriority w:val="39"/>
    <w:pPr>
      <w:widowControl/>
      <w:suppressAutoHyphens w:val="true"/>
      <w:bidi w:val="0"/>
      <w:spacing w:lineRule="auto" w:line="264" w:before="0" w:after="160"/>
      <w:ind w:start="2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TOC4">
    <w:name w:val="toc 4"/>
    <w:link w:val="4"/>
    <w:uiPriority w:val="39"/>
    <w:pPr>
      <w:widowControl/>
      <w:suppressAutoHyphens w:val="true"/>
      <w:bidi w:val="0"/>
      <w:spacing w:lineRule="auto" w:line="264" w:before="0" w:after="160"/>
      <w:ind w:start="6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TOC6">
    <w:name w:val="toc 6"/>
    <w:link w:val="6"/>
    <w:uiPriority w:val="39"/>
    <w:pPr>
      <w:widowControl/>
      <w:suppressAutoHyphens w:val="true"/>
      <w:bidi w:val="0"/>
      <w:spacing w:lineRule="auto" w:line="264" w:before="0" w:after="160"/>
      <w:ind w:start="10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TOC7">
    <w:name w:val="toc 7"/>
    <w:link w:val="7"/>
    <w:uiPriority w:val="39"/>
    <w:pPr>
      <w:widowControl/>
      <w:suppressAutoHyphens w:val="true"/>
      <w:bidi w:val="0"/>
      <w:spacing w:lineRule="auto" w:line="264" w:before="0" w:after="160"/>
      <w:ind w:start="12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NoSpacing">
    <w:name w:val="No Spacing"/>
    <w:link w:val="Style8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TOC3">
    <w:name w:val="toc 3"/>
    <w:link w:val="3"/>
    <w:uiPriority w:val="39"/>
    <w:pPr>
      <w:widowControl/>
      <w:suppressAutoHyphens w:val="true"/>
      <w:bidi w:val="0"/>
      <w:spacing w:lineRule="auto" w:line="264" w:before="0" w:after="160"/>
      <w:ind w:start="4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11" w:customStyle="1">
    <w:name w:val="Гиперссылка1"/>
    <w:qFormat/>
    <w:pPr>
      <w:widowControl/>
      <w:suppressAutoHyphens w:val="true"/>
      <w:bidi w:val="0"/>
      <w:spacing w:lineRule="auto" w:line="264" w:before="0" w:after="160"/>
      <w:jc w:val="start"/>
    </w:pPr>
    <w:rPr>
      <w:rFonts w:ascii="Calibri" w:hAnsi="Calibri" w:eastAsia="Calibri" w:cs="Calibri"/>
      <w:color w:val="0000FF"/>
      <w:kern w:val="0"/>
      <w:sz w:val="22"/>
      <w:szCs w:val="22"/>
      <w:u w:val="single"/>
      <w:lang w:val="ru-RU" w:eastAsia="ru-RU" w:bidi="ar-SA"/>
    </w:rPr>
  </w:style>
  <w:style w:type="paragraph" w:styleId="Footnote1" w:customStyle="1">
    <w:name w:val="Footnote1"/>
    <w:link w:val="Footnote"/>
    <w:qFormat/>
    <w:pPr>
      <w:widowControl/>
      <w:suppressAutoHyphens w:val="true"/>
      <w:bidi w:val="0"/>
      <w:spacing w:lineRule="auto" w:line="264" w:before="0" w:after="160"/>
      <w:ind w:firstLine="851"/>
      <w:jc w:val="both"/>
    </w:pPr>
    <w:rPr>
      <w:rFonts w:ascii="XO Thames" w:hAnsi="XO Thames" w:eastAsia="Calibri" w:cs="Calibri"/>
      <w:color w:val="auto"/>
      <w:kern w:val="0"/>
      <w:sz w:val="22"/>
      <w:szCs w:val="22"/>
      <w:lang w:val="ru-RU" w:eastAsia="ru-RU" w:bidi="ar-SA"/>
    </w:rPr>
  </w:style>
  <w:style w:type="paragraph" w:styleId="TOC1">
    <w:name w:val="toc 1"/>
    <w:link w:val="1"/>
    <w:uiPriority w:val="39"/>
    <w:pPr>
      <w:widowControl/>
      <w:suppressAutoHyphens w:val="true"/>
      <w:bidi w:val="0"/>
      <w:spacing w:lineRule="auto" w:line="264" w:before="0" w:after="160"/>
      <w:jc w:val="start"/>
    </w:pPr>
    <w:rPr>
      <w:rFonts w:ascii="XO Thames" w:hAnsi="XO Thames" w:eastAsia="Calibri" w:cs="Calibri"/>
      <w:b/>
      <w:color w:val="auto"/>
      <w:kern w:val="0"/>
      <w:sz w:val="28"/>
      <w:szCs w:val="22"/>
      <w:lang w:val="ru-RU" w:eastAsia="ru-RU" w:bidi="ar-SA"/>
    </w:rPr>
  </w:style>
  <w:style w:type="paragraph" w:styleId="user2" w:customStyle="1">
    <w:name w:val="Колонтитулы (user)"/>
    <w:qFormat/>
    <w:pPr>
      <w:widowControl/>
      <w:suppressAutoHyphens w:val="true"/>
      <w:bidi w:val="0"/>
      <w:spacing w:lineRule="auto" w:line="240" w:before="0" w:after="160"/>
      <w:jc w:val="both"/>
    </w:pPr>
    <w:rPr>
      <w:rFonts w:ascii="XO Thames" w:hAnsi="XO Thames" w:eastAsia="Calibri" w:cs="Calibri"/>
      <w:color w:val="auto"/>
      <w:kern w:val="0"/>
      <w:sz w:val="20"/>
      <w:szCs w:val="22"/>
      <w:lang w:val="ru-RU" w:eastAsia="ru-RU" w:bidi="ar-SA"/>
    </w:rPr>
  </w:style>
  <w:style w:type="paragraph" w:styleId="12" w:customStyle="1">
    <w:name w:val="Основной шрифт абзаца1"/>
    <w:qFormat/>
    <w:pPr>
      <w:widowControl/>
      <w:suppressAutoHyphens w:val="true"/>
      <w:bidi w:val="0"/>
      <w:spacing w:lineRule="auto" w:line="264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TOC9">
    <w:name w:val="toc 9"/>
    <w:link w:val="9"/>
    <w:uiPriority w:val="39"/>
    <w:pPr>
      <w:widowControl/>
      <w:suppressAutoHyphens w:val="true"/>
      <w:bidi w:val="0"/>
      <w:spacing w:lineRule="auto" w:line="264" w:before="0" w:after="160"/>
      <w:ind w:start="16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TOC8">
    <w:name w:val="toc 8"/>
    <w:link w:val="8"/>
    <w:uiPriority w:val="39"/>
    <w:pPr>
      <w:widowControl/>
      <w:suppressAutoHyphens w:val="true"/>
      <w:bidi w:val="0"/>
      <w:spacing w:lineRule="auto" w:line="264" w:before="0" w:after="160"/>
      <w:ind w:start="14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TOC5">
    <w:name w:val="toc 5"/>
    <w:link w:val="5"/>
    <w:uiPriority w:val="39"/>
    <w:pPr>
      <w:widowControl/>
      <w:suppressAutoHyphens w:val="true"/>
      <w:bidi w:val="0"/>
      <w:spacing w:lineRule="auto" w:line="264" w:before="0" w:after="160"/>
      <w:ind w:start="800"/>
      <w:jc w:val="start"/>
    </w:pPr>
    <w:rPr>
      <w:rFonts w:ascii="XO Thames" w:hAnsi="XO Thames" w:eastAsia="Calibri" w:cs="Calibri"/>
      <w:color w:val="auto"/>
      <w:kern w:val="0"/>
      <w:sz w:val="28"/>
      <w:szCs w:val="22"/>
      <w:lang w:val="ru-RU" w:eastAsia="ru-RU" w:bidi="ar-SA"/>
    </w:rPr>
  </w:style>
  <w:style w:type="paragraph" w:styleId="Subtitle">
    <w:name w:val="Subtitle"/>
    <w:basedOn w:val="Normal"/>
    <w:next w:val="Normal"/>
    <w:uiPriority w:val="11"/>
    <w:qFormat/>
    <w:pPr>
      <w:jc w:val="both"/>
    </w:pPr>
    <w:rPr>
      <w:rFonts w:ascii="XO Thames" w:hAnsi="XO Thames" w:eastAsia="XO Thames" w:cs="XO Thames"/>
      <w:i/>
      <w:iCs/>
      <w:color w:val="000000"/>
      <w:sz w:val="24"/>
      <w:szCs w:val="24"/>
    </w:rPr>
  </w:style>
  <w:style w:type="paragraph" w:styleId="Style13">
    <w:name w:val="Колонтитулы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Style13"/>
    <w:pPr/>
    <w:rPr/>
  </w:style>
  <w:style w:type="paragraph" w:styleId="Style14">
    <w:name w:val="Содержимое списка"/>
    <w:basedOn w:val="Normal"/>
    <w:qFormat/>
    <w:pPr>
      <w:ind w:start="567"/>
    </w:pPr>
    <w:rPr/>
  </w:style>
  <w:style w:type="numbering" w:styleId="user3" w:default="1">
    <w:name w:val="Без списка (user)"/>
    <w:uiPriority w:val="99"/>
    <w:semiHidden/>
    <w:unhideWhenUsed/>
    <w:qFormat/>
  </w:style>
  <w:style w:type="numbering" w:styleId="Style15">
    <w:name w:val="Без списка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7">
    <w:name w:val="Table Grid"/>
    <w:basedOn w:val="a1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hWgmsKdcBvOs0vT3XCK6n+qcqPQ==">CgMxLjA4AHIhMXBxc09pVHp2UWhlemIyZEh4cE9iMXQ0WXlYZFNORGd2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5F80D1D-59A1-4DD5-8244-32D5AA824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LibreOffice/25.8.6.2$Windows_X86_64 LibreOffice_project/b4b39682cd9868fa725bc664aff94278d315bd04</Application>
  <AppVersion>15.0000</AppVersion>
  <Pages>3</Pages>
  <Words>652</Words>
  <Characters>4572</Characters>
  <CharactersWithSpaces>5276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2025-12-30T09:06:00Z</dcterms:created>
  <dc:creator>Ирина К</dc:creator>
  <dc:description/>
  <dc:language>ru-RU</dc:language>
  <cp:lastModifiedBy/>
  <dcterms:modified xsi:type="dcterms:W3CDTF">2026-05-26T15:20:56Z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