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3.png" ContentType="image/png"/>
  <Override PartName="/word/media/rId64.png" ContentType="image/png"/>
  <Override PartName="/word/media/rId68.png" ContentType="image/png"/>
  <Override PartName="/word/media/rId66.png" ContentType="image/png"/>
  <Override PartName="/word/media/rId70.png" ContentType="image/png"/>
  <Override PartName="/word/media/rId40.png" ContentType="image/png"/>
  <Override PartName="/word/media/rId41.png" ContentType="image/png"/>
  <Override PartName="/word/media/rId39.png" ContentType="image/png"/>
  <Override PartName="/word/media/rId22.png" ContentType="image/png"/>
  <Override PartName="/word/media/rId37.png" ContentType="image/png"/>
  <Override PartName="/word/media/rId54.png" ContentType="image/png"/>
  <Override PartName="/word/media/rId47.png" ContentType="image/png"/>
  <Override PartName="/word/media/rId45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55.png" ContentType="image/png"/>
  <Override PartName="/word/media/rId60.png" ContentType="image/png"/>
  <Override PartName="/word/media/rId7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工作梳理"/>
      <w:r>
        <w:t xml:space="preserve">工作梳理</w:t>
      </w:r>
      <w:bookmarkEnd w:id="20"/>
    </w:p>
    <w:p>
      <w:pPr>
        <w:pStyle w:val="BlockText"/>
      </w:pPr>
      <w:r>
        <w:t xml:space="preserve">ctrl + 向上滚轮可以放大网页</w:t>
      </w:r>
    </w:p>
    <w:p>
      <w:pPr>
        <w:pStyle w:val="Heading2"/>
      </w:pPr>
      <w:bookmarkStart w:id="21" w:name="1-获取数据"/>
      <w:r>
        <w:t xml:space="preserve">1. 获取数据</w:t>
      </w:r>
      <w:bookmarkEnd w:id="21"/>
    </w:p>
    <w:p>
      <w:pPr>
        <w:pStyle w:val="CaptionedFigure"/>
      </w:pPr>
      <w:r>
        <w:drawing>
          <wp:inline>
            <wp:extent cx="5334000" cy="23653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NVN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3" w:name="11-获取所有股票的代码"/>
      <w:r>
        <w:t xml:space="preserve">1.1 获取所有股票的代码</w:t>
      </w:r>
      <w:bookmarkEnd w:id="23"/>
    </w:p>
    <w:p>
      <w:pPr>
        <w:pStyle w:val="Heading4"/>
      </w:pPr>
      <w:bookmarkStart w:id="24" w:name="gettickersusnasdaq"/>
      <w:r>
        <w:t xml:space="preserve">get_tickers_us_nasdaq</w:t>
      </w:r>
      <w:bookmarkEnd w:id="24"/>
    </w:p>
    <w:p>
      <w:pPr>
        <w:pStyle w:val="BlockText"/>
      </w:pPr>
      <w:r>
        <w:t xml:space="preserve">pyfinviz</w:t>
      </w:r>
    </w:p>
    <w:p>
      <w:pPr>
        <w:pStyle w:val="Heading4"/>
      </w:pPr>
      <w:bookmarkStart w:id="25" w:name="gettickersusnyse"/>
      <w:r>
        <w:t xml:space="preserve">get_tickers_us_nyse</w:t>
      </w:r>
      <w:bookmarkEnd w:id="25"/>
    </w:p>
    <w:p>
      <w:pPr>
        <w:pStyle w:val="BlockText"/>
      </w:pPr>
      <w:r>
        <w:t xml:space="preserve">pyfinviz</w:t>
      </w:r>
    </w:p>
    <w:p>
      <w:pPr>
        <w:pStyle w:val="Heading4"/>
      </w:pPr>
      <w:bookmarkStart w:id="26" w:name="gettickersch"/>
      <w:r>
        <w:t xml:space="preserve">get_tickers_ch</w:t>
      </w:r>
      <w:bookmarkEnd w:id="26"/>
    </w:p>
    <w:p>
      <w:pPr>
        <w:pStyle w:val="BlockText"/>
      </w:pPr>
      <w:r>
        <w:t xml:space="preserve">tushare</w:t>
      </w:r>
    </w:p>
    <w:p>
      <w:pPr>
        <w:numPr>
          <w:numId w:val="1001"/>
          <w:ilvl w:val="0"/>
        </w:numPr>
      </w:pPr>
      <w:r>
        <w:t xml:space="preserve">以上代码获得了美股和中股的所有股票代码</w:t>
      </w:r>
    </w:p>
    <w:p>
      <w:pPr>
        <w:numPr>
          <w:numId w:val="1001"/>
          <w:ilvl w:val="0"/>
        </w:numPr>
      </w:pPr>
      <w:r>
        <w:t xml:space="preserve">获得了分类</w:t>
      </w:r>
    </w:p>
    <w:p>
      <w:pPr>
        <w:pStyle w:val="Heading3"/>
      </w:pPr>
      <w:bookmarkStart w:id="27" w:name="12-获取所有股票的历史价格"/>
      <w:r>
        <w:t xml:space="preserve">1.2 获取所有股票的历史价格</w:t>
      </w:r>
      <w:bookmarkEnd w:id="27"/>
    </w:p>
    <w:p>
      <w:pPr>
        <w:pStyle w:val="Heading4"/>
      </w:pPr>
      <w:bookmarkStart w:id="28" w:name="getsingletickerchipynb"/>
      <w:r>
        <w:t xml:space="preserve">get_single_ticker_ch.ipynb</w:t>
      </w:r>
      <w:bookmarkEnd w:id="28"/>
    </w:p>
    <w:p>
      <w:pPr>
        <w:pStyle w:val="BlockText"/>
      </w:pPr>
      <w:r>
        <w:t xml:space="preserve">baostock, tushare(数据有问题)</w:t>
      </w:r>
    </w:p>
    <w:p>
      <w:pPr>
        <w:numPr>
          <w:numId w:val="1002"/>
          <w:ilvl w:val="0"/>
        </w:numPr>
      </w:pPr>
      <w:r>
        <w:t xml:space="preserve">获取了全部的中国股票及其历史数据</w:t>
      </w:r>
    </w:p>
    <w:p>
      <w:pPr>
        <w:numPr>
          <w:numId w:val="1002"/>
          <w:ilvl w:val="0"/>
        </w:numPr>
      </w:pPr>
      <w:r>
        <w:t xml:space="preserve">实现了动态更新（需要服务器）</w:t>
      </w:r>
    </w:p>
    <w:p>
      <w:pPr>
        <w:pStyle w:val="Heading4"/>
      </w:pPr>
      <w:bookmarkStart w:id="29" w:name="getsingletickerusipynb"/>
      <w:r>
        <w:t xml:space="preserve">get_single_ticker_us.ipynb</w:t>
      </w:r>
      <w:bookmarkEnd w:id="29"/>
    </w:p>
    <w:p>
      <w:pPr>
        <w:pStyle w:val="BlockText"/>
      </w:pPr>
      <w:r>
        <w:t xml:space="preserve">yfinance</w:t>
      </w:r>
    </w:p>
    <w:p>
      <w:pPr>
        <w:numPr>
          <w:numId w:val="1003"/>
          <w:ilvl w:val="0"/>
        </w:numPr>
      </w:pPr>
      <w:r>
        <w:t xml:space="preserve">获取了全部的美国股票及其历史数据</w:t>
      </w:r>
    </w:p>
    <w:p>
      <w:pPr>
        <w:numPr>
          <w:numId w:val="1003"/>
          <w:ilvl w:val="0"/>
        </w:numPr>
      </w:pPr>
      <w:r>
        <w:t xml:space="preserve">实现了动态更新（需要服务器）</w:t>
      </w:r>
    </w:p>
    <w:p>
      <w:pPr>
        <w:pStyle w:val="Heading3"/>
      </w:pPr>
      <w:bookmarkStart w:id="30" w:name="13-获取各种指数"/>
      <w:r>
        <w:t xml:space="preserve">1.3 获取各种指数</w:t>
      </w:r>
      <w:bookmarkEnd w:id="30"/>
    </w:p>
    <w:p>
      <w:pPr>
        <w:pStyle w:val="Heading4"/>
      </w:pPr>
      <w:bookmarkStart w:id="31" w:name="getindexchpy"/>
      <w:r>
        <w:t xml:space="preserve">get_index_ch.py</w:t>
      </w:r>
      <w:bookmarkEnd w:id="31"/>
    </w:p>
    <w:p>
      <w:pPr>
        <w:pStyle w:val="BlockText"/>
      </w:pPr>
      <w:r>
        <w:t xml:space="preserve">baostock api</w:t>
      </w:r>
    </w:p>
    <w:p>
      <w:pPr>
        <w:numPr>
          <w:numId w:val="1004"/>
          <w:ilvl w:val="0"/>
        </w:numPr>
      </w:pPr>
      <w:r>
        <w:t xml:space="preserve">动态获取上证50成分股</w:t>
      </w:r>
    </w:p>
    <w:p>
      <w:pPr>
        <w:numPr>
          <w:numId w:val="1004"/>
          <w:ilvl w:val="0"/>
        </w:numPr>
      </w:pPr>
      <w:r>
        <w:t xml:space="preserve">动态获得沪深300成分股</w:t>
      </w:r>
    </w:p>
    <w:p>
      <w:pPr>
        <w:numPr>
          <w:numId w:val="1004"/>
          <w:ilvl w:val="0"/>
        </w:numPr>
      </w:pPr>
      <w:r>
        <w:t xml:space="preserve">动态获得中证500成分股</w:t>
      </w:r>
    </w:p>
    <w:p>
      <w:pPr>
        <w:pStyle w:val="Heading4"/>
      </w:pPr>
      <w:bookmarkStart w:id="32" w:name="getindexuspy"/>
      <w:r>
        <w:t xml:space="preserve">get_index_us.py</w:t>
      </w:r>
      <w:bookmarkEnd w:id="32"/>
    </w:p>
    <w:p>
      <w:pPr>
        <w:pStyle w:val="BlockText"/>
      </w:pPr>
      <w:r>
        <w:t xml:space="preserve">beautifulsoap</w:t>
      </w:r>
    </w:p>
    <w:p>
      <w:pPr>
        <w:numPr>
          <w:numId w:val="1005"/>
          <w:ilvl w:val="0"/>
        </w:numPr>
      </w:pPr>
      <w:r>
        <w:t xml:space="preserve">动态获取nasdaq100</w:t>
      </w:r>
    </w:p>
    <w:p>
      <w:pPr>
        <w:numPr>
          <w:numId w:val="1005"/>
          <w:ilvl w:val="0"/>
        </w:numPr>
      </w:pPr>
      <w:r>
        <w:t xml:space="preserve">动态获取sp500</w:t>
      </w:r>
    </w:p>
    <w:p>
      <w:pPr>
        <w:numPr>
          <w:numId w:val="1005"/>
          <w:ilvl w:val="0"/>
        </w:numPr>
      </w:pPr>
      <w:r>
        <w:t xml:space="preserve">动态获取dowjones50</w:t>
      </w:r>
    </w:p>
    <w:p>
      <w:pPr>
        <w:pStyle w:val="Heading3"/>
      </w:pPr>
      <w:bookmarkStart w:id="33" w:name="14-读取数据和写入数据"/>
      <w:r>
        <w:t xml:space="preserve">1.4 读取数据和写入数据</w:t>
      </w:r>
      <w:bookmarkEnd w:id="33"/>
    </w:p>
    <w:p>
      <w:pPr>
        <w:pStyle w:val="BlockText"/>
      </w:pPr>
      <w:r>
        <w:t xml:space="preserve">sqlite3, pandas</w:t>
      </w:r>
    </w:p>
    <w:p>
      <w:pPr>
        <w:pStyle w:val="Heading4"/>
      </w:pPr>
      <w:bookmarkStart w:id="34" w:name="databasewritereadipynb"/>
      <w:r>
        <w:t xml:space="preserve">database_write_read.ipynb</w:t>
      </w:r>
      <w:bookmarkEnd w:id="34"/>
    </w:p>
    <w:p>
      <w:pPr>
        <w:pStyle w:val="Heading4"/>
      </w:pPr>
      <w:bookmarkStart w:id="35" w:name="databasestoreipynb"/>
      <w:r>
        <w:t xml:space="preserve">database_store.ipynb</w:t>
      </w:r>
      <w:bookmarkEnd w:id="35"/>
    </w:p>
    <w:p>
      <w:pPr>
        <w:pStyle w:val="Heading3"/>
      </w:pPr>
      <w:bookmarkStart w:id="36" w:name="结果"/>
      <w:r>
        <w:t xml:space="preserve">结果</w:t>
      </w:r>
      <w:bookmarkEnd w:id="36"/>
    </w:p>
    <w:p>
      <w:pPr>
        <w:pStyle w:val="FirstParagraph"/>
      </w:pPr>
      <w:hyperlink r:id="rId38">
        <w:r>
          <w:drawing>
            <wp:inline>
              <wp:extent cx="5334000" cy="1357561"/>
              <wp:effectExtent b="0" l="0" r="0" t="0"/>
              <wp:docPr descr="" title="fig:" id="1" name="Picture"/>
              <a:graphic>
                <a:graphicData uri="http://schemas.openxmlformats.org/drawingml/2006/picture">
                  <pic:pic>
                    <pic:nvPicPr>
                      <pic:cNvPr descr="https://s1.328888.xyz/2022/07/18/lNsaK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135756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CaptionedFigure"/>
      </w:pPr>
      <w:r>
        <w:drawing>
          <wp:inline>
            <wp:extent cx="5334000" cy="8376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NUX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8369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N8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023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NJu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42" w:name="2-中长期投资思路梳理"/>
      <w:r>
        <w:t xml:space="preserve">2. 中长期投资思路梳理</w:t>
      </w:r>
      <w:bookmarkEnd w:id="42"/>
    </w:p>
    <w:p>
      <w:pPr>
        <w:pStyle w:val="FirstParagraph"/>
      </w:pPr>
      <w:r>
        <w:t xml:space="preserve">我们对于中长期的选股的思路分为以下两个方面：</w:t>
      </w:r>
    </w:p>
    <w:p>
      <w:pPr>
        <w:numPr>
          <w:numId w:val="1006"/>
          <w:ilvl w:val="0"/>
        </w:numPr>
      </w:pPr>
      <w:r>
        <w:t xml:space="preserve">“自上而下”：大盘找低点</w:t>
      </w:r>
    </w:p>
    <w:p>
      <w:pPr>
        <w:numPr>
          <w:numId w:val="1006"/>
          <w:ilvl w:val="0"/>
        </w:numPr>
      </w:pPr>
      <w:r>
        <w:t xml:space="preserve">“自下而上”：个股找高点</w:t>
      </w:r>
    </w:p>
    <w:p>
      <w:pPr>
        <w:pStyle w:val="FirstParagraph"/>
      </w:pPr>
      <w:r>
        <w:t xml:space="preserve">对于大盘来说，我们通常买在低点的位置，但是对于个股我们一定不能买在低点。原因在于对于股票和购物是不一样的思维。如果我们是日常买东西，我们可以买在低点，打折的时候，但是对于股票，“贪便宜”的想法会造成很大的损失。一个股票的价格越低，就说明这个股票越不值钱。借用一句形象的比喻：永远不要用手接一个下落的刀子。所以我们要解决两个问题：1.如何判断大盘，2.如何判断个股。</w:t>
      </w:r>
    </w:p>
    <w:p>
      <w:pPr>
        <w:pStyle w:val="Heading3"/>
      </w:pPr>
      <w:bookmarkStart w:id="43" w:name="21-如何判断大盘的低点高点拐点"/>
      <w:r>
        <w:t xml:space="preserve">2.1 如何判断大盘的低点、高点、拐点</w:t>
      </w:r>
      <w:bookmarkEnd w:id="43"/>
    </w:p>
    <w:p>
      <w:pPr>
        <w:pStyle w:val="FirstParagraph"/>
      </w:pPr>
      <w:r>
        <w:t xml:space="preserve">对于大盘，散户常常有一个误解，即用各种指数来判断大盘的整体走向，但是这其中有很多的问题。因为权值的不同，导致了大户可以通过“换股”的方法来让大盘“看起来在整体上升”。我们用美股的sp500数据为例：</w:t>
      </w:r>
    </w:p>
    <w:p>
      <w:pPr>
        <w:pStyle w:val="BodyText"/>
      </w:pPr>
      <w:r>
        <w:t xml:space="preserve">首先是SP500的数据（周线图）：</w:t>
      </w:r>
    </w:p>
    <w:p>
      <w:pPr>
        <w:pStyle w:val="CaptionedFigure"/>
      </w:pPr>
      <w:r>
        <w:drawing>
          <wp:inline>
            <wp:extent cx="5334000" cy="3307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lFe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我们发现了从2020年3月20日到2022年1月3日SP500的指数一直在提高，如果通过大盘我们会觉得2022年1月3日牛市才结束。但是我们看另一个数据：</w:t>
      </w:r>
    </w:p>
    <w:p>
      <w:pPr>
        <w:pStyle w:val="BodyText"/>
      </w:pPr>
      <w:r>
        <w:t xml:space="preserve">高于MA200的股票占比（周线图）：</w:t>
      </w:r>
    </w:p>
    <w:p>
      <w:pPr>
        <w:pStyle w:val="CaptionedFigure"/>
      </w:pPr>
      <w:r>
        <w:drawing>
          <wp:inline>
            <wp:extent cx="5334000" cy="3307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lD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我们发现从2021年2月8日占比就一直下降，到了2022年的1月3日只有不到一半的股票还高于MA200</w:t>
      </w:r>
    </w:p>
    <w:p>
      <w:pPr>
        <w:pStyle w:val="Heading4"/>
      </w:pPr>
      <w:bookmarkStart w:id="46" w:name="30和70"/>
      <w:r>
        <w:t xml:space="preserve">30和70</w:t>
      </w:r>
      <w:bookmarkEnd w:id="46"/>
    </w:p>
    <w:p>
      <w:pPr>
        <w:pStyle w:val="FirstParagraph"/>
      </w:pPr>
      <w:r>
        <w:t xml:space="preserve">所以我们决定用下面的占比来判断牛市和熊市，有意思的是这个数据和RSI非常非常的相似，30和70是一个很重要的线，如下面高于MA200的股票占比（月线图）所示：</w:t>
      </w:r>
    </w:p>
    <w:p>
      <w:pPr>
        <w:pStyle w:val="CaptionedFigure"/>
      </w:pPr>
      <w:r>
        <w:drawing>
          <wp:inline>
            <wp:extent cx="5334000" cy="3307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l0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8" w:name="10和90"/>
      <w:r>
        <w:t xml:space="preserve">10和90</w:t>
      </w:r>
      <w:bookmarkEnd w:id="48"/>
    </w:p>
    <w:p>
      <w:pPr>
        <w:pStyle w:val="FirstParagraph"/>
      </w:pPr>
      <w:r>
        <w:t xml:space="preserve">更进一步我们可以发现，10-15的范围是低点（我在写这篇文章的时候2022/7/18 17:42，判断美股的市场可能还有1-3个月的下跌，但是即将以来反弹，除非有黑天鹅的事件发生)，而高点用80-90非常合适，历史上的高点都触碰到了90的高位，但是90也是一个信号，意味着过度繁荣。也可能成为由盛转衰的开始。</w:t>
      </w:r>
    </w:p>
    <w:p>
      <w:pPr>
        <w:pStyle w:val="CaptionedFigure"/>
      </w:pPr>
      <w:r>
        <w:drawing>
          <wp:inline>
            <wp:extent cx="5334000" cy="3307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lT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50" w:name="总结-1"/>
      <w:r>
        <w:t xml:space="preserve">总结</w:t>
      </w:r>
      <w:bookmarkEnd w:id="50"/>
    </w:p>
    <w:p>
      <w:pPr>
        <w:pStyle w:val="FirstParagraph"/>
      </w:pPr>
      <w:r>
        <w:t xml:space="preserve">这个百分比可以说和RSI完全一致，关键的点位10，30，50，70，90.</w:t>
      </w:r>
      <w:r>
        <w:t xml:space="preserve"> </w:t>
      </w:r>
    </w:p>
    <w:p>
      <w:pPr>
        <w:pStyle w:val="Heading4"/>
      </w:pPr>
      <w:bookmarkStart w:id="51" w:name="原因分析"/>
      <w:r>
        <w:t xml:space="preserve">原因分析</w:t>
      </w:r>
      <w:bookmarkEnd w:id="51"/>
    </w:p>
    <w:p>
      <w:pPr>
        <w:pStyle w:val="FirstParagraph"/>
      </w:pPr>
      <w:r>
        <w:t xml:space="preserve">通过观察SP500的前50名weight（当前时间：2022/7/18 18:01）：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 w:type="textWrapping"/>
      </w:r>
      <w:r>
        <w:rPr>
          <w:rStyle w:val="ImportTok"/>
        </w:rPr>
        <w:t xml:space="preserve">from</w:t>
      </w:r>
      <w:r>
        <w:rPr>
          <w:rStyle w:val="NormalTok"/>
        </w:rPr>
        <w:t xml:space="preserve"> get_index_us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get_sp500</w:t>
      </w:r>
      <w:r>
        <w:br w:type="textWrapping"/>
      </w:r>
      <w:r>
        <w:rPr>
          <w:rStyle w:val="NormalTok"/>
        </w:rPr>
        <w:t xml:space="preserve">sp500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get_sp500()</w:t>
      </w:r>
      <w:r>
        <w:br w:type="textWrapping"/>
      </w:r>
      <w:r>
        <w:rPr>
          <w:rStyle w:val="NormalTok"/>
        </w:rPr>
        <w:t xml:space="preserve">sp500.head(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).to_csv(</w:t>
      </w:r>
      <w:r>
        <w:rPr>
          <w:rStyle w:val="StringTok"/>
        </w:rPr>
        <w:t xml:space="preserve">'sp500-top50.csv'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</w:rPr>
        <w:t xml:space="preserve">result 'sp500-top50.csv'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symbol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weight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AAPL</w:t>
            </w:r>
          </w:p>
        </w:tc>
        <w:tc>
          <w:p>
            <w:pPr>
              <w:pStyle w:val="Compact"/>
              <w:jc w:val="left"/>
            </w:pPr>
            <w:r>
              <w:t xml:space="preserve">7.145571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MSFT</w:t>
            </w:r>
          </w:p>
        </w:tc>
        <w:tc>
          <w:p>
            <w:pPr>
              <w:pStyle w:val="Compact"/>
              <w:jc w:val="left"/>
            </w:pPr>
            <w:r>
              <w:t xml:space="preserve">5.948039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AMZN</w:t>
            </w:r>
          </w:p>
        </w:tc>
        <w:tc>
          <w:p>
            <w:pPr>
              <w:pStyle w:val="Compact"/>
              <w:jc w:val="left"/>
            </w:pPr>
            <w:r>
              <w:t xml:space="preserve">3.029958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GOOGL</w:t>
            </w:r>
          </w:p>
        </w:tc>
        <w:tc>
          <w:p>
            <w:pPr>
              <w:pStyle w:val="Compact"/>
              <w:jc w:val="left"/>
            </w:pPr>
            <w:r>
              <w:t xml:space="preserve">2.078025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GOOG</w:t>
            </w:r>
          </w:p>
        </w:tc>
        <w:tc>
          <w:p>
            <w:pPr>
              <w:pStyle w:val="Compact"/>
              <w:jc w:val="left"/>
            </w:pPr>
            <w:r>
              <w:t xml:space="preserve">1.92386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TSLA</w:t>
            </w:r>
          </w:p>
        </w:tc>
        <w:tc>
          <w:p>
            <w:pPr>
              <w:pStyle w:val="Compact"/>
              <w:jc w:val="left"/>
            </w:pPr>
            <w:r>
              <w:t xml:space="preserve">1.877899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BRK.B</w:t>
            </w:r>
          </w:p>
        </w:tc>
        <w:tc>
          <w:p>
            <w:pPr>
              <w:pStyle w:val="Compact"/>
              <w:jc w:val="left"/>
            </w:pPr>
            <w:r>
              <w:t xml:space="preserve">1.553953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UNH</w:t>
            </w:r>
          </w:p>
        </w:tc>
        <w:tc>
          <w:p>
            <w:pPr>
              <w:pStyle w:val="Compact"/>
              <w:jc w:val="left"/>
            </w:pPr>
            <w:r>
              <w:t xml:space="preserve">1.476786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JNJ</w:t>
            </w:r>
          </w:p>
        </w:tc>
        <w:tc>
          <w:p>
            <w:pPr>
              <w:pStyle w:val="Compact"/>
              <w:jc w:val="left"/>
            </w:pPr>
            <w:r>
              <w:t xml:space="preserve">1.446995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NVDA</w:t>
            </w:r>
          </w:p>
        </w:tc>
        <w:tc>
          <w:p>
            <w:pPr>
              <w:pStyle w:val="Compact"/>
              <w:jc w:val="left"/>
            </w:pPr>
            <w:r>
              <w:t xml:space="preserve">1.204824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META</w:t>
            </w:r>
          </w:p>
        </w:tc>
        <w:tc>
          <w:p>
            <w:pPr>
              <w:pStyle w:val="Compact"/>
              <w:jc w:val="left"/>
            </w:pPr>
            <w:r>
              <w:t xml:space="preserve">1.134629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XOM</w:t>
            </w:r>
          </w:p>
        </w:tc>
        <w:tc>
          <w:p>
            <w:pPr>
              <w:pStyle w:val="Compact"/>
              <w:jc w:val="left"/>
            </w:pPr>
            <w:r>
              <w:t xml:space="preserve">1.096256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PG</w:t>
            </w:r>
          </w:p>
        </w:tc>
        <w:tc>
          <w:p>
            <w:pPr>
              <w:pStyle w:val="Compact"/>
              <w:jc w:val="left"/>
            </w:pPr>
            <w:r>
              <w:t xml:space="preserve">1.090979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t xml:space="preserve">V</w:t>
            </w:r>
          </w:p>
        </w:tc>
        <w:tc>
          <w:p>
            <w:pPr>
              <w:pStyle w:val="Compact"/>
              <w:jc w:val="left"/>
            </w:pPr>
            <w:r>
              <w:t xml:space="preserve">1.060702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t xml:space="preserve">JPM</w:t>
            </w:r>
          </w:p>
        </w:tc>
        <w:tc>
          <w:p>
            <w:pPr>
              <w:pStyle w:val="Compact"/>
              <w:jc w:val="left"/>
            </w:pPr>
            <w:r>
              <w:t xml:space="preserve">0.99286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t xml:space="preserve">HD</w:t>
            </w:r>
          </w:p>
        </w:tc>
        <w:tc>
          <w:p>
            <w:pPr>
              <w:pStyle w:val="Compact"/>
              <w:jc w:val="left"/>
            </w:pPr>
            <w:r>
              <w:t xml:space="preserve">0.936327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t xml:space="preserve">PFE</w:t>
            </w:r>
          </w:p>
        </w:tc>
        <w:tc>
          <w:p>
            <w:pPr>
              <w:pStyle w:val="Compact"/>
              <w:jc w:val="left"/>
            </w:pPr>
            <w:r>
              <w:t xml:space="preserve">0.902539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MA</w:t>
            </w:r>
          </w:p>
        </w:tc>
        <w:tc>
          <w:p>
            <w:pPr>
              <w:pStyle w:val="Compact"/>
              <w:jc w:val="left"/>
            </w:pPr>
            <w:r>
              <w:t xml:space="preserve">0.875109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CVX</w:t>
            </w:r>
          </w:p>
        </w:tc>
        <w:tc>
          <w:p>
            <w:pPr>
              <w:pStyle w:val="Compact"/>
              <w:jc w:val="left"/>
            </w:pPr>
            <w:r>
              <w:t xml:space="preserve">0.836037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ABBV</w:t>
            </w:r>
          </w:p>
        </w:tc>
        <w:tc>
          <w:p>
            <w:pPr>
              <w:pStyle w:val="Compact"/>
              <w:jc w:val="left"/>
            </w:pPr>
            <w:r>
              <w:t xml:space="preserve">0.832118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LLY</w:t>
            </w:r>
          </w:p>
        </w:tc>
        <w:tc>
          <w:p>
            <w:pPr>
              <w:pStyle w:val="Compact"/>
              <w:jc w:val="left"/>
            </w:pPr>
            <w:r>
              <w:t xml:space="preserve">0.806924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t xml:space="preserve">KO</w:t>
            </w:r>
          </w:p>
        </w:tc>
        <w:tc>
          <w:p>
            <w:pPr>
              <w:pStyle w:val="Compact"/>
              <w:jc w:val="left"/>
            </w:pPr>
            <w:r>
              <w:t xml:space="preserve">0.759353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t xml:space="preserve">MRK</w:t>
            </w:r>
          </w:p>
        </w:tc>
        <w:tc>
          <w:p>
            <w:pPr>
              <w:pStyle w:val="Compact"/>
              <w:jc w:val="left"/>
            </w:pPr>
            <w:r>
              <w:t xml:space="preserve">0.7431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PEP</w:t>
            </w:r>
          </w:p>
        </w:tc>
        <w:tc>
          <w:p>
            <w:pPr>
              <w:pStyle w:val="Compact"/>
              <w:jc w:val="left"/>
            </w:pPr>
            <w:r>
              <w:t xml:space="preserve">0.739992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24</w:t>
            </w:r>
          </w:p>
        </w:tc>
        <w:tc>
          <w:p>
            <w:pPr>
              <w:pStyle w:val="Compact"/>
              <w:jc w:val="left"/>
            </w:pPr>
            <w:r>
              <w:t xml:space="preserve">COST</w:t>
            </w:r>
          </w:p>
        </w:tc>
        <w:tc>
          <w:p>
            <w:pPr>
              <w:pStyle w:val="Compact"/>
              <w:jc w:val="left"/>
            </w:pPr>
            <w:r>
              <w:t xml:space="preserve">0.710227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BAC</w:t>
            </w:r>
          </w:p>
        </w:tc>
        <w:tc>
          <w:p>
            <w:pPr>
              <w:pStyle w:val="Compact"/>
              <w:jc w:val="left"/>
            </w:pPr>
            <w:r>
              <w:t xml:space="preserve">0.668631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VZ</w:t>
            </w:r>
          </w:p>
        </w:tc>
        <w:tc>
          <w:p>
            <w:pPr>
              <w:pStyle w:val="Compact"/>
              <w:jc w:val="left"/>
            </w:pPr>
            <w:r>
              <w:t xml:space="preserve">0.663704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27</w:t>
            </w:r>
          </w:p>
        </w:tc>
        <w:tc>
          <w:p>
            <w:pPr>
              <w:pStyle w:val="Compact"/>
              <w:jc w:val="left"/>
            </w:pPr>
            <w:r>
              <w:t xml:space="preserve">TMO</w:t>
            </w:r>
          </w:p>
        </w:tc>
        <w:tc>
          <w:p>
            <w:pPr>
              <w:pStyle w:val="Compact"/>
              <w:jc w:val="left"/>
            </w:pPr>
            <w:r>
              <w:t xml:space="preserve">0.644077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28</w:t>
            </w:r>
          </w:p>
        </w:tc>
        <w:tc>
          <w:p>
            <w:pPr>
              <w:pStyle w:val="Compact"/>
              <w:jc w:val="left"/>
            </w:pPr>
            <w:r>
              <w:t xml:space="preserve">AVGO</w:t>
            </w:r>
          </w:p>
        </w:tc>
        <w:tc>
          <w:p>
            <w:pPr>
              <w:pStyle w:val="Compact"/>
              <w:jc w:val="left"/>
            </w:pPr>
            <w:r>
              <w:t xml:space="preserve">0.619364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MCD</w:t>
            </w:r>
          </w:p>
        </w:tc>
        <w:tc>
          <w:p>
            <w:pPr>
              <w:pStyle w:val="Compact"/>
              <w:jc w:val="left"/>
            </w:pPr>
            <w:r>
              <w:t xml:space="preserve">0.584729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ABT</w:t>
            </w:r>
          </w:p>
        </w:tc>
        <w:tc>
          <w:p>
            <w:pPr>
              <w:pStyle w:val="Compact"/>
              <w:jc w:val="left"/>
            </w:pPr>
            <w:r>
              <w:t xml:space="preserve">0.579354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p>
            <w:pPr>
              <w:pStyle w:val="Compact"/>
              <w:jc w:val="left"/>
            </w:pPr>
            <w:r>
              <w:t xml:space="preserve">WMT</w:t>
            </w:r>
          </w:p>
        </w:tc>
        <w:tc>
          <w:p>
            <w:pPr>
              <w:pStyle w:val="Compact"/>
              <w:jc w:val="left"/>
            </w:pPr>
            <w:r>
              <w:t xml:space="preserve">0.561688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32</w:t>
            </w:r>
          </w:p>
        </w:tc>
        <w:tc>
          <w:p>
            <w:pPr>
              <w:pStyle w:val="Compact"/>
              <w:jc w:val="left"/>
            </w:pPr>
            <w:r>
              <w:t xml:space="preserve">CMCSA</w:t>
            </w:r>
          </w:p>
        </w:tc>
        <w:tc>
          <w:p>
            <w:pPr>
              <w:pStyle w:val="Compact"/>
              <w:jc w:val="left"/>
            </w:pPr>
            <w:r>
              <w:t xml:space="preserve">0.553853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33</w:t>
            </w:r>
          </w:p>
        </w:tc>
        <w:tc>
          <w:p>
            <w:pPr>
              <w:pStyle w:val="Compact"/>
              <w:jc w:val="left"/>
            </w:pPr>
            <w:r>
              <w:t xml:space="preserve">ADBE</w:t>
            </w:r>
          </w:p>
        </w:tc>
        <w:tc>
          <w:p>
            <w:pPr>
              <w:pStyle w:val="Compact"/>
              <w:jc w:val="left"/>
            </w:pPr>
            <w:r>
              <w:t xml:space="preserve">0.5516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p>
            <w:pPr>
              <w:pStyle w:val="Compact"/>
              <w:jc w:val="left"/>
            </w:pPr>
            <w:r>
              <w:t xml:space="preserve">CSCO</w:t>
            </w:r>
          </w:p>
        </w:tc>
        <w:tc>
          <w:p>
            <w:pPr>
              <w:pStyle w:val="Compact"/>
              <w:jc w:val="left"/>
            </w:pPr>
            <w:r>
              <w:t xml:space="preserve">0.550413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35</w:t>
            </w:r>
          </w:p>
        </w:tc>
        <w:tc>
          <w:p>
            <w:pPr>
              <w:pStyle w:val="Compact"/>
              <w:jc w:val="left"/>
            </w:pPr>
            <w:r>
              <w:t xml:space="preserve">ACN</w:t>
            </w:r>
          </w:p>
        </w:tc>
        <w:tc>
          <w:p>
            <w:pPr>
              <w:pStyle w:val="Compact"/>
              <w:jc w:val="left"/>
            </w:pPr>
            <w:r>
              <w:t xml:space="preserve">0.532672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36</w:t>
            </w:r>
          </w:p>
        </w:tc>
        <w:tc>
          <w:p>
            <w:pPr>
              <w:pStyle w:val="Compact"/>
              <w:jc w:val="left"/>
            </w:pPr>
            <w:r>
              <w:t xml:space="preserve">DIS</w:t>
            </w:r>
          </w:p>
        </w:tc>
        <w:tc>
          <w:p>
            <w:pPr>
              <w:pStyle w:val="Compact"/>
              <w:jc w:val="left"/>
            </w:pPr>
            <w:r>
              <w:t xml:space="preserve">0.523621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DHR</w:t>
            </w:r>
          </w:p>
        </w:tc>
        <w:tc>
          <w:p>
            <w:pPr>
              <w:pStyle w:val="Compact"/>
              <w:jc w:val="left"/>
            </w:pPr>
            <w:r>
              <w:t xml:space="preserve">0.502449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38</w:t>
            </w:r>
          </w:p>
        </w:tc>
        <w:tc>
          <w:p>
            <w:pPr>
              <w:pStyle w:val="Compact"/>
              <w:jc w:val="left"/>
            </w:pPr>
            <w:r>
              <w:t xml:space="preserve">CRM</w:t>
            </w:r>
          </w:p>
        </w:tc>
        <w:tc>
          <w:p>
            <w:pPr>
              <w:pStyle w:val="Compact"/>
              <w:jc w:val="left"/>
            </w:pPr>
            <w:r>
              <w:t xml:space="preserve">0.500807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39</w:t>
            </w:r>
          </w:p>
        </w:tc>
        <w:tc>
          <w:p>
            <w:pPr>
              <w:pStyle w:val="Compact"/>
              <w:jc w:val="left"/>
            </w:pPr>
            <w:r>
              <w:t xml:space="preserve">QCOM</w:t>
            </w:r>
          </w:p>
        </w:tc>
        <w:tc>
          <w:p>
            <w:pPr>
              <w:pStyle w:val="Compact"/>
              <w:jc w:val="left"/>
            </w:pPr>
            <w:r>
              <w:t xml:space="preserve">0.497457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</w:t>
            </w:r>
          </w:p>
        </w:tc>
        <w:tc>
          <w:p>
            <w:pPr>
              <w:pStyle w:val="Compact"/>
              <w:jc w:val="left"/>
            </w:pPr>
            <w:r>
              <w:t xml:space="preserve">BMY</w:t>
            </w:r>
          </w:p>
        </w:tc>
        <w:tc>
          <w:p>
            <w:pPr>
              <w:pStyle w:val="Compact"/>
              <w:jc w:val="left"/>
            </w:pPr>
            <w:r>
              <w:t xml:space="preserve">0.493215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NEE</w:t>
            </w:r>
          </w:p>
        </w:tc>
        <w:tc>
          <w:p>
            <w:pPr>
              <w:pStyle w:val="Compact"/>
              <w:jc w:val="left"/>
            </w:pPr>
            <w:r>
              <w:t xml:space="preserve">0.492724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42</w:t>
            </w:r>
          </w:p>
        </w:tc>
        <w:tc>
          <w:p>
            <w:pPr>
              <w:pStyle w:val="Compact"/>
              <w:jc w:val="left"/>
            </w:pPr>
            <w:r>
              <w:t xml:space="preserve">INTC</w:t>
            </w:r>
          </w:p>
        </w:tc>
        <w:tc>
          <w:p>
            <w:pPr>
              <w:pStyle w:val="Compact"/>
              <w:jc w:val="left"/>
            </w:pPr>
            <w:r>
              <w:t xml:space="preserve">0.482649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43</w:t>
            </w:r>
          </w:p>
        </w:tc>
        <w:tc>
          <w:p>
            <w:pPr>
              <w:pStyle w:val="Compact"/>
              <w:jc w:val="left"/>
            </w:pPr>
            <w:r>
              <w:t xml:space="preserve">WFC</w:t>
            </w:r>
          </w:p>
        </w:tc>
        <w:tc>
          <w:p>
            <w:pPr>
              <w:pStyle w:val="Compact"/>
              <w:jc w:val="left"/>
            </w:pPr>
            <w:r>
              <w:t xml:space="preserve">0.459617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44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0.455562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45</w:t>
            </w:r>
          </w:p>
        </w:tc>
        <w:tc>
          <w:p>
            <w:pPr>
              <w:pStyle w:val="Compact"/>
              <w:jc w:val="left"/>
            </w:pPr>
            <w:r>
              <w:t xml:space="preserve">TXN</w:t>
            </w:r>
          </w:p>
        </w:tc>
        <w:tc>
          <w:p>
            <w:pPr>
              <w:pStyle w:val="Compact"/>
              <w:jc w:val="left"/>
            </w:pPr>
            <w:r>
              <w:t xml:space="preserve">0.455103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46</w:t>
            </w:r>
          </w:p>
        </w:tc>
        <w:tc>
          <w:p>
            <w:pPr>
              <w:pStyle w:val="Compact"/>
              <w:jc w:val="left"/>
            </w:pPr>
            <w:r>
              <w:t xml:space="preserve">PM</w:t>
            </w:r>
          </w:p>
        </w:tc>
        <w:tc>
          <w:p>
            <w:pPr>
              <w:pStyle w:val="Compact"/>
              <w:jc w:val="left"/>
            </w:pPr>
            <w:r>
              <w:t xml:space="preserve">0.434836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47</w:t>
            </w:r>
          </w:p>
        </w:tc>
        <w:tc>
          <w:p>
            <w:pPr>
              <w:pStyle w:val="Compact"/>
              <w:jc w:val="left"/>
            </w:pPr>
            <w:r>
              <w:t xml:space="preserve">LIN</w:t>
            </w:r>
          </w:p>
        </w:tc>
        <w:tc>
          <w:p>
            <w:pPr>
              <w:pStyle w:val="Compact"/>
              <w:jc w:val="left"/>
            </w:pPr>
            <w:r>
              <w:t xml:space="preserve">0.423781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48</w:t>
            </w:r>
          </w:p>
        </w:tc>
        <w:tc>
          <w:p>
            <w:pPr>
              <w:pStyle w:val="Compact"/>
              <w:jc w:val="left"/>
            </w:pPr>
            <w:r>
              <w:t xml:space="preserve">RTX</w:t>
            </w:r>
          </w:p>
        </w:tc>
        <w:tc>
          <w:p>
            <w:pPr>
              <w:pStyle w:val="Compact"/>
              <w:jc w:val="left"/>
            </w:pPr>
            <w:r>
              <w:t xml:space="preserve">0.419768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49</w:t>
            </w:r>
          </w:p>
        </w:tc>
        <w:tc>
          <w:p>
            <w:pPr>
              <w:pStyle w:val="Compact"/>
              <w:jc w:val="left"/>
            </w:pPr>
            <w:r>
              <w:t xml:space="preserve">NKE</w:t>
            </w:r>
          </w:p>
        </w:tc>
        <w:tc>
          <w:p>
            <w:pPr>
              <w:pStyle w:val="Compact"/>
              <w:jc w:val="left"/>
            </w:pPr>
            <w:r>
              <w:t xml:space="preserve">0.411284</w:t>
            </w:r>
          </w:p>
        </w:tc>
      </w:tr>
    </w:tbl>
    <w:p>
      <w:pPr>
        <w:pStyle w:val="BodyText"/>
      </w:pPr>
      <w:r>
        <w:rPr>
          <w:b/>
        </w:rPr>
        <w:t xml:space="preserve">我们通过上图发现，前面的1-5名公司有着非常高的权重，这也使得big money可以一边卖出其它公司的股票转而买入权重高的股票，这样大盘会处于一直上升，但是实际上经济已经开始下行。</w:t>
      </w:r>
    </w:p>
    <w:p>
      <w:pPr>
        <w:pStyle w:val="BodyText"/>
      </w:pPr>
    </w:p>
    <w:p>
      <w:pPr>
        <w:pStyle w:val="Heading3"/>
      </w:pPr>
      <w:bookmarkStart w:id="52" w:name="22-如何判断股票的buyzone-holdzone-sellzone-nooperationzone"/>
      <w:r>
        <w:t xml:space="preserve">2.2 如何判断股票的buy_zone, hold_zone, sell_zone, no_operation_zone</w:t>
      </w:r>
      <w:bookmarkEnd w:id="52"/>
    </w:p>
    <w:p>
      <w:pPr>
        <w:pStyle w:val="FirstParagraph"/>
      </w:pPr>
      <w:r>
        <w:t xml:space="preserve">根据指标我制作了一个初级的Score判断系统，这个系统的目标在于实现找到合适的买入点和卖出点。目前我仅仅实现了买入点的判断，下面是我对于买入点的一些判断例子（不论结果好坏都放到这里），卖出点我用MA50和MA200或者MA10下穿MA20这些简易的价格指标做判断。而对于</w:t>
      </w:r>
      <w:r>
        <w:rPr>
          <w:rStyle w:val="VerbatimChar"/>
        </w:rPr>
        <w:t xml:space="preserve">hold_zone(持有区)</w:t>
      </w:r>
      <w:r>
        <w:t xml:space="preserve">和</w:t>
      </w:r>
      <w:r>
        <w:rPr>
          <w:rStyle w:val="VerbatimChar"/>
        </w:rPr>
        <w:t xml:space="preserve">no_operation_zone(比如下降中不能抄底，或者上升中不能购买，和持有区有一定的区别)</w:t>
      </w:r>
    </w:p>
    <w:p>
      <w:pPr>
        <w:pStyle w:val="BodyText"/>
      </w:pPr>
      <w:r>
        <w:t xml:space="preserve">我的判断原则是：</w:t>
      </w:r>
    </w:p>
    <w:p>
      <w:pPr>
        <w:numPr>
          <w:numId w:val="1007"/>
          <w:ilvl w:val="0"/>
        </w:numPr>
      </w:pPr>
      <w:r>
        <w:t xml:space="preserve">买入高于MA200，MA150，并且MA50高于MA200的股票</w:t>
      </w:r>
    </w:p>
    <w:p>
      <w:pPr>
        <w:numPr>
          <w:numId w:val="1007"/>
          <w:ilvl w:val="0"/>
        </w:numPr>
      </w:pPr>
      <w:r>
        <w:t xml:space="preserve">买入趋势上涨的股票</w:t>
      </w:r>
    </w:p>
    <w:p>
      <w:pPr>
        <w:numPr>
          <w:numId w:val="1007"/>
          <w:ilvl w:val="0"/>
        </w:numPr>
      </w:pPr>
      <w:r>
        <w:t xml:space="preserve">买入创新高或者接近4年新高的股票</w:t>
      </w:r>
    </w:p>
    <w:p>
      <w:pPr>
        <w:numPr>
          <w:numId w:val="1007"/>
          <w:ilvl w:val="0"/>
        </w:numPr>
      </w:pPr>
      <w:r>
        <w:t xml:space="preserve">买入特定形态的股票（双底，杯形，VCP）</w:t>
      </w:r>
    </w:p>
    <w:p>
      <w:pPr>
        <w:pStyle w:val="FirstParagraph"/>
      </w:pPr>
      <w:r>
        <w:t xml:space="preserve">下面我们一起看一些例子，我的模型的创建开始是根据比特币进行测试，后经一些参数的调整应用到了中国股票市场，难免会出线一些水土不服的情况。但是不论如何让我们一起看看实际效果（也是本人的第一次系统测试，由于之前在忙着中期答辩，一直没有时间）闲言少叙，我们开始：</w:t>
      </w:r>
    </w:p>
    <w:p>
      <w:pPr>
        <w:pStyle w:val="Heading4"/>
      </w:pPr>
      <w:bookmarkStart w:id="53" w:name="1-中国股票"/>
      <w:r>
        <w:t xml:space="preserve">1. 中国股票</w:t>
      </w:r>
      <w:bookmarkEnd w:id="53"/>
    </w:p>
    <w:p>
      <w:pPr>
        <w:pStyle w:val="FirstParagraph"/>
      </w:pPr>
      <w:r>
        <w:t xml:space="preserve">首先我们就从最可能出错的中国股票开始，我随机选取两个中国常见的股票：</w:t>
      </w:r>
    </w:p>
    <w:p>
      <w:pPr>
        <w:pStyle w:val="CaptionedFigure"/>
      </w:pPr>
      <w:r>
        <w:drawing>
          <wp:inline>
            <wp:extent cx="5334000" cy="19895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jn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那么这里我们随机选取的是</w:t>
      </w:r>
      <w:r>
        <w:rPr>
          <w:b/>
        </w:rPr>
        <w:t xml:space="preserve">恒力石化</w:t>
      </w:r>
      <w:r>
        <w:t xml:space="preserve">和</w:t>
      </w:r>
      <w:r>
        <w:rPr>
          <w:b/>
        </w:rPr>
        <w:t xml:space="preserve">中国石油</w:t>
      </w:r>
      <w:r>
        <w:t xml:space="preserve">，我们依次来研究，首先运行我们的Score系统，获得恒力石化的历史Score.csv文件（方便后续操作）</w:t>
      </w:r>
    </w:p>
    <w:p>
      <w:pPr>
        <w:pStyle w:val="CaptionedFigure"/>
      </w:pPr>
      <w:r>
        <w:drawing>
          <wp:inline>
            <wp:extent cx="5334000" cy="4634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ub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56" w:name="11-恒力石化"/>
      <w:r>
        <w:t xml:space="preserve">1.1 恒力石化</w:t>
      </w:r>
      <w:bookmarkEnd w:id="56"/>
    </w:p>
    <w:p>
      <w:pPr>
        <w:pStyle w:val="FirstParagraph"/>
      </w:pPr>
      <w:r>
        <w:t xml:space="preserve">由于这个时间从2001年开始，年代有些太长了，我选取近5年的部分来作为参考</w:t>
      </w:r>
    </w:p>
    <w:p>
      <w:pPr>
        <w:pStyle w:val="Heading6"/>
      </w:pPr>
      <w:bookmarkStart w:id="57" w:name="20170508-20180116"/>
      <w:r>
        <w:t xml:space="preserve">2017/05/08-2018/01/16</w:t>
      </w:r>
      <w:bookmarkEnd w:id="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ts_code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</w:tbl>
    <w:p>
      <w:pPr>
        <w:pStyle w:val="BodyText"/>
      </w:pPr>
      <w:r>
        <w:t xml:space="preserve">通过这个评分系统我们发现了两个high-score区域（已用黄色标记，下面我们来开始复盘）</w:t>
      </w:r>
    </w:p>
    <w:p>
      <w:pPr>
        <w:pStyle w:val="CaptionedFigure"/>
      </w:pPr>
      <w:r>
        <w:drawing>
          <wp:inline>
            <wp:extent cx="5334000" cy="324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uQH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*我们60天的回报率大概是25%-30%，这个结果比我意料的还要好一点，自己也不太了解中国股票。总之这个结果初步看比较满意，所以我想再尝试一个时间段。</w:t>
      </w:r>
    </w:p>
    <w:p>
      <w:pPr>
        <w:pStyle w:val="Heading6"/>
      </w:pPr>
      <w:bookmarkStart w:id="59" w:name="20180119-20190326"/>
      <w:r>
        <w:t xml:space="preserve">2018/01/19-2019/03/26</w:t>
      </w:r>
      <w:bookmarkEnd w:id="5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ts_code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600346.SH</w:t>
            </w:r>
          </w:p>
        </w:tc>
      </w:tr>
    </w:tbl>
    <w:p>
      <w:pPr>
        <w:pStyle w:val="BodyText"/>
      </w:pPr>
      <w:r>
        <w:t xml:space="preserve">这个区域可以说是我认为最最最完美的一个区域：分数从负数转正，出现high score的点，总是这可以说是理想型了，下面看看回测结果：</w:t>
      </w:r>
    </w:p>
    <w:p>
      <w:pPr>
        <w:pStyle w:val="CaptionedFigure"/>
      </w:pPr>
      <w:r>
        <w:drawing>
          <wp:inline>
            <wp:extent cx="5334000" cy="324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un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40天时间20%-30%回报率，比之前的节约了更多的时间，较为满意。</w:t>
      </w:r>
    </w:p>
    <w:p>
      <w:pPr>
        <w:pStyle w:val="BodyText"/>
      </w:pPr>
      <w:r>
        <w:t xml:space="preserve">那么对于恒力石化的部分测试到此结束，下面开始中国石油的一个测试</w:t>
      </w:r>
    </w:p>
    <w:p>
      <w:pPr>
        <w:pStyle w:val="Heading5"/>
      </w:pPr>
      <w:bookmarkStart w:id="61" w:name="12-中国石油"/>
      <w:r>
        <w:t xml:space="preserve">1.2 中国石油</w:t>
      </w:r>
      <w:bookmarkEnd w:id="61"/>
    </w:p>
    <w:p>
      <w:pPr>
        <w:pStyle w:val="FirstParagraph"/>
      </w:pPr>
      <w:r>
        <w:t xml:space="preserve">首先我们先看得分表</w:t>
      </w:r>
    </w:p>
    <w:p>
      <w:pPr>
        <w:pStyle w:val="Heading6"/>
      </w:pPr>
      <w:bookmarkStart w:id="62" w:name="20201218-2021415"/>
      <w:r>
        <w:t xml:space="preserve">2020/12/18-2021/4/15</w:t>
      </w:r>
      <w:bookmarkEnd w:id="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ts_code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601857.SH==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601857.SH</w:t>
            </w:r>
          </w:p>
        </w:tc>
      </w:tr>
    </w:tbl>
    <w:p>
      <w:pPr>
        <w:pStyle w:val="BodyText"/>
      </w:pPr>
      <w:r>
        <w:t xml:space="preserve">这个表的情况就不那么简单了，因为它短时间出现了两个buy zone，当然这些情况是无法预知的，但是我们买入股票的时候都是小部分资金试探，如果出现盈利加仓，那么我对于第一个位置投入应该是总资金的5%，第二个位置根据第一个位置的结果判断，下面我们进行回测</w:t>
      </w:r>
    </w:p>
    <w:p>
      <w:pPr>
        <w:pStyle w:val="CaptionedFigure"/>
      </w:pPr>
      <w:r>
        <w:drawing>
          <wp:inline>
            <wp:extent cx="5334000" cy="3307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0as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回测的结果跟我想象的基本吻合，对于第一个点，如果设置5%止损，可能就会被平仓，对于第二个区域比较合适进场，首先不会被止损，而且资金保持的时间较短，但是总体的结果依然很差，90天15%-20%的利润，我觉得这是一个比较失败的例子了。但是公平起见我还是看一下中石油整体的一个价格波动：</w:t>
      </w:r>
    </w:p>
    <w:p>
      <w:pPr>
        <w:pStyle w:val="CaptionedFigure"/>
      </w:pPr>
      <w:r>
        <w:drawing>
          <wp:inline>
            <wp:extent cx="5334000" cy="3307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0oL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嗯……看了周线图结果，怎么说呢，这个绝对不是我想投资的股票，因为它的走势太弱了，MA200线整体下滑，在这种股票中交易是我最不想做的事，后面的测试就不进行了，因为这个股票走势实在过于弱，整体下行。</w:t>
      </w:r>
    </w:p>
    <w:p>
      <w:pPr>
        <w:pStyle w:val="Heading4"/>
      </w:pPr>
      <w:bookmarkStart w:id="65" w:name="2-美国股票"/>
      <w:r>
        <w:t xml:space="preserve">2. 美国股票</w:t>
      </w:r>
      <w:bookmarkEnd w:id="65"/>
    </w:p>
    <w:p>
      <w:pPr>
        <w:pStyle w:val="FirstParagraph"/>
      </w:pPr>
      <w:r>
        <w:t xml:space="preserve">美国股票我们同理进行随机抽取，我们从nasdaq100中随机选出2个股票进行测试：</w:t>
      </w:r>
    </w:p>
    <w:p>
      <w:pPr>
        <w:pStyle w:val="CaptionedFigure"/>
      </w:pPr>
      <w:r>
        <w:drawing>
          <wp:inline>
            <wp:extent cx="5334000" cy="19339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0y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抽到了两个比较喜欢的股票：英伟达和特斯拉，下面我们立马开始对英伟达进行测试</w:t>
      </w:r>
    </w:p>
    <w:p>
      <w:pPr>
        <w:pStyle w:val="Heading5"/>
      </w:pPr>
      <w:bookmarkStart w:id="67" w:name="21-英伟达-nivida"/>
      <w:r>
        <w:t xml:space="preserve">2.1 英伟达 Nivida</w:t>
      </w:r>
      <w:bookmarkEnd w:id="67"/>
    </w:p>
    <w:p>
      <w:pPr>
        <w:pStyle w:val="FirstParagraph"/>
      </w:pPr>
      <w:r>
        <w:t xml:space="preserve">我们先收集近十年的数据：</w:t>
      </w:r>
    </w:p>
    <w:p>
      <w:pPr>
        <w:pStyle w:val="CaptionedFigure"/>
      </w:pPr>
      <w:r>
        <w:drawing>
          <wp:inline>
            <wp:extent cx="5334000" cy="26891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0qK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下面开始分析：</w:t>
      </w:r>
    </w:p>
    <w:p>
      <w:pPr>
        <w:pStyle w:val="Heading6"/>
      </w:pPr>
      <w:bookmarkStart w:id="69" w:name="2019529-201994"/>
      <w:r>
        <w:t xml:space="preserve">2019/5/29-2019/9/4</w:t>
      </w:r>
      <w:bookmarkEnd w:id="6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2019/5/28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2019/5/29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2019/5/30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2019/5/31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2019/6/28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2019/7/31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2019/10/30</w:t>
            </w:r>
          </w:p>
        </w:tc>
      </w:tr>
    </w:tbl>
    <w:p>
      <w:pPr>
        <w:pStyle w:val="BodyText"/>
      </w:pPr>
      <w:r>
        <w:t xml:space="preserve">对于这组数据我觉得我可能会在2019/7/26和2019/7/29进行试仓，在2019/8/29-2019/9/4进行加仓（如果前面打损那么重新建仓，下面我们看看实际的情况：</w:t>
      </w:r>
    </w:p>
    <w:p>
      <w:pPr>
        <w:pStyle w:val="CaptionedFigure"/>
      </w:pPr>
      <w:r>
        <w:drawing>
          <wp:inline>
            <wp:extent cx="5334000" cy="3307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8/l64d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如上图所示，我们的回报率大概是200天70%到100%，这可能就是一年什么都不干资产能翻倍的现实情况吧，简单说说利润情况：如果是5%止损两次建仓都会被打损，如果是10%那么第一次会被打损。怎么说呢看到美股的数据，score的评分系统会给出几乎是中股两倍的分数有些唏嘘，美国的强势企业的能量真的十分强大。</w:t>
      </w:r>
    </w:p>
    <w:p>
      <w:pPr>
        <w:pStyle w:val="BodyText"/>
      </w:pPr>
      <w:r>
        <w:t xml:space="preserve">但是我发现最近的NVDA数据十分弱（没错它的分数低起来也很低）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2022/2/28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2022/3/31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2022/4/29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2022/5/31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2022/6/30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2022/7/1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2022/7/5</w:t>
            </w:r>
          </w:p>
        </w:tc>
      </w:tr>
    </w:tbl>
    <w:p>
      <w:pPr>
        <w:pStyle w:val="BodyText"/>
      </w:pPr>
      <w:r>
        <w:t xml:space="preserve">NVDA的数据基本符合预想，优秀的企业的利润确实很客观，下面来看看也算名气在外的企业：TESLA</w:t>
      </w:r>
    </w:p>
    <w:p>
      <w:pPr>
        <w:pStyle w:val="Heading5"/>
      </w:pPr>
      <w:bookmarkStart w:id="71" w:name="22-特斯拉-tesla"/>
      <w:r>
        <w:t xml:space="preserve">2.2 特斯拉 Tesla</w:t>
      </w:r>
      <w:bookmarkEnd w:id="71"/>
    </w:p>
    <w:p>
      <w:pPr>
        <w:pStyle w:val="FirstParagraph"/>
      </w:pPr>
      <w:r>
        <w:t xml:space="preserve">我们直接展示部分的评分：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2019/8/30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2019/9/30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2019/10/31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2019/11/29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2019/12/2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2019/12/3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2019/12/4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2019/12/5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2019/12/6</w:t>
            </w:r>
          </w:p>
        </w:tc>
      </w:tr>
    </w:tbl>
    <w:p>
      <w:pPr>
        <w:pStyle w:val="BodyText"/>
      </w:pPr>
      <w:r>
        <w:t xml:space="preserve">根据上一个的经验，对于15分以下的分数都有些抵抗力了，如果看得分的话我选在2019/11/26-2019/12/6进行购买，下面直接看图：</w:t>
      </w:r>
    </w:p>
    <w:p>
      <w:pPr>
        <w:pStyle w:val="CaptionedFigure"/>
      </w:pPr>
      <w:r>
        <w:drawing>
          <wp:inline>
            <wp:extent cx="5334000" cy="33076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1.328888.xyz/2022/07/19/l61y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90天100%-150%的回报率，且0止损情况。</w:t>
      </w:r>
    </w:p>
    <w:p>
      <w:pPr>
        <w:pStyle w:val="Heading3"/>
      </w:pPr>
      <w:bookmarkStart w:id="73" w:name="总结-2"/>
      <w:r>
        <w:t xml:space="preserve">总结</w:t>
      </w:r>
      <w:bookmarkEnd w:id="73"/>
    </w:p>
    <w:p>
      <w:pPr>
        <w:pStyle w:val="FirstParagraph"/>
      </w:pPr>
      <w:r>
        <w:t xml:space="preserve">虚拟货币的就不测试了，因为之前进行过很多测试，可以说这个系统就是为了交易虚拟货币提出的，当时进行了大量的回测。由于样本很小，之后我的打算是进行一个小的对比，对比中美最强股的评分情况，一来是为了优化这个系统，二来是对比中美企业的区别。</w:t>
      </w:r>
    </w:p>
    <w:p>
      <w:pPr>
        <w:pStyle w:val="BodyText"/>
      </w:pPr>
      <w:r>
        <w:t xml:space="preserve">通过这个测试整体下来我是比较满意的，经过一些简单的后续修改就可以实际试运行一段时间了。</w:t>
      </w:r>
    </w:p>
    <w:p>
      <w:pPr>
        <w:pStyle w:val="Heading2"/>
      </w:pPr>
      <w:bookmarkStart w:id="74" w:name="3-可视化"/>
      <w:r>
        <w:t xml:space="preserve">3. 可视化</w:t>
      </w:r>
      <w:bookmarkEnd w:id="74"/>
    </w:p>
    <w:p>
      <w:pPr>
        <w:pStyle w:val="FirstParagraph"/>
      </w:pPr>
      <w:r>
        <w:t xml:space="preserve">个人认为比较方便也比较好看的是Pyechart，Plotly有些难用（应该是自己学艺不精，做出来的图不方便看也不方便拖拽），light-weight chart是tradingview的官方指定作图接口，但是对于JavaScript的能力要求比较高，有比较高的使用门槛但是上限非常的高。</w:t>
      </w:r>
    </w:p>
    <w:p>
      <w:pPr>
        <w:pStyle w:val="BodyText"/>
      </w:pPr>
      <w:r>
        <w:t xml:space="preserve">制作可视化网页的原因是因为想制作一个完整交易系统，</w:t>
      </w:r>
    </w:p>
    <w:p>
      <w:pPr>
        <w:pStyle w:val="Heading3"/>
      </w:pPr>
      <w:bookmarkStart w:id="75" w:name="31-pyechart"/>
      <w:r>
        <w:t xml:space="preserve">3.1 Pyechart</w:t>
      </w:r>
      <w:bookmarkEnd w:id="75"/>
    </w:p>
    <w:p>
      <w:pPr>
        <w:pStyle w:val="FirstParagraph"/>
      </w:pPr>
    </w:p>
    <w:p>
      <w:pPr>
        <w:pStyle w:val="Heading3"/>
      </w:pPr>
      <w:bookmarkStart w:id="76" w:name="32-light-weight-chart"/>
      <w:r>
        <w:t xml:space="preserve">3.2 Light-weight chart</w:t>
      </w:r>
      <w:bookmarkEnd w:id="76"/>
    </w:p>
    <w:p>
      <w:pPr>
        <w:pStyle w:val="FirstParagraph"/>
      </w:pPr>
    </w:p>
    <w:p>
      <w:pPr>
        <w:pStyle w:val="Heading2"/>
      </w:pPr>
      <w:bookmarkStart w:id="77" w:name="4-接下来的任务"/>
      <w:r>
        <w:t xml:space="preserve">4. 接下来的任务</w:t>
      </w:r>
      <w:bookmarkEnd w:id="7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37" Target="media/rId37.png" /><Relationship Type="http://schemas.openxmlformats.org/officeDocument/2006/relationships/image" Id="rId54" Target="media/rId54.png" /><Relationship Type="http://schemas.openxmlformats.org/officeDocument/2006/relationships/image" Id="rId47" Target="media/rId47.png" /><Relationship Type="http://schemas.openxmlformats.org/officeDocument/2006/relationships/image" Id="rId45" Target="media/rId45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72" Target="media/rId72.png" /><Relationship Type="http://schemas.openxmlformats.org/officeDocument/2006/relationships/hyperlink" Id="rId38" Target="https://imgloc.com/image/lNsaK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" Target="https://imgloc.com/image/lNsa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2022-07-18T16:05:53Z</dcterms:created>
  <dcterms:modified xsi:type="dcterms:W3CDTF">2022-07-18T16:05:53Z</dcterms:modified>
</cp:coreProperties>
</file>