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Passo a passo do funcionamento:</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Definir a API de alto nível do middleware</w:t>
      </w:r>
      <w:r w:rsidDel="00000000" w:rsidR="00000000" w:rsidRPr="00000000">
        <w:rPr>
          <w:rtl w:val="0"/>
        </w:rPr>
        <w:t xml:space="preserve">: A primeira etapa é definir uma API de alto nível que será exposta ao software do carro autônomo. Essa API deve fornecer comandos de alto nível, como "virar à direita", "acelerar", "frear" e "andar de ré". Esses comandos devem ser independentes dos detalhes de implementação no hardware.</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Implementar a lógica de tradução de comandos</w:t>
      </w:r>
      <w:r w:rsidDel="00000000" w:rsidR="00000000" w:rsidRPr="00000000">
        <w:rPr>
          <w:rtl w:val="0"/>
        </w:rPr>
        <w:t xml:space="preserve">: Dentro do middleware, é necessário implementar a lógica responsável por traduzir os comandos de alto nível em uma sequência de instruções de baixo nível, específicas para o hardware do carro. Por exemplo, o comando "virar à direita" pode ser traduzido em uma rotação de 45 graus das rodas dianteiras e uma aceleração específica em cada roda.</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Gerenciar a execução das instruções de baixo nível</w:t>
      </w:r>
      <w:r w:rsidDel="00000000" w:rsidR="00000000" w:rsidRPr="00000000">
        <w:rPr>
          <w:rtl w:val="0"/>
        </w:rPr>
        <w:t xml:space="preserve">: O middleware também deve ser responsável por gerenciar e coordenar a execução dessas instruções de baixo nível no hardware do carro. Isso pode envolver enviar os comandos corretos para os módulos de controle do hardware, monitorar a execução e garantir a correta implementação dos comandos de alto nível.</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Fornecer uma API de comunicação com o hardware</w:t>
      </w:r>
      <w:r w:rsidDel="00000000" w:rsidR="00000000" w:rsidRPr="00000000">
        <w:rPr>
          <w:rtl w:val="0"/>
        </w:rPr>
        <w:t xml:space="preserve">: Para interagir com o hardware, o middleware deve expor uma API de baixo nível que permita enviar instruções específicas para os diferentes componentes do carro (sistemas de acionamento das rodas, controle de aceleração, frenagem, etc.). Essa API deve ser projetada de acordo com as características e interfaces do hardware utilizado.</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Integrar o middleware com o software do carro</w:t>
      </w:r>
      <w:r w:rsidDel="00000000" w:rsidR="00000000" w:rsidRPr="00000000">
        <w:rPr>
          <w:rtl w:val="0"/>
        </w:rPr>
        <w:t xml:space="preserve">: O software do carro autônomo deve então utilizar a API de alto nível fornecida pelo middleware para enviar os comandos desejados. O middleware se encarrega de traduzir esses comandos em instruções de baixo nível e gerenciar a execução no hardware.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Abstração e flexibilidade</w:t>
      </w:r>
      <w:r w:rsidDel="00000000" w:rsidR="00000000" w:rsidRPr="00000000">
        <w:rPr>
          <w:rtl w:val="0"/>
        </w:rPr>
        <w:t xml:space="preserve">: Com essa abordagem, o software do carro autônomo fica completamente abstraído dos detalhes de implementação do hardware. O middleware atua como uma camada de abstração, permitindo que o software evolua independentemente do hardware subjacente. Além disso, essa arquitetura facilita a manutenção e a atualização do sistema, pois as modificações podem ser concentradas no middleware sem afetar o software do carro.</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Vantagens da solução com middleware</w:t>
      </w:r>
      <w:r w:rsidDel="00000000" w:rsidR="00000000" w:rsidRPr="00000000">
        <w:rPr>
          <w:rtl w:val="0"/>
        </w:rPr>
        <w:t xml:space="preserve">: Algumas das principais vantagens dessa solução são:</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Menor sobrecarga e requisitos de hardware, já que o middleware é mais leve do que um sistema operacional completo.</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Maior controle e customização da interface entre software e hardware, pois o middleware é projetado especificamente para essa aplicação.</w:t>
      </w:r>
    </w:p>
    <w:p w:rsidR="00000000" w:rsidDel="00000000" w:rsidP="00000000" w:rsidRDefault="00000000" w:rsidRPr="00000000" w14:paraId="0000000B">
      <w:pPr>
        <w:numPr>
          <w:ilvl w:val="1"/>
          <w:numId w:val="1"/>
        </w:numPr>
        <w:spacing w:after="240" w:before="0" w:beforeAutospacing="0" w:lineRule="auto"/>
        <w:ind w:left="1440" w:hanging="360"/>
      </w:pPr>
      <w:r w:rsidDel="00000000" w:rsidR="00000000" w:rsidRPr="00000000">
        <w:rPr>
          <w:rtl w:val="0"/>
        </w:rPr>
        <w:t xml:space="preserve">Possibilidade de implementar apenas os recursos necessários, sem a necessidade de suportar funcionalidades adicionais de um sistema operacional geral.</w:t>
      </w:r>
    </w:p>
    <w:p w:rsidR="00000000" w:rsidDel="00000000" w:rsidP="00000000" w:rsidRDefault="00000000" w:rsidRPr="00000000" w14:paraId="0000000C">
      <w:pPr>
        <w:spacing w:after="240" w:before="240" w:lineRule="auto"/>
        <w:rPr/>
      </w:pPr>
      <w:r w:rsidDel="00000000" w:rsidR="00000000" w:rsidRPr="00000000">
        <w:rPr>
          <w:rtl w:val="0"/>
        </w:rPr>
        <w:t xml:space="preserve">Essa abordagem de utilizar uma camada de middleware para abstrair a comunicação entre o software e o hardware do carro autônomo pode ser uma alternativa interessante, dependendo das necessidades e dos recursos disponíveis no projeto.</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