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E7093" w14:textId="77777777" w:rsidR="00660AC6" w:rsidRDefault="0023687C">
      <w:pPr>
        <w:pStyle w:val="1"/>
        <w:spacing w:beforeAutospacing="0" w:afterAutospacing="0"/>
        <w:jc w:val="center"/>
        <w:rPr>
          <w:rFonts w:ascii="楷体" w:eastAsia="楷体" w:hAnsi="楷体" w:cs="楷体"/>
        </w:rPr>
      </w:pPr>
      <w:r>
        <w:rPr>
          <w:rFonts w:ascii="楷体" w:eastAsia="楷体" w:hAnsi="楷体" w:cs="楷体"/>
        </w:rPr>
        <w:t>策划案</w:t>
      </w:r>
    </w:p>
    <w:p w14:paraId="524E7094" w14:textId="77777777" w:rsidR="00660AC6" w:rsidRDefault="0023687C">
      <w:pPr>
        <w:pStyle w:val="2"/>
        <w:widowControl/>
        <w:numPr>
          <w:ilvl w:val="0"/>
          <w:numId w:val="1"/>
        </w:numPr>
        <w:shd w:val="clear" w:color="auto" w:fill="FFFFFF"/>
        <w:spacing w:beforeAutospacing="0" w:afterAutospacing="0"/>
        <w:rPr>
          <w:rFonts w:ascii="楷体" w:eastAsia="楷体" w:hAnsi="楷体" w:cs="楷体"/>
          <w:color w:val="0F1115"/>
          <w:shd w:val="clear" w:color="auto" w:fill="FFFFFF"/>
        </w:rPr>
      </w:pPr>
      <w:r>
        <w:rPr>
          <w:rFonts w:ascii="楷体" w:eastAsia="楷体" w:hAnsi="楷体" w:cs="楷体"/>
          <w:color w:val="0F1115"/>
          <w:shd w:val="clear" w:color="auto" w:fill="FFFFFF"/>
        </w:rPr>
        <w:t>项目背景</w:t>
      </w:r>
    </w:p>
    <w:p w14:paraId="524E7095" w14:textId="77777777" w:rsidR="00660AC6" w:rsidRDefault="0023687C">
      <w:pPr>
        <w:pStyle w:val="2"/>
        <w:widowControl/>
        <w:shd w:val="clear" w:color="auto" w:fill="FFFFFF"/>
        <w:spacing w:beforeAutospacing="0" w:afterAutospacing="0" w:line="500" w:lineRule="exact"/>
        <w:ind w:firstLineChars="200" w:firstLine="480"/>
        <w:rPr>
          <w:rFonts w:ascii="楷体" w:eastAsia="楷体" w:hAnsi="楷体" w:cs="楷体"/>
          <w:b w:val="0"/>
          <w:bCs w:val="0"/>
          <w:color w:val="0F1115"/>
          <w:sz w:val="24"/>
          <w:szCs w:val="24"/>
          <w:shd w:val="clear" w:color="auto" w:fill="FFFFFF"/>
        </w:rPr>
      </w:pPr>
      <w:r>
        <w:rPr>
          <w:rFonts w:ascii="楷体" w:eastAsia="楷体" w:hAnsi="楷体" w:cs="楷体"/>
          <w:b w:val="0"/>
          <w:bCs w:val="0"/>
          <w:color w:val="0F1115"/>
          <w:sz w:val="24"/>
          <w:szCs w:val="24"/>
          <w:shd w:val="clear" w:color="auto" w:fill="FFFFFF"/>
        </w:rPr>
        <w:t>“无界体验家”赛道的核心命题是用</w:t>
      </w:r>
      <w:r>
        <w:rPr>
          <w:rFonts w:ascii="Times New Roman" w:eastAsia="楷体" w:hAnsi="Times New Roman"/>
          <w:b w:val="0"/>
          <w:bCs w:val="0"/>
          <w:color w:val="0F1115"/>
          <w:kern w:val="2"/>
          <w:sz w:val="24"/>
          <w:szCs w:val="24"/>
          <w:shd w:val="clear" w:color="auto" w:fill="FFFFFF"/>
        </w:rPr>
        <w:t>AI</w:t>
      </w:r>
      <w:r>
        <w:rPr>
          <w:rFonts w:ascii="楷体" w:eastAsia="楷体" w:hAnsi="楷体" w:cs="楷体"/>
          <w:b w:val="0"/>
          <w:bCs w:val="0"/>
          <w:color w:val="0F1115"/>
          <w:sz w:val="24"/>
          <w:szCs w:val="24"/>
          <w:shd w:val="clear" w:color="auto" w:fill="FFFFFF"/>
        </w:rPr>
        <w:t>帮助更多群体平等地享受美、体验美，首次增加公益维度，将视角延伸至科技向善领域，引导参赛者思考如何借助人工智能帮助更多群体平等地享受美、体验美，让技术真正服务于人。</w:t>
      </w:r>
    </w:p>
    <w:p w14:paraId="524E7096" w14:textId="77777777" w:rsidR="00660AC6" w:rsidRDefault="0023687C">
      <w:pPr>
        <w:pStyle w:val="2"/>
        <w:widowControl/>
        <w:shd w:val="clear" w:color="auto" w:fill="FFFFFF"/>
        <w:spacing w:beforeAutospacing="0" w:afterAutospacing="0" w:line="500" w:lineRule="exact"/>
        <w:ind w:firstLineChars="200" w:firstLine="480"/>
        <w:rPr>
          <w:rFonts w:ascii="楷体" w:eastAsia="楷体" w:hAnsi="楷体" w:cs="楷体"/>
          <w:b w:val="0"/>
          <w:bCs w:val="0"/>
          <w:color w:val="0F1115"/>
          <w:sz w:val="24"/>
          <w:szCs w:val="24"/>
          <w:shd w:val="clear" w:color="auto" w:fill="FFFFFF"/>
        </w:rPr>
      </w:pPr>
      <w:r>
        <w:rPr>
          <w:rFonts w:ascii="楷体" w:eastAsia="楷体" w:hAnsi="楷体" w:cs="楷体"/>
          <w:b w:val="0"/>
          <w:bCs w:val="0"/>
          <w:color w:val="0F1115"/>
          <w:sz w:val="24"/>
          <w:szCs w:val="24"/>
          <w:shd w:val="clear" w:color="auto" w:fill="FFFFFF"/>
        </w:rPr>
        <w:t>本届赛事首次确立 “实体交互+人工智能”新模式，将具身智能、多感官交互、智能感知等前沿技术方向纳入设计。</w:t>
      </w:r>
    </w:p>
    <w:p w14:paraId="524E7097" w14:textId="77777777" w:rsidR="00660AC6" w:rsidRDefault="0023687C">
      <w:pPr>
        <w:pStyle w:val="a3"/>
        <w:widowControl/>
        <w:shd w:val="clear" w:color="auto" w:fill="FFFFFF"/>
        <w:spacing w:line="500" w:lineRule="exact"/>
        <w:ind w:firstLineChars="200" w:firstLine="480"/>
        <w:rPr>
          <w:rFonts w:ascii="楷体" w:eastAsia="楷体" w:hAnsi="楷体" w:cs="楷体" w:hint="eastAsia"/>
          <w:color w:val="0F1115"/>
        </w:rPr>
      </w:pPr>
      <w:r>
        <w:rPr>
          <w:rFonts w:ascii="楷体" w:eastAsia="楷体" w:hAnsi="楷体" w:cs="楷体" w:hint="eastAsia"/>
          <w:color w:val="0F1115"/>
          <w:shd w:val="clear" w:color="auto" w:fill="FFFFFF"/>
        </w:rPr>
        <w:t>这意味着评委更看重</w:t>
      </w:r>
      <w:r>
        <w:rPr>
          <w:rFonts w:ascii="Times New Roman" w:eastAsia="楷体" w:hAnsi="Times New Roman" w:cs="Times New Roman" w:hint="eastAsia"/>
          <w:color w:val="0F1115"/>
          <w:shd w:val="clear" w:color="auto" w:fill="FFFFFF"/>
        </w:rPr>
        <w:t>AI</w:t>
      </w:r>
      <w:r>
        <w:rPr>
          <w:rFonts w:ascii="楷体" w:eastAsia="楷体" w:hAnsi="楷体" w:cs="楷体" w:hint="eastAsia"/>
          <w:color w:val="0F1115"/>
          <w:shd w:val="clear" w:color="auto" w:fill="FFFFFF"/>
        </w:rPr>
        <w:t>与物理世界的真实交互。这一命题直接回应了一个长期被忽视的问题：失嗅人群、敏感肌人群、孕妇等群体，如何安全地、有尊严地体验香水之美？</w:t>
      </w:r>
    </w:p>
    <w:p w14:paraId="524E7098" w14:textId="77777777" w:rsidR="00660AC6" w:rsidRDefault="00660AC6">
      <w:pPr>
        <w:pStyle w:val="a3"/>
        <w:widowControl/>
        <w:shd w:val="clear" w:color="auto" w:fill="FFFFFF"/>
        <w:spacing w:line="400" w:lineRule="exact"/>
        <w:rPr>
          <w:rFonts w:ascii="楷体" w:eastAsia="楷体" w:hAnsi="楷体" w:cs="楷体" w:hint="eastAsia"/>
          <w:b/>
          <w:bCs/>
          <w:color w:val="0F1115"/>
          <w:shd w:val="clear" w:color="auto" w:fill="FFFFFF"/>
        </w:rPr>
      </w:pPr>
    </w:p>
    <w:p w14:paraId="524E7099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b/>
          <w:bCs/>
          <w:color w:val="0F1115"/>
          <w:shd w:val="clear" w:color="auto" w:fill="FFFFFF"/>
        </w:rPr>
      </w:pPr>
      <w:r>
        <w:rPr>
          <w:rFonts w:ascii="楷体" w:eastAsia="楷体" w:hAnsi="楷体" w:cs="楷体" w:hint="eastAsia"/>
          <w:b/>
          <w:bCs/>
          <w:color w:val="0F1115"/>
          <w:shd w:val="clear" w:color="auto" w:fill="FFFFFF"/>
        </w:rPr>
        <w:t>当前香水消费市场存在两个核心痛点：</w:t>
      </w:r>
    </w:p>
    <w:p w14:paraId="524E709A" w14:textId="77777777" w:rsidR="00660AC6" w:rsidRDefault="0023687C">
      <w:pPr>
        <w:pStyle w:val="a3"/>
        <w:widowControl/>
        <w:shd w:val="clear" w:color="auto" w:fill="FFFFFF"/>
        <w:spacing w:line="500" w:lineRule="exact"/>
        <w:ind w:firstLineChars="200" w:firstLine="482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 w:hint="eastAsia"/>
          <w:b/>
          <w:bCs/>
          <w:color w:val="0F1115"/>
          <w:shd w:val="clear" w:color="auto" w:fill="FFFFFF"/>
        </w:rPr>
        <w:t>痛点一：信息壁垒。</w:t>
      </w:r>
      <w:r>
        <w:rPr>
          <w:rFonts w:ascii="楷体" w:eastAsia="楷体" w:hAnsi="楷体" w:cs="楷体" w:hint="eastAsia"/>
          <w:color w:val="0F1115"/>
          <w:shd w:val="clear" w:color="auto" w:fill="FFFFFF"/>
        </w:rPr>
        <w:t> 香水成分表对普通消费者而言是“天书”。26种</w:t>
      </w:r>
      <w:r>
        <w:rPr>
          <w:rFonts w:ascii="Times New Roman" w:eastAsia="楷体" w:hAnsi="Times New Roman" w:cs="Times New Roman" w:hint="eastAsia"/>
          <w:color w:val="0F1115"/>
          <w:shd w:val="clear" w:color="auto" w:fill="FFFFFF"/>
        </w:rPr>
        <w:t>IFRA</w:t>
      </w:r>
      <w:r>
        <w:rPr>
          <w:rFonts w:ascii="楷体" w:eastAsia="楷体" w:hAnsi="楷体" w:cs="楷体" w:hint="eastAsia"/>
          <w:color w:val="0F1115"/>
          <w:shd w:val="clear" w:color="auto" w:fill="FFFFFF"/>
        </w:rPr>
        <w:t>列明的致敏香料、复杂的香调金字塔、晦涩的</w:t>
      </w:r>
      <w:r>
        <w:rPr>
          <w:rFonts w:ascii="Times New Roman" w:eastAsia="楷体" w:hAnsi="Times New Roman" w:cs="Times New Roman" w:hint="eastAsia"/>
          <w:color w:val="0F1115"/>
          <w:shd w:val="clear" w:color="auto" w:fill="FFFFFF"/>
        </w:rPr>
        <w:t>INCI</w:t>
      </w:r>
      <w:r>
        <w:rPr>
          <w:rFonts w:ascii="楷体" w:eastAsia="楷体" w:hAnsi="楷体" w:cs="楷体" w:hint="eastAsia"/>
          <w:color w:val="0F1115"/>
          <w:shd w:val="clear" w:color="auto" w:fill="FFFFFF"/>
        </w:rPr>
        <w:t>名称——即使非失嗅人群，也难以判断一款香水是否适合自己。</w:t>
      </w:r>
    </w:p>
    <w:p w14:paraId="524E709B" w14:textId="77777777" w:rsidR="00660AC6" w:rsidRDefault="0023687C">
      <w:pPr>
        <w:pStyle w:val="a3"/>
        <w:widowControl/>
        <w:shd w:val="clear" w:color="auto" w:fill="FFFFFF"/>
        <w:spacing w:line="500" w:lineRule="exact"/>
        <w:ind w:firstLineChars="200" w:firstLine="482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 w:hint="eastAsia"/>
          <w:b/>
          <w:bCs/>
          <w:color w:val="0F1115"/>
          <w:shd w:val="clear" w:color="auto" w:fill="FFFFFF"/>
        </w:rPr>
        <w:t>痛点二：感官缺失。</w:t>
      </w:r>
      <w:r>
        <w:rPr>
          <w:rFonts w:ascii="楷体" w:eastAsia="楷体" w:hAnsi="楷体" w:cs="楷体" w:hint="eastAsia"/>
          <w:color w:val="0F1115"/>
          <w:shd w:val="clear" w:color="auto" w:fill="FFFFFF"/>
        </w:rPr>
        <w:t> 失嗅人群无法通过嗅觉感知香水的层次变化，也无法感知香水变质后产生的刺激性气味。当柠檬烯、芳樟醇等成分氧化生成强致敏氢过氧化物时，正常人可能通过“</w:t>
      </w:r>
      <w:r>
        <w:rPr>
          <w:rFonts w:ascii="Times New Roman" w:eastAsia="楷体" w:hAnsi="Times New Roman" w:cs="Times New Roman" w:hint="eastAsia"/>
          <w:color w:val="0F1115"/>
          <w:shd w:val="clear" w:color="auto" w:fill="FFFFFF"/>
        </w:rPr>
        <w:t>off-note</w:t>
      </w:r>
      <w:r>
        <w:rPr>
          <w:rFonts w:ascii="Times New Roman" w:eastAsia="楷体" w:hAnsi="Times New Roman" w:cs="Times New Roman" w:hint="eastAsia"/>
          <w:color w:val="0F1115"/>
          <w:shd w:val="clear" w:color="auto" w:fill="FFFFFF"/>
        </w:rPr>
        <w:t>”</w:t>
      </w:r>
      <w:r>
        <w:rPr>
          <w:rFonts w:ascii="楷体" w:eastAsia="楷体" w:hAnsi="楷体" w:cs="楷体" w:hint="eastAsia"/>
          <w:color w:val="0F1115"/>
          <w:shd w:val="clear" w:color="auto" w:fill="FFFFFF"/>
        </w:rPr>
        <w:t>感知变质，而失嗅者完全依赖视觉预警。</w:t>
      </w:r>
    </w:p>
    <w:p w14:paraId="524E709C" w14:textId="77777777" w:rsidR="00660AC6" w:rsidRDefault="00660AC6">
      <w:pPr>
        <w:pStyle w:val="a3"/>
        <w:widowControl/>
        <w:shd w:val="clear" w:color="auto" w:fill="FFFFFF"/>
        <w:spacing w:line="400" w:lineRule="exact"/>
        <w:ind w:firstLineChars="200" w:firstLine="480"/>
        <w:rPr>
          <w:rFonts w:ascii="楷体" w:eastAsia="楷体" w:hAnsi="楷体" w:cs="楷体" w:hint="eastAsia"/>
          <w:color w:val="0F1115"/>
          <w:shd w:val="clear" w:color="auto" w:fill="FFFFFF"/>
        </w:rPr>
      </w:pPr>
    </w:p>
    <w:p w14:paraId="524E709D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b/>
          <w:bCs/>
          <w:color w:val="0F1115"/>
          <w:shd w:val="clear" w:color="auto" w:fill="FFFFFF"/>
        </w:rPr>
      </w:pPr>
      <w:r>
        <w:rPr>
          <w:rFonts w:ascii="楷体" w:eastAsia="楷体" w:hAnsi="楷体" w:cs="楷体"/>
          <w:b/>
          <w:bCs/>
          <w:color w:val="0F1115"/>
          <w:shd w:val="clear" w:color="auto" w:fill="FFFFFF"/>
        </w:rPr>
        <w:t>流行病学背景：过敏现状</w:t>
      </w:r>
    </w:p>
    <w:p w14:paraId="524E709E" w14:textId="77777777" w:rsidR="00660AC6" w:rsidRDefault="0023687C">
      <w:pPr>
        <w:pStyle w:val="a3"/>
        <w:widowControl/>
        <w:shd w:val="clear" w:color="auto" w:fill="FFFFFF"/>
        <w:spacing w:line="500" w:lineRule="exact"/>
        <w:ind w:firstLineChars="200" w:firstLine="480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/>
          <w:color w:val="0F1115"/>
          <w:shd w:val="clear" w:color="auto" w:fill="FFFFFF"/>
        </w:rPr>
        <w:t>虽然大众对化妆品过敏的感知普遍，但科学数据显示严重的接触性过敏在普通人群中实际发生率较低，约为0.1%-0.2%，对于失嗅人士或嗅觉敏感人群而言，他们可能无法通过气味预判风险，因此在无法闻到刺激性气味的情况下，对致敏成分的“可视化”监控显得尤为重要。</w:t>
      </w:r>
    </w:p>
    <w:p w14:paraId="524E709F" w14:textId="77777777" w:rsidR="00660AC6" w:rsidRDefault="0023687C">
      <w:pPr>
        <w:pStyle w:val="a3"/>
        <w:widowControl/>
        <w:shd w:val="clear" w:color="auto" w:fill="FFFFFF"/>
        <w:spacing w:line="500" w:lineRule="exact"/>
        <w:ind w:firstLineChars="200" w:firstLine="480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/>
          <w:color w:val="0F1115"/>
          <w:shd w:val="clear" w:color="auto" w:fill="FFFFFF"/>
        </w:rPr>
        <w:t>过敏反应的本质是免疫系统对某些特定化学结构的过度应答。根据欧莱雅内部的科学材料，过敏原（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Allergens</w:t>
      </w:r>
      <w:r>
        <w:rPr>
          <w:rFonts w:ascii="楷体" w:eastAsia="楷体" w:hAnsi="楷体" w:cs="楷体"/>
          <w:color w:val="0F1115"/>
          <w:shd w:val="clear" w:color="auto" w:fill="FFFFFF"/>
        </w:rPr>
        <w:t>）是能够引发特定敏感人群免疫反应的外源物</w:t>
      </w:r>
      <w:r>
        <w:rPr>
          <w:rFonts w:ascii="楷体" w:eastAsia="楷体" w:hAnsi="楷体" w:cs="楷体"/>
          <w:color w:val="0F1115"/>
          <w:shd w:val="clear" w:color="auto" w:fill="FFFFFF"/>
        </w:rPr>
        <w:lastRenderedPageBreak/>
        <w:t>质，主要分为即时性过敏（如食物、花粉）和迟发型接触性过敏（皮肤红肿、瘙痒）。在香水使用中，后者（过敏性接触性皮炎）是主要风险。</w:t>
      </w:r>
    </w:p>
    <w:p w14:paraId="524E70A0" w14:textId="77777777" w:rsidR="00660AC6" w:rsidRDefault="00660AC6">
      <w:pPr>
        <w:pStyle w:val="2"/>
        <w:widowControl/>
        <w:shd w:val="clear" w:color="auto" w:fill="FFFFFF"/>
        <w:spacing w:beforeAutospacing="0" w:afterAutospacing="0" w:line="400" w:lineRule="exact"/>
        <w:rPr>
          <w:rFonts w:ascii="楷体" w:eastAsia="楷体" w:hAnsi="楷体" w:cs="楷体"/>
          <w:color w:val="0F1115"/>
          <w:shd w:val="clear" w:color="auto" w:fill="FFFFFF"/>
        </w:rPr>
      </w:pPr>
    </w:p>
    <w:p w14:paraId="524E70A1" w14:textId="77777777" w:rsidR="00660AC6" w:rsidRDefault="0023687C">
      <w:pPr>
        <w:pStyle w:val="2"/>
        <w:widowControl/>
        <w:shd w:val="clear" w:color="auto" w:fill="FFFFFF"/>
        <w:spacing w:beforeAutospacing="0" w:afterAutospacing="0"/>
        <w:rPr>
          <w:rFonts w:ascii="楷体" w:eastAsia="楷体" w:hAnsi="楷体" w:cs="楷体"/>
          <w:color w:val="0F1115"/>
          <w:shd w:val="clear" w:color="auto" w:fill="FFFFFF"/>
        </w:rPr>
      </w:pPr>
      <w:r>
        <w:rPr>
          <w:rFonts w:ascii="楷体" w:eastAsia="楷体" w:hAnsi="楷体" w:cs="楷体" w:hint="default"/>
          <w:color w:val="0F1115"/>
          <w:shd w:val="clear" w:color="auto" w:fill="FFFFFF"/>
        </w:rPr>
        <w:t>二、核心理念：让</w:t>
      </w:r>
      <w:r>
        <w:rPr>
          <w:rFonts w:ascii="Times New Roman" w:eastAsia="楷体" w:hAnsi="Times New Roman" w:hint="default"/>
          <w:color w:val="0F1115"/>
          <w:kern w:val="2"/>
          <w:shd w:val="clear" w:color="auto" w:fill="FFFFFF"/>
        </w:rPr>
        <w:t>AI</w:t>
      </w:r>
      <w:r>
        <w:rPr>
          <w:rFonts w:ascii="楷体" w:eastAsia="楷体" w:hAnsi="楷体" w:cs="楷体" w:hint="default"/>
          <w:color w:val="0F1115"/>
          <w:shd w:val="clear" w:color="auto" w:fill="FFFFFF"/>
        </w:rPr>
        <w:t>有爱</w:t>
      </w:r>
    </w:p>
    <w:p w14:paraId="524E70A2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/>
          <w:color w:val="0F1115"/>
          <w:shd w:val="clear" w:color="auto" w:fill="FFFFFF"/>
        </w:rPr>
        <w:t>美，不应被感官、身体或时空局限。 </w:t>
      </w:r>
    </w:p>
    <w:p w14:paraId="524E70A3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/>
          <w:color w:val="0F1115"/>
          <w:shd w:val="clear" w:color="auto" w:fill="FFFFFF"/>
        </w:rPr>
        <w:t>我们的产品名“</w:t>
      </w:r>
      <w:r>
        <w:rPr>
          <w:rFonts w:ascii="楷体" w:eastAsia="楷体" w:hAnsi="楷体" w:cs="楷体" w:hint="eastAsia"/>
          <w:color w:val="0F1115"/>
          <w:shd w:val="clear" w:color="auto" w:fill="FFFFFF"/>
        </w:rPr>
        <w:t>万象</w:t>
      </w:r>
      <w:r>
        <w:rPr>
          <w:rFonts w:ascii="Times New Roman" w:eastAsia="楷体" w:hAnsi="Times New Roman" w:cs="Times New Roman" w:hint="eastAsia"/>
          <w:color w:val="0F1115"/>
          <w:shd w:val="clear" w:color="auto" w:fill="FFFFFF"/>
        </w:rPr>
        <w:t>Aura</w:t>
      </w:r>
      <w:r>
        <w:rPr>
          <w:rFonts w:ascii="楷体" w:eastAsia="楷体" w:hAnsi="楷体" w:cs="楷体"/>
          <w:color w:val="0F1115"/>
          <w:shd w:val="clear" w:color="auto" w:fill="FFFFFF"/>
        </w:rPr>
        <w:t>”蕴含三层含义：</w:t>
      </w:r>
    </w:p>
    <w:p w14:paraId="524E70A4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/>
          <w:b/>
          <w:bCs/>
          <w:color w:val="0F1115"/>
          <w:shd w:val="clear" w:color="auto" w:fill="FFFFFF"/>
        </w:rPr>
        <w:t>感知无界：</w:t>
      </w:r>
      <w:r>
        <w:rPr>
          <w:rFonts w:ascii="楷体" w:eastAsia="楷体" w:hAnsi="楷体" w:cs="楷体"/>
          <w:color w:val="0F1115"/>
          <w:shd w:val="clear" w:color="auto" w:fill="FFFFFF"/>
        </w:rPr>
        <w:t>香气不可见，但通过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AI</w:t>
      </w:r>
      <w:r>
        <w:rPr>
          <w:rFonts w:ascii="楷体" w:eastAsia="楷体" w:hAnsi="楷体" w:cs="楷体"/>
          <w:color w:val="0F1115"/>
          <w:shd w:val="clear" w:color="auto" w:fill="FFFFFF"/>
        </w:rPr>
        <w:t>，我们让它可见、可读、可理解</w:t>
      </w:r>
    </w:p>
    <w:p w14:paraId="524E70A5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/>
          <w:b/>
          <w:bCs/>
          <w:color w:val="0F1115"/>
          <w:shd w:val="clear" w:color="auto" w:fill="FFFFFF"/>
        </w:rPr>
        <w:t>人群无界：</w:t>
      </w:r>
      <w:r>
        <w:rPr>
          <w:rFonts w:ascii="楷体" w:eastAsia="楷体" w:hAnsi="楷体" w:cs="楷体"/>
          <w:color w:val="0F1115"/>
          <w:shd w:val="clear" w:color="auto" w:fill="FFFFFF"/>
        </w:rPr>
        <w:t>不论失嗅、敏感、孕妇、鼻炎——每个人都能安全地体验美</w:t>
      </w:r>
    </w:p>
    <w:p w14:paraId="524E70A6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/>
          <w:b/>
          <w:bCs/>
          <w:color w:val="0F1115"/>
          <w:shd w:val="clear" w:color="auto" w:fill="FFFFFF"/>
        </w:rPr>
        <w:t>场景无界：</w:t>
      </w:r>
      <w:r>
        <w:rPr>
          <w:rFonts w:ascii="楷体" w:eastAsia="楷体" w:hAnsi="楷体" w:cs="楷体"/>
          <w:color w:val="0F1115"/>
          <w:shd w:val="clear" w:color="auto" w:fill="FFFFFF"/>
        </w:rPr>
        <w:t>从线上小程序到线下门店，从日常试香到专业选香</w:t>
      </w:r>
    </w:p>
    <w:p w14:paraId="524E70A7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/>
          <w:b/>
          <w:bCs/>
          <w:color w:val="0F1115"/>
          <w:shd w:val="clear" w:color="auto" w:fill="FFFFFF"/>
        </w:rPr>
        <w:t>项目定位</w:t>
      </w:r>
      <w:r>
        <w:rPr>
          <w:rFonts w:ascii="楷体" w:eastAsia="楷体" w:hAnsi="楷体" w:cs="楷体" w:hint="eastAsia"/>
          <w:b/>
          <w:bCs/>
          <w:color w:val="0F1115"/>
          <w:shd w:val="clear" w:color="auto" w:fill="FFFFFF"/>
        </w:rPr>
        <w:t>：</w:t>
      </w:r>
      <w:r>
        <w:rPr>
          <w:rFonts w:ascii="楷体" w:eastAsia="楷体" w:hAnsi="楷体" w:cs="楷体"/>
          <w:color w:val="0F1115"/>
          <w:shd w:val="clear" w:color="auto" w:fill="FFFFFF"/>
        </w:rPr>
        <w:t>本方案以“科技向善”为初心，通过“香味可视化+致敏原智能预警”双核驱动，让所有人——不论嗅觉能力、皮肤状态、生理阶段——都能平等地理解、选择、享受香水。</w:t>
      </w:r>
    </w:p>
    <w:p w14:paraId="524E70A8" w14:textId="77777777" w:rsidR="00660AC6" w:rsidRDefault="00660AC6">
      <w:pPr>
        <w:pStyle w:val="2"/>
        <w:widowControl/>
        <w:shd w:val="clear" w:color="auto" w:fill="FFFFFF"/>
        <w:spacing w:beforeAutospacing="0" w:afterAutospacing="0" w:line="400" w:lineRule="exact"/>
        <w:rPr>
          <w:rFonts w:ascii="楷体" w:eastAsia="楷体" w:hAnsi="楷体" w:cs="楷体"/>
          <w:color w:val="0F1115"/>
          <w:shd w:val="clear" w:color="auto" w:fill="FFFFFF"/>
        </w:rPr>
      </w:pPr>
    </w:p>
    <w:p w14:paraId="524E70A9" w14:textId="77777777" w:rsidR="00660AC6" w:rsidRDefault="0023687C">
      <w:pPr>
        <w:pStyle w:val="2"/>
        <w:widowControl/>
        <w:shd w:val="clear" w:color="auto" w:fill="FFFFFF"/>
        <w:spacing w:beforeAutospacing="0" w:afterAutospacing="0"/>
        <w:rPr>
          <w:rFonts w:ascii="楷体" w:eastAsia="楷体" w:hAnsi="楷体" w:cs="楷体"/>
          <w:color w:val="0F1115"/>
          <w:shd w:val="clear" w:color="auto" w:fill="FFFFFF"/>
        </w:rPr>
      </w:pPr>
      <w:r>
        <w:rPr>
          <w:rFonts w:ascii="楷体" w:eastAsia="楷体" w:hAnsi="楷体" w:cs="楷体" w:hint="default"/>
          <w:color w:val="0F1115"/>
          <w:shd w:val="clear" w:color="auto" w:fill="FFFFFF"/>
        </w:rPr>
        <w:t>三、核心功能模块</w:t>
      </w:r>
    </w:p>
    <w:p w14:paraId="524E70AA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b/>
          <w:bCs/>
          <w:color w:val="0F1115"/>
          <w:shd w:val="clear" w:color="auto" w:fill="FFFFFF"/>
        </w:rPr>
      </w:pPr>
      <w:r>
        <w:rPr>
          <w:rFonts w:ascii="楷体" w:eastAsia="楷体" w:hAnsi="楷体" w:cs="楷体"/>
          <w:b/>
          <w:bCs/>
          <w:color w:val="0F1115"/>
          <w:shd w:val="clear" w:color="auto" w:fill="FFFFFF"/>
        </w:rPr>
        <w:t>模块一：致敏原智能预警</w:t>
      </w:r>
    </w:p>
    <w:p w14:paraId="524E70AB" w14:textId="1418F121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/>
          <w:color w:val="0F1115"/>
          <w:shd w:val="clear" w:color="auto" w:fill="FFFFFF"/>
        </w:rPr>
        <w:t>目标：将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IFRA/RIFM</w:t>
      </w:r>
      <w:r>
        <w:rPr>
          <w:rFonts w:ascii="楷体" w:eastAsia="楷体" w:hAnsi="楷体" w:cs="楷体"/>
          <w:color w:val="0F1115"/>
          <w:shd w:val="clear" w:color="auto" w:fill="FFFFFF"/>
        </w:rPr>
        <w:t>的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QRA</w:t>
      </w:r>
      <w:r w:rsidR="00E30716">
        <w:rPr>
          <w:rFonts w:ascii="Times New Roman" w:eastAsia="楷体" w:hAnsi="Times New Roman" w:cs="Times New Roman" w:hint="eastAsia"/>
          <w:color w:val="0F1115"/>
          <w:shd w:val="clear" w:color="auto" w:fill="FFFFFF"/>
        </w:rPr>
        <w:t>2</w:t>
      </w:r>
      <w:r>
        <w:rPr>
          <w:rFonts w:ascii="楷体" w:eastAsia="楷体" w:hAnsi="楷体" w:cs="楷体"/>
          <w:color w:val="0F1115"/>
          <w:shd w:val="clear" w:color="auto" w:fill="FFFFFF"/>
        </w:rPr>
        <w:t>定量毒理学框架，工程化为可复算、可审计、可解释的风险评估引擎，让敏感人群获得“因人而异”的安全指引。</w:t>
      </w:r>
    </w:p>
    <w:p w14:paraId="524E70AC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b/>
          <w:bCs/>
          <w:color w:val="0F1115"/>
          <w:shd w:val="clear" w:color="auto" w:fill="FFFFFF"/>
        </w:rPr>
      </w:pPr>
      <w:r>
        <w:rPr>
          <w:rFonts w:ascii="楷体" w:eastAsia="楷体" w:hAnsi="楷体" w:cs="楷体"/>
          <w:b/>
          <w:bCs/>
          <w:color w:val="0F1115"/>
          <w:shd w:val="clear" w:color="auto" w:fill="FFFFFF"/>
        </w:rPr>
        <w:t>3.1.1 概率化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QRA</w:t>
      </w:r>
      <w:r>
        <w:rPr>
          <w:rFonts w:ascii="楷体" w:eastAsia="楷体" w:hAnsi="楷体" w:cs="楷体"/>
          <w:b/>
          <w:bCs/>
          <w:color w:val="0F1115"/>
          <w:shd w:val="clear" w:color="auto" w:fill="FFFFFF"/>
        </w:rPr>
        <w:t>量化风险评估模型</w:t>
      </w:r>
    </w:p>
    <w:p w14:paraId="524E70AD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/>
          <w:color w:val="0F1115"/>
          <w:shd w:val="clear" w:color="auto" w:fill="FFFFFF"/>
        </w:rPr>
        <w:t>（1）模型基础：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AEL/CE</w:t>
      </w:r>
      <w:r>
        <w:rPr>
          <w:rFonts w:ascii="Times New Roman" w:eastAsia="楷体" w:hAnsi="Times New Roman" w:cs="Times New Roman" w:hint="eastAsia"/>
          <w:color w:val="0F1115"/>
          <w:shd w:val="clear" w:color="auto" w:fill="FFFFFF"/>
        </w:rPr>
        <w:t>L</w:t>
      </w:r>
      <w:r>
        <w:rPr>
          <w:rFonts w:ascii="楷体" w:eastAsia="楷体" w:hAnsi="楷体" w:cs="楷体"/>
          <w:color w:val="0F1115"/>
          <w:shd w:val="clear" w:color="auto" w:fill="FFFFFF"/>
        </w:rPr>
        <w:t>比值判定</w:t>
      </w:r>
    </w:p>
    <w:p w14:paraId="524E70AE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Times New Roman" w:eastAsia="楷体" w:hAnsi="Times New Roman" w:cs="Times New Roman"/>
          <w:color w:val="0F1115"/>
          <w:shd w:val="clear" w:color="auto" w:fill="FFFFFF"/>
        </w:rPr>
        <w:t>QRA</w:t>
      </w:r>
      <w:r>
        <w:rPr>
          <w:rFonts w:ascii="楷体" w:eastAsia="楷体" w:hAnsi="楷体" w:cs="楷体"/>
          <w:color w:val="0F1115"/>
          <w:shd w:val="clear" w:color="auto" w:fill="FFFFFF"/>
        </w:rPr>
        <w:t>（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Quantitative Risk Assessment</w:t>
      </w:r>
      <w:r>
        <w:rPr>
          <w:rFonts w:ascii="楷体" w:eastAsia="楷体" w:hAnsi="楷体" w:cs="楷体"/>
          <w:color w:val="0F1115"/>
          <w:shd w:val="clear" w:color="auto" w:fill="FFFFFF"/>
        </w:rPr>
        <w:t>，定量风险评估）是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IFRA/RIFM</w:t>
      </w:r>
      <w:r>
        <w:rPr>
          <w:rFonts w:ascii="楷体" w:eastAsia="楷体" w:hAnsi="楷体" w:cs="楷体"/>
          <w:color w:val="0F1115"/>
          <w:shd w:val="clear" w:color="auto" w:fill="FFFFFF"/>
        </w:rPr>
        <w:t>采纳的、基于暴露量的皮肤致敏定量风险评估方法，由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Api</w:t>
      </w:r>
      <w:r>
        <w:rPr>
          <w:rFonts w:ascii="楷体" w:eastAsia="楷体" w:hAnsi="楷体" w:cs="楷体"/>
          <w:color w:val="0F1115"/>
          <w:shd w:val="clear" w:color="auto" w:fill="FFFFFF"/>
        </w:rPr>
        <w:t>等人于2008年系统发表。其核心计算框架如下：</w:t>
      </w:r>
    </w:p>
    <w:p w14:paraId="524E70AF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b/>
          <w:bCs/>
          <w:color w:val="0F1115"/>
          <w:shd w:val="clear" w:color="auto" w:fill="FFFFFF"/>
        </w:rPr>
      </w:pPr>
      <w:r>
        <w:rPr>
          <w:rFonts w:ascii="楷体" w:eastAsia="楷体" w:hAnsi="楷体" w:cs="楷体"/>
          <w:b/>
          <w:bCs/>
          <w:color w:val="0F1115"/>
          <w:shd w:val="clear" w:color="auto" w:fill="FFFFFF"/>
        </w:rPr>
        <w:t>核心公式：</w:t>
      </w:r>
    </w:p>
    <w:p w14:paraId="524E70B0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Times New Roman" w:eastAsia="楷体" w:hAnsi="Times New Roman" w:cs="Times New Roman"/>
          <w:color w:val="0F1115"/>
          <w:shd w:val="clear" w:color="auto" w:fill="FFFFFF"/>
        </w:rPr>
        <w:t>AEL = NESIL ÷ SAF</w:t>
      </w:r>
      <w:r>
        <w:rPr>
          <w:rFonts w:ascii="楷体" w:eastAsia="楷体" w:hAnsi="楷体" w:cs="楷体"/>
          <w:color w:val="0F1115"/>
          <w:shd w:val="clear" w:color="auto" w:fill="FFFFFF"/>
        </w:rPr>
        <w:t>（可接受暴露水平）</w:t>
      </w:r>
    </w:p>
    <w:p w14:paraId="524E70B1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/>
          <w:color w:val="0F1115"/>
          <w:shd w:val="clear" w:color="auto" w:fill="FFFFFF"/>
        </w:rPr>
        <w:t>风险判定：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AEL / CEL ≥ 1 →</w:t>
      </w:r>
      <w:r>
        <w:rPr>
          <w:rFonts w:ascii="楷体" w:eastAsia="楷体" w:hAnsi="楷体" w:cs="楷体"/>
          <w:color w:val="0F1115"/>
          <w:shd w:val="clear" w:color="auto" w:fill="FFFFFF"/>
        </w:rPr>
        <w:t xml:space="preserve"> 可接受；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AEL / CEL &lt; 1 →</w:t>
      </w:r>
      <w:r>
        <w:rPr>
          <w:rFonts w:ascii="楷体" w:eastAsia="楷体" w:hAnsi="楷体" w:cs="楷体"/>
          <w:color w:val="0F1115"/>
          <w:shd w:val="clear" w:color="auto" w:fill="FFFFFF"/>
        </w:rPr>
        <w:t xml:space="preserve"> 不可接受</w:t>
      </w:r>
    </w:p>
    <w:tbl>
      <w:tblPr>
        <w:tblpPr w:leftFromText="180" w:rightFromText="180" w:vertAnchor="text" w:horzAnchor="page" w:tblpXSpec="center" w:tblpY="-6"/>
        <w:tblOverlap w:val="never"/>
        <w:tblW w:w="9381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2521"/>
        <w:gridCol w:w="5764"/>
      </w:tblGrid>
      <w:tr w:rsidR="00660AC6" w14:paraId="524E70B5" w14:textId="77777777">
        <w:trPr>
          <w:tblHeader/>
          <w:jc w:val="center"/>
        </w:trPr>
        <w:tc>
          <w:tcPr>
            <w:tcW w:w="109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0B2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color w:val="0F1115"/>
                <w:sz w:val="24"/>
                <w:shd w:val="clear" w:color="auto" w:fill="FFFFFF"/>
              </w:rPr>
            </w:pPr>
            <w:r>
              <w:rPr>
                <w:rFonts w:ascii="楷体" w:eastAsia="楷体" w:hAnsi="楷体" w:cs="楷体"/>
                <w:b/>
                <w:bCs/>
                <w:color w:val="0F1115"/>
                <w:sz w:val="24"/>
                <w:shd w:val="clear" w:color="auto" w:fill="FFFFFF"/>
              </w:rPr>
              <w:lastRenderedPageBreak/>
              <w:t>参数</w:t>
            </w:r>
          </w:p>
        </w:tc>
        <w:tc>
          <w:tcPr>
            <w:tcW w:w="252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0B3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color w:val="0F1115"/>
                <w:sz w:val="24"/>
                <w:shd w:val="clear" w:color="auto" w:fill="FFFFFF"/>
              </w:rPr>
            </w:pPr>
            <w:r>
              <w:rPr>
                <w:rFonts w:ascii="楷体" w:eastAsia="楷体" w:hAnsi="楷体" w:cs="楷体"/>
                <w:b/>
                <w:bCs/>
                <w:color w:val="0F1115"/>
                <w:sz w:val="24"/>
                <w:shd w:val="clear" w:color="auto" w:fill="FFFFFF"/>
              </w:rPr>
              <w:t>含义</w:t>
            </w:r>
          </w:p>
        </w:tc>
        <w:tc>
          <w:tcPr>
            <w:tcW w:w="576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0B4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color w:val="0F1115"/>
                <w:sz w:val="24"/>
                <w:shd w:val="clear" w:color="auto" w:fill="FFFFFF"/>
              </w:rPr>
            </w:pPr>
            <w:r>
              <w:rPr>
                <w:rFonts w:ascii="楷体" w:eastAsia="楷体" w:hAnsi="楷体" w:cs="楷体"/>
                <w:b/>
                <w:bCs/>
                <w:color w:val="0F1115"/>
                <w:sz w:val="24"/>
                <w:shd w:val="clear" w:color="auto" w:fill="FFFFFF"/>
              </w:rPr>
              <w:t>数据来源</w:t>
            </w:r>
          </w:p>
        </w:tc>
      </w:tr>
      <w:tr w:rsidR="00660AC6" w14:paraId="524E70B9" w14:textId="77777777">
        <w:trPr>
          <w:jc w:val="center"/>
        </w:trPr>
        <w:tc>
          <w:tcPr>
            <w:tcW w:w="10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0B6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color w:val="0F1115"/>
                <w:sz w:val="24"/>
                <w:shd w:val="clear" w:color="auto" w:fill="FFFFFF"/>
              </w:rPr>
            </w:pPr>
            <w:r>
              <w:rPr>
                <w:rFonts w:ascii="Times New Roman" w:eastAsia="楷体" w:hAnsi="Times New Roman" w:cs="Times New Roman" w:hint="eastAsia"/>
                <w:color w:val="0F1115"/>
                <w:sz w:val="24"/>
                <w:shd w:val="clear" w:color="auto" w:fill="FFFFFF"/>
              </w:rPr>
              <w:t xml:space="preserve"> </w:t>
            </w:r>
            <w:r>
              <w:rPr>
                <w:rFonts w:ascii="Times New Roman" w:eastAsia="楷体" w:hAnsi="Times New Roman" w:cs="Times New Roman"/>
                <w:color w:val="0F1115"/>
                <w:sz w:val="24"/>
                <w:shd w:val="clear" w:color="auto" w:fill="FFFFFF"/>
              </w:rPr>
              <w:t>NESIL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0B7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无预期致敏诱导水平（基准剂量）</w:t>
            </w:r>
          </w:p>
        </w:tc>
        <w:tc>
          <w:tcPr>
            <w:tcW w:w="57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0B8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局部淋巴结试验（</w:t>
            </w:r>
            <w:r>
              <w:rPr>
                <w:rFonts w:ascii="Times New Roman" w:eastAsia="楷体" w:hAnsi="Times New Roman" w:cs="Times New Roman"/>
                <w:color w:val="0F1115"/>
                <w:sz w:val="24"/>
                <w:shd w:val="clear" w:color="auto" w:fill="FFFFFF"/>
              </w:rPr>
              <w:t>LLNA</w:t>
            </w: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）的EC3值，或人体</w:t>
            </w:r>
            <w:r>
              <w:rPr>
                <w:rFonts w:ascii="Times New Roman" w:eastAsia="楷体" w:hAnsi="Times New Roman" w:cs="Times New Roman"/>
                <w:color w:val="0F1115"/>
                <w:sz w:val="24"/>
                <w:shd w:val="clear" w:color="auto" w:fill="FFFFFF"/>
              </w:rPr>
              <w:t>HRIPT/HRPT</w:t>
            </w: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数据</w:t>
            </w:r>
          </w:p>
        </w:tc>
      </w:tr>
      <w:tr w:rsidR="00660AC6" w14:paraId="524E70BD" w14:textId="77777777">
        <w:trPr>
          <w:jc w:val="center"/>
        </w:trPr>
        <w:tc>
          <w:tcPr>
            <w:tcW w:w="10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0BA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color w:val="0F1115"/>
                <w:sz w:val="24"/>
                <w:shd w:val="clear" w:color="auto" w:fill="FFFFFF"/>
              </w:rPr>
            </w:pPr>
            <w:r>
              <w:rPr>
                <w:rFonts w:ascii="Times New Roman" w:eastAsia="楷体" w:hAnsi="Times New Roman" w:cs="Times New Roman" w:hint="eastAsia"/>
                <w:color w:val="0F1115"/>
                <w:sz w:val="24"/>
                <w:shd w:val="clear" w:color="auto" w:fill="FFFFFF"/>
              </w:rPr>
              <w:t xml:space="preserve"> </w:t>
            </w:r>
            <w:r>
              <w:rPr>
                <w:rFonts w:ascii="Times New Roman" w:eastAsia="楷体" w:hAnsi="Times New Roman" w:cs="Times New Roman"/>
                <w:color w:val="0F1115"/>
                <w:sz w:val="24"/>
                <w:shd w:val="clear" w:color="auto" w:fill="FFFFFF"/>
              </w:rPr>
              <w:t>SAF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0BB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致敏评估因子（安全系数）</w:t>
            </w:r>
          </w:p>
        </w:tc>
        <w:tc>
          <w:tcPr>
            <w:tcW w:w="57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0BC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由种间差异（×10）、个体差异（×10）、产品/使用场景考虑（×1-10）组成，范围10-1000</w:t>
            </w:r>
          </w:p>
        </w:tc>
      </w:tr>
      <w:tr w:rsidR="00660AC6" w14:paraId="524E70C1" w14:textId="77777777">
        <w:trPr>
          <w:jc w:val="center"/>
        </w:trPr>
        <w:tc>
          <w:tcPr>
            <w:tcW w:w="10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0BE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color w:val="0F1115"/>
                <w:sz w:val="24"/>
                <w:shd w:val="clear" w:color="auto" w:fill="FFFFFF"/>
              </w:rPr>
            </w:pPr>
            <w:r>
              <w:rPr>
                <w:rFonts w:ascii="Times New Roman" w:eastAsia="楷体" w:hAnsi="Times New Roman" w:cs="Times New Roman" w:hint="eastAsia"/>
                <w:color w:val="0F1115"/>
                <w:sz w:val="24"/>
                <w:shd w:val="clear" w:color="auto" w:fill="FFFFFF"/>
              </w:rPr>
              <w:t xml:space="preserve"> </w:t>
            </w:r>
            <w:r>
              <w:rPr>
                <w:rFonts w:ascii="Times New Roman" w:eastAsia="楷体" w:hAnsi="Times New Roman" w:cs="Times New Roman"/>
                <w:color w:val="0F1115"/>
                <w:sz w:val="24"/>
                <w:shd w:val="clear" w:color="auto" w:fill="FFFFFF"/>
              </w:rPr>
              <w:t>AEL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0BF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可接受暴露水平</w:t>
            </w:r>
          </w:p>
        </w:tc>
        <w:tc>
          <w:tcPr>
            <w:tcW w:w="57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0C0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 xml:space="preserve">计算得出 = </w:t>
            </w:r>
            <w:r>
              <w:rPr>
                <w:rFonts w:ascii="Times New Roman" w:eastAsia="楷体" w:hAnsi="Times New Roman" w:cs="Times New Roman"/>
                <w:color w:val="0F1115"/>
                <w:sz w:val="24"/>
                <w:shd w:val="clear" w:color="auto" w:fill="FFFFFF"/>
              </w:rPr>
              <w:t>NESIL ÷ SAF</w:t>
            </w:r>
          </w:p>
        </w:tc>
      </w:tr>
      <w:tr w:rsidR="00660AC6" w14:paraId="524E70C5" w14:textId="77777777">
        <w:trPr>
          <w:jc w:val="center"/>
        </w:trPr>
        <w:tc>
          <w:tcPr>
            <w:tcW w:w="10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0C2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color w:val="0F1115"/>
                <w:sz w:val="24"/>
                <w:shd w:val="clear" w:color="auto" w:fill="FFFFFF"/>
              </w:rPr>
            </w:pPr>
            <w:r>
              <w:rPr>
                <w:rFonts w:ascii="Times New Roman" w:eastAsia="楷体" w:hAnsi="Times New Roman" w:cs="Times New Roman" w:hint="eastAsia"/>
                <w:color w:val="0F1115"/>
                <w:sz w:val="24"/>
                <w:shd w:val="clear" w:color="auto" w:fill="FFFFFF"/>
              </w:rPr>
              <w:t xml:space="preserve"> </w:t>
            </w:r>
            <w:r>
              <w:rPr>
                <w:rFonts w:ascii="Times New Roman" w:eastAsia="楷体" w:hAnsi="Times New Roman" w:cs="Times New Roman"/>
                <w:color w:val="0F1115"/>
                <w:sz w:val="24"/>
                <w:shd w:val="clear" w:color="auto" w:fill="FFFFFF"/>
              </w:rPr>
              <w:t>CEL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0C3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消费者暴露水平</w:t>
            </w:r>
          </w:p>
        </w:tc>
        <w:tc>
          <w:tcPr>
            <w:tcW w:w="57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0C4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基于产品类型、单次用量、涂抹面积、使用频率计算</w:t>
            </w:r>
          </w:p>
        </w:tc>
      </w:tr>
    </w:tbl>
    <w:p w14:paraId="524E70C6" w14:textId="77777777" w:rsidR="00660AC6" w:rsidRDefault="00660AC6">
      <w:pPr>
        <w:pStyle w:val="a3"/>
        <w:widowControl/>
        <w:shd w:val="clear" w:color="auto" w:fill="FFFFFF"/>
        <w:spacing w:line="4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</w:p>
    <w:p w14:paraId="524E70C7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Times New Roman" w:eastAsia="楷体" w:hAnsi="Times New Roman" w:cs="Times New Roman"/>
          <w:color w:val="0F1115"/>
          <w:shd w:val="clear" w:color="auto" w:fill="FFFFFF"/>
        </w:rPr>
        <w:t>CEL</w:t>
      </w:r>
      <w:r>
        <w:rPr>
          <w:rFonts w:ascii="楷体" w:eastAsia="楷体" w:hAnsi="楷体" w:cs="楷体"/>
          <w:color w:val="0F1115"/>
          <w:shd w:val="clear" w:color="auto" w:fill="FFFFFF"/>
        </w:rPr>
        <w:t>计算示例（驻留型香水）：</w:t>
      </w:r>
    </w:p>
    <w:p w14:paraId="524E70C8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Times New Roman" w:eastAsia="楷体" w:hAnsi="Times New Roman" w:cs="Times New Roman"/>
          <w:color w:val="0F1115"/>
          <w:shd w:val="clear" w:color="auto" w:fill="FFFFFF"/>
        </w:rPr>
        <w:t xml:space="preserve">CEL </w:t>
      </w:r>
      <w:r>
        <w:rPr>
          <w:rFonts w:ascii="楷体" w:eastAsia="楷体" w:hAnsi="楷体" w:cs="楷体"/>
          <w:color w:val="0F1115"/>
          <w:shd w:val="clear" w:color="auto" w:fill="FFFFFF"/>
        </w:rPr>
        <w:t>= 成分浓度(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%</w:t>
      </w:r>
      <w:r>
        <w:rPr>
          <w:rFonts w:ascii="楷体" w:eastAsia="楷体" w:hAnsi="楷体" w:cs="楷体"/>
          <w:color w:val="0F1115"/>
          <w:shd w:val="clear" w:color="auto" w:fill="FFFFFF"/>
        </w:rPr>
        <w:t xml:space="preserve">) 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 xml:space="preserve">× 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单</w:t>
      </w:r>
      <w:r>
        <w:rPr>
          <w:rFonts w:ascii="楷体" w:eastAsia="楷体" w:hAnsi="楷体" w:cs="楷体"/>
          <w:color w:val="0F1115"/>
          <w:shd w:val="clear" w:color="auto" w:fill="FFFFFF"/>
        </w:rPr>
        <w:t xml:space="preserve">次产品用量 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×</w:t>
      </w:r>
      <w:r>
        <w:rPr>
          <w:rFonts w:ascii="楷体" w:eastAsia="楷体" w:hAnsi="楷体" w:cs="楷体"/>
          <w:color w:val="0F1115"/>
          <w:shd w:val="clear" w:color="auto" w:fill="FFFFFF"/>
        </w:rPr>
        <w:t xml:space="preserve"> 涂抹面积(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cm²</w:t>
      </w:r>
      <w:r>
        <w:rPr>
          <w:rFonts w:ascii="楷体" w:eastAsia="楷体" w:hAnsi="楷体" w:cs="楷体"/>
          <w:color w:val="0F1115"/>
          <w:shd w:val="clear" w:color="auto" w:fill="FFFFFF"/>
        </w:rPr>
        <w:t xml:space="preserve">) 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 xml:space="preserve">× </w:t>
      </w:r>
      <w:r>
        <w:rPr>
          <w:rFonts w:ascii="楷体" w:eastAsia="楷体" w:hAnsi="楷体" w:cs="楷体"/>
          <w:color w:val="0F1115"/>
          <w:shd w:val="clear" w:color="auto" w:fill="FFFFFF"/>
        </w:rPr>
        <w:t xml:space="preserve">日使用频率 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×</w:t>
      </w:r>
      <w:r>
        <w:rPr>
          <w:rFonts w:ascii="楷体" w:eastAsia="楷体" w:hAnsi="楷体" w:cs="楷体"/>
          <w:color w:val="0F1115"/>
          <w:shd w:val="clear" w:color="auto" w:fill="FFFFFF"/>
        </w:rPr>
        <w:t xml:space="preserve"> 皮肤吸收率</w:t>
      </w:r>
    </w:p>
    <w:p w14:paraId="524E70C9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/>
          <w:color w:val="0F1115"/>
          <w:shd w:val="clear" w:color="auto" w:fill="FFFFFF"/>
        </w:rPr>
        <w:t>例如，某香水中含柠檬烯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5%</w:t>
      </w:r>
      <w:r>
        <w:rPr>
          <w:rFonts w:ascii="楷体" w:eastAsia="楷体" w:hAnsi="楷体" w:cs="楷体"/>
          <w:color w:val="0F1115"/>
          <w:shd w:val="clear" w:color="auto" w:fill="FFFFFF"/>
        </w:rPr>
        <w:t>(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0.05</w:t>
      </w:r>
      <w:r>
        <w:rPr>
          <w:rFonts w:ascii="楷体" w:eastAsia="楷体" w:hAnsi="楷体" w:cs="楷体"/>
          <w:color w:val="0F1115"/>
          <w:shd w:val="clear" w:color="auto" w:fill="FFFFFF"/>
        </w:rPr>
        <w:t>），单次喷洒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0.5mg/cm²</w:t>
      </w:r>
      <w:r>
        <w:rPr>
          <w:rFonts w:ascii="楷体" w:eastAsia="楷体" w:hAnsi="楷体" w:cs="楷体"/>
          <w:color w:val="0F1115"/>
          <w:shd w:val="clear" w:color="auto" w:fill="FFFFFF"/>
        </w:rPr>
        <w:t>于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100cm²</w:t>
      </w:r>
      <w:r>
        <w:rPr>
          <w:rFonts w:ascii="楷体" w:eastAsia="楷体" w:hAnsi="楷体" w:cs="楷体"/>
          <w:color w:val="0F1115"/>
          <w:shd w:val="clear" w:color="auto" w:fill="FFFFFF"/>
        </w:rPr>
        <w:t>手腕，日使用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2</w:t>
      </w:r>
      <w:r>
        <w:rPr>
          <w:rFonts w:ascii="楷体" w:eastAsia="楷体" w:hAnsi="楷体" w:cs="楷体"/>
          <w:color w:val="0F1115"/>
          <w:shd w:val="clear" w:color="auto" w:fill="FFFFFF"/>
        </w:rPr>
        <w:t>次，皮肤吸收率保守假定为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100%</w:t>
      </w:r>
      <w:r>
        <w:rPr>
          <w:rFonts w:ascii="楷体" w:eastAsia="楷体" w:hAnsi="楷体" w:cs="楷体"/>
          <w:color w:val="0F1115"/>
          <w:shd w:val="clear" w:color="auto" w:fill="FFFFFF"/>
        </w:rPr>
        <w:t>：</w:t>
      </w:r>
    </w:p>
    <w:p w14:paraId="524E70CA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Times New Roman" w:eastAsia="楷体" w:hAnsi="Times New Roman" w:cs="Times New Roman"/>
          <w:color w:val="0F1115"/>
          <w:shd w:val="clear" w:color="auto" w:fill="FFFFFF"/>
        </w:rPr>
      </w:pPr>
      <w:r>
        <w:rPr>
          <w:rFonts w:ascii="Times New Roman" w:eastAsia="楷体" w:hAnsi="Times New Roman" w:cs="Times New Roman"/>
          <w:color w:val="0F1115"/>
          <w:shd w:val="clear" w:color="auto" w:fill="FFFFFF"/>
        </w:rPr>
        <w:t>CEL = 0.05 × 0.5 × 100 × 2 × 1.0 = 5.0 μg/cm²/day</w:t>
      </w:r>
    </w:p>
    <w:p w14:paraId="524E70CB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/>
          <w:color w:val="0F1115"/>
          <w:shd w:val="clear" w:color="auto" w:fill="FFFFFF"/>
        </w:rPr>
        <w:t>若该成分的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NESIL</w:t>
      </w:r>
      <w:r>
        <w:rPr>
          <w:rFonts w:ascii="楷体" w:eastAsia="楷体" w:hAnsi="楷体" w:cs="楷体"/>
          <w:color w:val="0F1115"/>
          <w:shd w:val="clear" w:color="auto" w:fill="FFFFFF"/>
        </w:rPr>
        <w:t>（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LLNA</w:t>
      </w:r>
      <w:r>
        <w:rPr>
          <w:rFonts w:ascii="楷体" w:eastAsia="楷体" w:hAnsi="楷体" w:cs="楷体"/>
          <w:color w:val="0F1115"/>
          <w:shd w:val="clear" w:color="auto" w:fill="FFFFFF"/>
        </w:rPr>
        <w:t xml:space="preserve"> 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EC3</w:t>
      </w:r>
      <w:r>
        <w:rPr>
          <w:rFonts w:ascii="楷体" w:eastAsia="楷体" w:hAnsi="楷体" w:cs="楷体"/>
          <w:color w:val="0F1115"/>
          <w:shd w:val="clear" w:color="auto" w:fill="FFFFFF"/>
        </w:rPr>
        <w:t>值转换）为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10,000μg/cm²</w:t>
      </w:r>
      <w:r>
        <w:rPr>
          <w:rFonts w:ascii="楷体" w:eastAsia="楷体" w:hAnsi="楷体" w:cs="楷体"/>
          <w:color w:val="0F1115"/>
          <w:shd w:val="clear" w:color="auto" w:fill="FFFFFF"/>
        </w:rPr>
        <w:t>，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 xml:space="preserve">SAF </w:t>
      </w:r>
      <w:r>
        <w:rPr>
          <w:rFonts w:ascii="楷体" w:eastAsia="楷体" w:hAnsi="楷体" w:cs="楷体"/>
          <w:color w:val="0F1115"/>
          <w:shd w:val="clear" w:color="auto" w:fill="FFFFFF"/>
        </w:rPr>
        <w:t>= 100，则：</w:t>
      </w:r>
    </w:p>
    <w:p w14:paraId="524E70CC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Times New Roman" w:eastAsia="楷体" w:hAnsi="Times New Roman" w:cs="Times New Roman"/>
          <w:color w:val="0F1115"/>
          <w:shd w:val="clear" w:color="auto" w:fill="FFFFFF"/>
        </w:rPr>
      </w:pPr>
      <w:r>
        <w:rPr>
          <w:rFonts w:ascii="Times New Roman" w:eastAsia="楷体" w:hAnsi="Times New Roman" w:cs="Times New Roman"/>
          <w:color w:val="0F1115"/>
          <w:shd w:val="clear" w:color="auto" w:fill="FFFFFF"/>
        </w:rPr>
        <w:t>AEL = 10,000 ÷ 100 = 100 μg/cm²/day</w:t>
      </w:r>
    </w:p>
    <w:p w14:paraId="524E70CD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/>
          <w:color w:val="0F1115"/>
          <w:shd w:val="clear" w:color="auto" w:fill="FFFFFF"/>
        </w:rPr>
        <w:t xml:space="preserve">风险比值 = 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 xml:space="preserve">AEL ÷ CEL = 100 ÷ 5.0 = 20.0 → </w:t>
      </w:r>
      <w:r>
        <w:rPr>
          <w:rFonts w:ascii="楷体" w:eastAsia="楷体" w:hAnsi="楷体" w:cs="楷体"/>
          <w:color w:val="0F1115"/>
          <w:shd w:val="clear" w:color="auto" w:fill="FFFFFF"/>
        </w:rPr>
        <w:t>远大于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1</w:t>
      </w:r>
      <w:r>
        <w:rPr>
          <w:rFonts w:ascii="楷体" w:eastAsia="楷体" w:hAnsi="楷体" w:cs="楷体"/>
          <w:color w:val="0F1115"/>
          <w:shd w:val="clear" w:color="auto" w:fill="FFFFFF"/>
        </w:rPr>
        <w:t>，低风险</w:t>
      </w:r>
    </w:p>
    <w:p w14:paraId="524E70CE" w14:textId="77777777" w:rsidR="00660AC6" w:rsidRDefault="00660AC6">
      <w:pPr>
        <w:pStyle w:val="a3"/>
        <w:widowControl/>
        <w:shd w:val="clear" w:color="auto" w:fill="FFFFFF"/>
        <w:spacing w:line="4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</w:p>
    <w:p w14:paraId="524E70CF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 w:hint="eastAsia"/>
          <w:color w:val="0F1115"/>
          <w:shd w:val="clear" w:color="auto" w:fill="FFFFFF"/>
        </w:rPr>
        <w:t>(2)</w:t>
      </w:r>
      <w:r>
        <w:rPr>
          <w:rFonts w:ascii="楷体" w:eastAsia="楷体" w:hAnsi="楷体" w:cs="楷体"/>
          <w:color w:val="0F1115"/>
          <w:shd w:val="clear" w:color="auto" w:fill="FFFFFF"/>
        </w:rPr>
        <w:t>从“静态点估计”到“概率化暴露评估”：蒙特卡洛模拟</w:t>
      </w:r>
    </w:p>
    <w:p w14:paraId="524E70D0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b/>
          <w:bCs/>
          <w:color w:val="0F1115"/>
          <w:shd w:val="clear" w:color="auto" w:fill="FFFFFF"/>
        </w:rPr>
      </w:pPr>
      <w:r>
        <w:rPr>
          <w:rFonts w:ascii="楷体" w:eastAsia="楷体" w:hAnsi="楷体" w:cs="楷体"/>
          <w:b/>
          <w:bCs/>
          <w:color w:val="0F1115"/>
          <w:shd w:val="clear" w:color="auto" w:fill="FFFFFF"/>
        </w:rPr>
        <w:t>传统</w:t>
      </w:r>
      <w:r>
        <w:rPr>
          <w:rFonts w:ascii="Times New Roman" w:eastAsia="楷体" w:hAnsi="Times New Roman" w:cs="Times New Roman"/>
          <w:b/>
          <w:bCs/>
          <w:color w:val="0F1115"/>
          <w:shd w:val="clear" w:color="auto" w:fill="FFFFFF"/>
        </w:rPr>
        <w:t>CEL</w:t>
      </w:r>
      <w:r>
        <w:rPr>
          <w:rFonts w:ascii="楷体" w:eastAsia="楷体" w:hAnsi="楷体" w:cs="楷体"/>
          <w:b/>
          <w:bCs/>
          <w:color w:val="0F1115"/>
          <w:shd w:val="clear" w:color="auto" w:fill="FFFFFF"/>
        </w:rPr>
        <w:t>的三个结构性缺陷：</w:t>
      </w:r>
    </w:p>
    <w:p w14:paraId="524E70D1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/>
          <w:color w:val="0F1115"/>
          <w:shd w:val="clear" w:color="auto" w:fill="FFFFFF"/>
        </w:rPr>
        <w:t>上述计算中的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CEL</w:t>
      </w:r>
      <w:r>
        <w:rPr>
          <w:rFonts w:ascii="楷体" w:eastAsia="楷体" w:hAnsi="楷体" w:cs="楷体"/>
          <w:color w:val="0F1115"/>
          <w:shd w:val="clear" w:color="auto" w:fill="FFFFFF"/>
        </w:rPr>
        <w:t>是一个静态点估计（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Point Estimate</w:t>
      </w:r>
      <w:r>
        <w:rPr>
          <w:rFonts w:ascii="楷体" w:eastAsia="楷体" w:hAnsi="楷体" w:cs="楷体"/>
          <w:color w:val="0F1115"/>
          <w:shd w:val="clear" w:color="auto" w:fill="FFFFFF"/>
        </w:rPr>
        <w:t>）——每一个输入参数都被钉死在一个“典型值”上。这在工程上简洁，但在毒理学上隐含三个未经检验的假设，而这三个假设恰恰在最需要保护的脆弱人群身上失效：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1955"/>
        <w:gridCol w:w="3851"/>
        <w:gridCol w:w="1822"/>
      </w:tblGrid>
      <w:tr w:rsidR="00660AC6" w14:paraId="524E70D6" w14:textId="77777777">
        <w:trPr>
          <w:tblHeader/>
        </w:trPr>
        <w:tc>
          <w:tcPr>
            <w:tcW w:w="67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0D2" w14:textId="77777777" w:rsidR="00660AC6" w:rsidRDefault="0023687C">
            <w:pPr>
              <w:widowControl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  <w:t xml:space="preserve">  </w:t>
            </w: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#</w:t>
            </w:r>
          </w:p>
        </w:tc>
        <w:tc>
          <w:tcPr>
            <w:tcW w:w="19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0D3" w14:textId="77777777" w:rsidR="00660AC6" w:rsidRDefault="0023687C">
            <w:pPr>
              <w:widowControl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隐含假设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0D4" w14:textId="77777777" w:rsidR="00660AC6" w:rsidRDefault="0023687C">
            <w:pPr>
              <w:widowControl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现实偏差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0D5" w14:textId="77777777" w:rsidR="00660AC6" w:rsidRDefault="0023687C">
            <w:pPr>
              <w:widowControl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后果</w:t>
            </w:r>
          </w:p>
        </w:tc>
      </w:tr>
      <w:tr w:rsidR="00660AC6" w14:paraId="524E70DB" w14:textId="77777777">
        <w:tc>
          <w:tcPr>
            <w:tcW w:w="6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0D7" w14:textId="77777777" w:rsidR="00660AC6" w:rsidRDefault="0023687C">
            <w:pPr>
              <w:widowControl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  <w:t xml:space="preserve"> </w:t>
            </w: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1</w:t>
            </w:r>
          </w:p>
        </w:tc>
        <w:tc>
          <w:tcPr>
            <w:tcW w:w="19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0D8" w14:textId="77777777" w:rsidR="00660AC6" w:rsidRDefault="0023687C">
            <w:pPr>
              <w:widowControl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所有消费者单次用量相同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0D9" w14:textId="77777777" w:rsidR="00660AC6" w:rsidRDefault="0023687C">
            <w:pPr>
              <w:widowControl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实际用量呈右偏长尾分布，重喷者可达典型值3-5倍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0DA" w14:textId="77777777" w:rsidR="00660AC6" w:rsidRDefault="0023687C">
            <w:pPr>
              <w:widowControl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低估高用量人群暴露</w:t>
            </w:r>
          </w:p>
        </w:tc>
      </w:tr>
      <w:tr w:rsidR="00660AC6" w14:paraId="524E70E0" w14:textId="77777777">
        <w:tc>
          <w:tcPr>
            <w:tcW w:w="6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0DC" w14:textId="77777777" w:rsidR="00660AC6" w:rsidRDefault="0023687C">
            <w:pPr>
              <w:widowControl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  <w:lastRenderedPageBreak/>
              <w:t xml:space="preserve">  </w:t>
            </w: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2</w:t>
            </w:r>
          </w:p>
        </w:tc>
        <w:tc>
          <w:tcPr>
            <w:tcW w:w="19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0DD" w14:textId="77777777" w:rsidR="00660AC6" w:rsidRDefault="0023687C">
            <w:pPr>
              <w:widowControl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使用频率取“平均值”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0DE" w14:textId="77777777" w:rsidR="00660AC6" w:rsidRDefault="0023687C">
            <w:pPr>
              <w:widowControl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补喷行为、季节差异、多部位叠加使用高度离散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0DF" w14:textId="77777777" w:rsidR="00660AC6" w:rsidRDefault="0023687C">
            <w:pPr>
              <w:widowControl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低估高频人群暴露</w:t>
            </w:r>
          </w:p>
        </w:tc>
      </w:tr>
      <w:tr w:rsidR="00660AC6" w14:paraId="524E70E5" w14:textId="77777777">
        <w:tc>
          <w:tcPr>
            <w:tcW w:w="6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0E1" w14:textId="77777777" w:rsidR="00660AC6" w:rsidRDefault="0023687C">
            <w:pPr>
              <w:widowControl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  <w:t xml:space="preserve">  </w:t>
            </w: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3</w:t>
            </w:r>
          </w:p>
        </w:tc>
        <w:tc>
          <w:tcPr>
            <w:tcW w:w="19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0E2" w14:textId="77777777" w:rsidR="00660AC6" w:rsidRDefault="0023687C">
            <w:pPr>
              <w:widowControl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忽略个体皮肤屏障差异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0E3" w14:textId="77777777" w:rsidR="00660AC6" w:rsidRDefault="0023687C">
            <w:pPr>
              <w:widowControl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敏感肌屏障受损者经皮吸收率显著上升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0E4" w14:textId="77777777" w:rsidR="00660AC6" w:rsidRDefault="0023687C">
            <w:pPr>
              <w:widowControl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低估生理易感人群暴露</w:t>
            </w:r>
          </w:p>
        </w:tc>
      </w:tr>
    </w:tbl>
    <w:p w14:paraId="524E70E6" w14:textId="77777777" w:rsidR="00660AC6" w:rsidRDefault="00660AC6">
      <w:pPr>
        <w:pStyle w:val="a3"/>
        <w:widowControl/>
        <w:shd w:val="clear" w:color="auto" w:fill="FFFFFF"/>
        <w:spacing w:line="4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</w:p>
    <w:p w14:paraId="524E70E7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b/>
          <w:bCs/>
          <w:color w:val="0F1115"/>
          <w:shd w:val="clear" w:color="auto" w:fill="FFFFFF"/>
        </w:rPr>
      </w:pPr>
      <w:r>
        <w:rPr>
          <w:rFonts w:ascii="楷体" w:eastAsia="楷体" w:hAnsi="楷体" w:cs="楷体"/>
          <w:b/>
          <w:bCs/>
          <w:color w:val="0F1115"/>
          <w:shd w:val="clear" w:color="auto" w:fill="FFFFFF"/>
        </w:rPr>
        <w:t>本方案的改进：概率化暴露分布建模</w:t>
      </w:r>
    </w:p>
    <w:p w14:paraId="524E70E8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/>
          <w:color w:val="0F1115"/>
          <w:shd w:val="clear" w:color="auto" w:fill="FFFFFF"/>
        </w:rPr>
        <w:t>将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CEL</w:t>
      </w:r>
      <w:r>
        <w:rPr>
          <w:rFonts w:ascii="楷体" w:eastAsia="楷体" w:hAnsi="楷体" w:cs="楷体"/>
          <w:color w:val="0F1115"/>
          <w:shd w:val="clear" w:color="auto" w:fill="FFFFFF"/>
        </w:rPr>
        <w:t>的输入参数由标量升级为概率分布，通过蒙特卡洛模拟（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Monte Carlo Simulation</w:t>
      </w:r>
      <w:r>
        <w:rPr>
          <w:rFonts w:ascii="楷体" w:eastAsia="楷体" w:hAnsi="楷体" w:cs="楷体"/>
          <w:color w:val="0F1115"/>
          <w:shd w:val="clear" w:color="auto" w:fill="FFFFFF"/>
        </w:rPr>
        <w:t>）输出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CEL</w:t>
      </w:r>
      <w:r>
        <w:rPr>
          <w:rFonts w:ascii="楷体" w:eastAsia="楷体" w:hAnsi="楷体" w:cs="楷体"/>
          <w:color w:val="0F1115"/>
          <w:shd w:val="clear" w:color="auto" w:fill="FFFFFF"/>
        </w:rPr>
        <w:t>的完整概率分布，并提取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P50/P90/P99</w:t>
      </w:r>
      <w:r>
        <w:rPr>
          <w:rFonts w:ascii="楷体" w:eastAsia="楷体" w:hAnsi="楷体" w:cs="楷体"/>
          <w:color w:val="0F1115"/>
          <w:shd w:val="clear" w:color="auto" w:fill="FFFFFF"/>
        </w:rPr>
        <w:t>分位值作为分级判据。</w:t>
      </w:r>
    </w:p>
    <w:tbl>
      <w:tblPr>
        <w:tblW w:w="9843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1911"/>
        <w:gridCol w:w="3021"/>
        <w:gridCol w:w="3366"/>
      </w:tblGrid>
      <w:tr w:rsidR="00660AC6" w14:paraId="524E70ED" w14:textId="77777777">
        <w:trPr>
          <w:cantSplit/>
          <w:trHeight w:val="1049"/>
          <w:jc w:val="center"/>
        </w:trPr>
        <w:tc>
          <w:tcPr>
            <w:tcW w:w="154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0E9" w14:textId="77777777" w:rsidR="00660AC6" w:rsidRDefault="0023687C">
            <w:pPr>
              <w:widowControl/>
              <w:spacing w:line="400" w:lineRule="exact"/>
              <w:jc w:val="center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参数</w:t>
            </w:r>
          </w:p>
        </w:tc>
        <w:tc>
          <w:tcPr>
            <w:tcW w:w="191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0EA" w14:textId="77777777" w:rsidR="00660AC6" w:rsidRDefault="0023687C">
            <w:pPr>
              <w:widowControl/>
              <w:spacing w:line="400" w:lineRule="exact"/>
              <w:jc w:val="left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传统点估计</w:t>
            </w:r>
          </w:p>
        </w:tc>
        <w:tc>
          <w:tcPr>
            <w:tcW w:w="302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0EB" w14:textId="77777777" w:rsidR="00660AC6" w:rsidRDefault="0023687C">
            <w:pPr>
              <w:widowControl/>
              <w:spacing w:line="400" w:lineRule="exact"/>
              <w:ind w:firstLineChars="100" w:firstLine="240"/>
              <w:jc w:val="center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本方案概率分布</w:t>
            </w:r>
          </w:p>
        </w:tc>
        <w:tc>
          <w:tcPr>
            <w:tcW w:w="336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0EC" w14:textId="77777777" w:rsidR="00660AC6" w:rsidRDefault="0023687C">
            <w:pPr>
              <w:widowControl/>
              <w:spacing w:line="400" w:lineRule="exact"/>
              <w:ind w:firstLineChars="100" w:firstLine="240"/>
              <w:jc w:val="center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分布选择依据</w:t>
            </w:r>
          </w:p>
        </w:tc>
      </w:tr>
      <w:tr w:rsidR="00660AC6" w14:paraId="524E70F2" w14:textId="77777777">
        <w:trPr>
          <w:cantSplit/>
          <w:trHeight w:val="23"/>
          <w:jc w:val="center"/>
        </w:trPr>
        <w:tc>
          <w:tcPr>
            <w:tcW w:w="15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0EE" w14:textId="77777777" w:rsidR="00660AC6" w:rsidRDefault="0023687C">
            <w:pPr>
              <w:widowControl/>
              <w:spacing w:line="400" w:lineRule="exact"/>
              <w:jc w:val="center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  <w:t xml:space="preserve"> </w:t>
            </w: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单次用量密度</w:t>
            </w:r>
            <w:r>
              <w:rPr>
                <w:rFonts w:ascii="Times New Roman" w:eastAsia="楷体" w:hAnsi="Times New Roman" w:cs="Times New Roman"/>
                <w:color w:val="0F1115"/>
                <w:sz w:val="24"/>
                <w:shd w:val="clear" w:color="auto" w:fill="FFFFFF"/>
              </w:rPr>
              <w:t>m</w:t>
            </w:r>
          </w:p>
        </w:tc>
        <w:tc>
          <w:tcPr>
            <w:tcW w:w="19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0EF" w14:textId="77777777" w:rsidR="00660AC6" w:rsidRDefault="0023687C">
            <w:pPr>
              <w:widowControl/>
              <w:spacing w:line="400" w:lineRule="exact"/>
              <w:jc w:val="center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Times New Roman" w:eastAsia="楷体" w:hAnsi="Times New Roman" w:cs="Times New Roman"/>
                <w:color w:val="0F1115"/>
                <w:sz w:val="24"/>
                <w:shd w:val="clear" w:color="auto" w:fill="FFFFFF"/>
              </w:rPr>
              <w:t>0.5mg/cm²</w:t>
            </w: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（定值）</w:t>
            </w:r>
          </w:p>
        </w:tc>
        <w:tc>
          <w:tcPr>
            <w:tcW w:w="30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0F0" w14:textId="77777777" w:rsidR="00660AC6" w:rsidRDefault="0023687C">
            <w:pPr>
              <w:widowControl/>
              <w:spacing w:line="400" w:lineRule="exact"/>
              <w:jc w:val="center"/>
              <w:rPr>
                <w:rFonts w:ascii="Times New Roman" w:eastAsia="楷体" w:hAnsi="Times New Roman" w:cs="Times New Roman"/>
                <w:color w:val="0F1115"/>
                <w:sz w:val="24"/>
                <w:shd w:val="clear" w:color="auto" w:fill="FFFFFF"/>
              </w:rPr>
            </w:pPr>
            <w:r>
              <w:rPr>
                <w:rFonts w:ascii="Times New Roman" w:eastAsia="楷体" w:hAnsi="Times New Roman" w:cs="Times New Roman"/>
                <w:color w:val="0F1115"/>
                <w:sz w:val="24"/>
                <w:shd w:val="clear" w:color="auto" w:fill="FFFFFF"/>
              </w:rPr>
              <w:t>Log-Normal(μ,σ)</w:t>
            </w:r>
            <w:r>
              <w:rPr>
                <w:rFonts w:ascii="Times New Roman" w:eastAsia="楷体" w:hAnsi="Times New Roman" w:cs="Times New Roman"/>
                <w:color w:val="0F1115"/>
                <w:sz w:val="24"/>
                <w:shd w:val="clear" w:color="auto" w:fill="FFFFFF"/>
              </w:rPr>
              <w:t>，</w:t>
            </w:r>
            <w:r>
              <w:rPr>
                <w:rFonts w:ascii="Times New Roman" w:eastAsia="楷体" w:hAnsi="Times New Roman" w:cs="Times New Roman"/>
                <w:color w:val="0F1115"/>
                <w:sz w:val="24"/>
                <w:shd w:val="clear" w:color="auto" w:fill="FFFFFF"/>
              </w:rPr>
              <w:t>CV≈0.4</w:t>
            </w:r>
          </w:p>
        </w:tc>
        <w:tc>
          <w:tcPr>
            <w:tcW w:w="33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0F1" w14:textId="77777777" w:rsidR="00660AC6" w:rsidRDefault="0023687C">
            <w:pPr>
              <w:widowControl/>
              <w:spacing w:line="400" w:lineRule="exact"/>
              <w:jc w:val="left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消费者用量类数据普遍呈右偏对数正态</w:t>
            </w:r>
          </w:p>
        </w:tc>
      </w:tr>
      <w:tr w:rsidR="00660AC6" w14:paraId="524E70F7" w14:textId="77777777">
        <w:trPr>
          <w:cantSplit/>
          <w:trHeight w:val="23"/>
          <w:jc w:val="center"/>
        </w:trPr>
        <w:tc>
          <w:tcPr>
            <w:tcW w:w="15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0F3" w14:textId="77777777" w:rsidR="00660AC6" w:rsidRDefault="0023687C">
            <w:pPr>
              <w:widowControl/>
              <w:spacing w:line="400" w:lineRule="exact"/>
              <w:jc w:val="center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  <w:t xml:space="preserve">  </w:t>
            </w: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涂抹面积</w:t>
            </w:r>
            <w:r>
              <w:rPr>
                <w:rFonts w:ascii="Times New Roman" w:eastAsia="楷体" w:hAnsi="Times New Roman" w:cs="Times New Roman"/>
                <w:color w:val="0F1115"/>
                <w:sz w:val="24"/>
                <w:shd w:val="clear" w:color="auto" w:fill="FFFFFF"/>
              </w:rPr>
              <w:t>A</w:t>
            </w:r>
          </w:p>
        </w:tc>
        <w:tc>
          <w:tcPr>
            <w:tcW w:w="19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0F4" w14:textId="77777777" w:rsidR="00660AC6" w:rsidRDefault="0023687C">
            <w:pPr>
              <w:widowControl/>
              <w:spacing w:line="400" w:lineRule="exact"/>
              <w:jc w:val="center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Times New Roman" w:eastAsia="楷体" w:hAnsi="Times New Roman" w:cs="Times New Roman"/>
                <w:color w:val="0F1115"/>
                <w:sz w:val="24"/>
                <w:shd w:val="clear" w:color="auto" w:fill="FFFFFF"/>
              </w:rPr>
              <w:t>100cm²</w:t>
            </w: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（定值）</w:t>
            </w:r>
          </w:p>
        </w:tc>
        <w:tc>
          <w:tcPr>
            <w:tcW w:w="30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0F5" w14:textId="77777777" w:rsidR="00660AC6" w:rsidRDefault="0023687C">
            <w:pPr>
              <w:widowControl/>
              <w:spacing w:line="400" w:lineRule="exact"/>
              <w:jc w:val="center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Times New Roman" w:eastAsia="楷体" w:hAnsi="Times New Roman" w:cs="Times New Roman"/>
                <w:color w:val="0F1115"/>
                <w:sz w:val="24"/>
                <w:shd w:val="clear" w:color="auto" w:fill="FFFFFF"/>
              </w:rPr>
              <w:t>Triangular</w:t>
            </w: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(50,100,200)</w:t>
            </w:r>
          </w:p>
        </w:tc>
        <w:tc>
          <w:tcPr>
            <w:tcW w:w="33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0F6" w14:textId="77777777" w:rsidR="00660AC6" w:rsidRDefault="0023687C">
            <w:pPr>
              <w:widowControl/>
              <w:spacing w:line="400" w:lineRule="exact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手腕/颈部/耳后多部位，</w:t>
            </w:r>
            <w:r>
              <w:rPr>
                <w:rFonts w:ascii="Times New Roman" w:eastAsia="楷体" w:hAnsi="Times New Roman" w:cs="Times New Roman"/>
                <w:color w:val="0F1115"/>
                <w:sz w:val="24"/>
                <w:shd w:val="clear" w:color="auto" w:fill="FFFFFF"/>
              </w:rPr>
              <w:t>IFRA</w:t>
            </w: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暴露情景经验上下界</w:t>
            </w:r>
          </w:p>
        </w:tc>
      </w:tr>
      <w:tr w:rsidR="00660AC6" w14:paraId="524E70FC" w14:textId="77777777">
        <w:trPr>
          <w:cantSplit/>
          <w:trHeight w:val="23"/>
          <w:jc w:val="center"/>
        </w:trPr>
        <w:tc>
          <w:tcPr>
            <w:tcW w:w="15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0F8" w14:textId="77777777" w:rsidR="00660AC6" w:rsidRDefault="0023687C">
            <w:pPr>
              <w:widowControl/>
              <w:spacing w:line="400" w:lineRule="exact"/>
              <w:jc w:val="center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日使用</w:t>
            </w:r>
            <w:r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  <w:t xml:space="preserve">   </w:t>
            </w: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频率</w:t>
            </w:r>
            <w:r>
              <w:rPr>
                <w:rFonts w:ascii="Times New Roman" w:eastAsia="楷体" w:hAnsi="Times New Roman" w:cs="Times New Roman"/>
                <w:color w:val="0F1115"/>
                <w:sz w:val="24"/>
                <w:shd w:val="clear" w:color="auto" w:fill="FFFFFF"/>
              </w:rPr>
              <w:t>f</w:t>
            </w:r>
          </w:p>
        </w:tc>
        <w:tc>
          <w:tcPr>
            <w:tcW w:w="19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0F9" w14:textId="77777777" w:rsidR="00660AC6" w:rsidRDefault="0023687C">
            <w:pPr>
              <w:widowControl/>
              <w:spacing w:line="400" w:lineRule="exact"/>
              <w:jc w:val="center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Times New Roman" w:eastAsia="楷体" w:hAnsi="Times New Roman" w:cs="Times New Roman"/>
                <w:color w:val="0F1115"/>
                <w:sz w:val="24"/>
                <w:shd w:val="clear" w:color="auto" w:fill="FFFFFF"/>
              </w:rPr>
              <w:t>2</w:t>
            </w: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次（定值）</w:t>
            </w:r>
          </w:p>
        </w:tc>
        <w:tc>
          <w:tcPr>
            <w:tcW w:w="30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0FA" w14:textId="77777777" w:rsidR="00660AC6" w:rsidRDefault="0023687C">
            <w:pPr>
              <w:widowControl/>
              <w:spacing w:line="400" w:lineRule="exact"/>
              <w:jc w:val="left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离散经验分布</w:t>
            </w:r>
            <w:r>
              <w:rPr>
                <w:rFonts w:ascii="Times New Roman" w:eastAsia="楷体" w:hAnsi="Times New Roman" w:cs="Times New Roman"/>
                <w:color w:val="0F1115"/>
                <w:sz w:val="24"/>
                <w:shd w:val="clear" w:color="auto" w:fill="FFFFFF"/>
              </w:rPr>
              <w:t>{1:0.50, 2:0.35, 3:0.15}</w:t>
            </w:r>
          </w:p>
        </w:tc>
        <w:tc>
          <w:tcPr>
            <w:tcW w:w="33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0FB" w14:textId="77777777" w:rsidR="00660AC6" w:rsidRDefault="0023687C">
            <w:pPr>
              <w:widowControl/>
              <w:spacing w:line="400" w:lineRule="exact"/>
              <w:jc w:val="left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服从问卷与使用场景统计</w:t>
            </w:r>
          </w:p>
        </w:tc>
      </w:tr>
      <w:tr w:rsidR="00660AC6" w14:paraId="524E7101" w14:textId="77777777">
        <w:trPr>
          <w:cantSplit/>
          <w:trHeight w:val="23"/>
          <w:jc w:val="center"/>
        </w:trPr>
        <w:tc>
          <w:tcPr>
            <w:tcW w:w="15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0FD" w14:textId="77777777" w:rsidR="00660AC6" w:rsidRDefault="0023687C">
            <w:pPr>
              <w:widowControl/>
              <w:spacing w:line="400" w:lineRule="exact"/>
              <w:jc w:val="center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  <w:t xml:space="preserve">  </w:t>
            </w: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成分浓度</w:t>
            </w:r>
            <w:r>
              <w:rPr>
                <w:rFonts w:ascii="Times New Roman" w:eastAsia="楷体" w:hAnsi="Times New Roman" w:cs="Times New Roman"/>
                <w:color w:val="0F1115"/>
                <w:sz w:val="24"/>
                <w:shd w:val="clear" w:color="auto" w:fill="FFFFFF"/>
              </w:rPr>
              <w:t>c</w:t>
            </w:r>
          </w:p>
        </w:tc>
        <w:tc>
          <w:tcPr>
            <w:tcW w:w="19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0FE" w14:textId="77777777" w:rsidR="00660AC6" w:rsidRDefault="0023687C">
            <w:pPr>
              <w:widowControl/>
              <w:spacing w:line="400" w:lineRule="exact"/>
              <w:jc w:val="center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Times New Roman" w:eastAsia="楷体" w:hAnsi="Times New Roman" w:cs="Times New Roman"/>
                <w:color w:val="0F1115"/>
                <w:sz w:val="24"/>
                <w:shd w:val="clear" w:color="auto" w:fill="FFFFFF"/>
              </w:rPr>
              <w:t>5%</w:t>
            </w: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（定值）</w:t>
            </w:r>
          </w:p>
        </w:tc>
        <w:tc>
          <w:tcPr>
            <w:tcW w:w="30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0FF" w14:textId="77777777" w:rsidR="00660AC6" w:rsidRDefault="0023687C">
            <w:pPr>
              <w:widowControl/>
              <w:spacing w:line="400" w:lineRule="exact"/>
              <w:jc w:val="center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Times New Roman" w:eastAsia="楷体" w:hAnsi="Times New Roman" w:cs="Times New Roman"/>
                <w:color w:val="0F1115"/>
                <w:sz w:val="24"/>
                <w:shd w:val="clear" w:color="auto" w:fill="FFFFFF"/>
              </w:rPr>
              <w:t>Uniform(0.8c₀, 1.2c₀)</w:t>
            </w:r>
          </w:p>
        </w:tc>
        <w:tc>
          <w:tcPr>
            <w:tcW w:w="33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100" w14:textId="77777777" w:rsidR="00660AC6" w:rsidRDefault="0023687C">
            <w:pPr>
              <w:widowControl/>
              <w:spacing w:line="400" w:lineRule="exact"/>
              <w:jc w:val="left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覆盖配方批次波动与解析误差</w:t>
            </w:r>
          </w:p>
        </w:tc>
      </w:tr>
      <w:tr w:rsidR="00660AC6" w14:paraId="524E7106" w14:textId="77777777">
        <w:trPr>
          <w:cantSplit/>
          <w:trHeight w:val="23"/>
          <w:jc w:val="center"/>
        </w:trPr>
        <w:tc>
          <w:tcPr>
            <w:tcW w:w="15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102" w14:textId="77777777" w:rsidR="00660AC6" w:rsidRDefault="0023687C">
            <w:pPr>
              <w:widowControl/>
              <w:spacing w:line="400" w:lineRule="exact"/>
              <w:ind w:leftChars="114" w:left="239"/>
              <w:jc w:val="center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吸收/驻留因子</w:t>
            </w:r>
            <w:r>
              <w:rPr>
                <w:rFonts w:ascii="Times New Roman" w:eastAsia="楷体" w:hAnsi="Times New Roman" w:cs="Times New Roman"/>
                <w:color w:val="0F1115"/>
                <w:sz w:val="24"/>
                <w:shd w:val="clear" w:color="auto" w:fill="FFFFFF"/>
              </w:rPr>
              <w:t>η</w:t>
            </w:r>
          </w:p>
        </w:tc>
        <w:tc>
          <w:tcPr>
            <w:tcW w:w="19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03" w14:textId="77777777" w:rsidR="00660AC6" w:rsidRDefault="0023687C">
            <w:pPr>
              <w:widowControl/>
              <w:spacing w:line="400" w:lineRule="exact"/>
              <w:jc w:val="center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Times New Roman" w:eastAsia="楷体" w:hAnsi="Times New Roman" w:cs="Times New Roman"/>
                <w:color w:val="0F1115"/>
                <w:sz w:val="24"/>
                <w:shd w:val="clear" w:color="auto" w:fill="FFFFFF"/>
              </w:rPr>
              <w:t>1.0</w:t>
            </w: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（保守定值）</w:t>
            </w:r>
          </w:p>
        </w:tc>
        <w:tc>
          <w:tcPr>
            <w:tcW w:w="30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04" w14:textId="77777777" w:rsidR="00660AC6" w:rsidRDefault="0023687C">
            <w:pPr>
              <w:widowControl/>
              <w:spacing w:line="400" w:lineRule="exact"/>
              <w:jc w:val="center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Times New Roman" w:eastAsia="楷体" w:hAnsi="Times New Roman" w:cs="Times New Roman"/>
                <w:color w:val="0F1115"/>
                <w:sz w:val="24"/>
                <w:shd w:val="clear" w:color="auto" w:fill="FFFFFF"/>
              </w:rPr>
              <w:t>Beta</w:t>
            </w: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分布</w:t>
            </w:r>
          </w:p>
        </w:tc>
        <w:tc>
          <w:tcPr>
            <w:tcW w:w="33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105" w14:textId="77777777" w:rsidR="00660AC6" w:rsidRDefault="0023687C">
            <w:pPr>
              <w:widowControl/>
              <w:spacing w:line="400" w:lineRule="exact"/>
              <w:jc w:val="left"/>
              <w:rPr>
                <w:rFonts w:ascii="楷体" w:eastAsia="楷体" w:hAnsi="楷体" w:cs="楷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z w:val="24"/>
                <w:shd w:val="clear" w:color="auto" w:fill="FFFFFF"/>
              </w:rPr>
              <w:t>保守兜底，避免双低估</w:t>
            </w:r>
          </w:p>
        </w:tc>
      </w:tr>
    </w:tbl>
    <w:p w14:paraId="524E7107" w14:textId="77777777" w:rsidR="00660AC6" w:rsidRDefault="00660AC6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</w:p>
    <w:p w14:paraId="524E7108" w14:textId="77777777" w:rsidR="00660AC6" w:rsidRDefault="00660AC6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</w:p>
    <w:p w14:paraId="524E7109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b/>
          <w:bCs/>
          <w:color w:val="0F1115"/>
          <w:shd w:val="clear" w:color="auto" w:fill="FFFFFF"/>
        </w:rPr>
      </w:pPr>
      <w:r>
        <w:rPr>
          <w:rFonts w:ascii="楷体" w:eastAsia="楷体" w:hAnsi="楷体" w:cs="楷体"/>
          <w:b/>
          <w:bCs/>
          <w:color w:val="0F1115"/>
          <w:shd w:val="clear" w:color="auto" w:fill="FFFFFF"/>
        </w:rPr>
        <w:lastRenderedPageBreak/>
        <w:t>模拟流程（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N = 10,000</w:t>
      </w:r>
      <w:r>
        <w:rPr>
          <w:rFonts w:ascii="楷体" w:eastAsia="楷体" w:hAnsi="楷体" w:cs="楷体"/>
          <w:b/>
          <w:bCs/>
          <w:color w:val="0F1115"/>
          <w:shd w:val="clear" w:color="auto" w:fill="FFFFFF"/>
        </w:rPr>
        <w:t>次迭代）：</w:t>
      </w:r>
    </w:p>
    <w:p w14:paraId="524E710A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 w:hint="eastAsia"/>
          <w:color w:val="0F1115"/>
          <w:shd w:val="clear" w:color="auto" w:fill="FFFFFF"/>
        </w:rPr>
        <w:t>1.</w:t>
      </w:r>
      <w:r>
        <w:rPr>
          <w:rFonts w:ascii="楷体" w:eastAsia="楷体" w:hAnsi="楷体" w:cs="楷体"/>
          <w:color w:val="0F1115"/>
          <w:shd w:val="clear" w:color="auto" w:fill="FFFFFF"/>
        </w:rPr>
        <w:t>参数化：依据产品类别（驻留型/冲洗型）加载对应分布族与超参</w:t>
      </w:r>
    </w:p>
    <w:p w14:paraId="524E710B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 w:hint="eastAsia"/>
          <w:color w:val="0F1115"/>
          <w:shd w:val="clear" w:color="auto" w:fill="FFFFFF"/>
        </w:rPr>
        <w:t>2.</w:t>
      </w:r>
      <w:r>
        <w:rPr>
          <w:rFonts w:ascii="楷体" w:eastAsia="楷体" w:hAnsi="楷体" w:cs="楷体"/>
          <w:color w:val="0F1115"/>
          <w:shd w:val="clear" w:color="auto" w:fill="FFFFFF"/>
        </w:rPr>
        <w:t>抽样：采用拉丁超立方抽样（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LHS</w:t>
      </w:r>
      <w:r>
        <w:rPr>
          <w:rFonts w:ascii="楷体" w:eastAsia="楷体" w:hAnsi="楷体" w:cs="楷体"/>
          <w:color w:val="0F1115"/>
          <w:shd w:val="clear" w:color="auto" w:fill="FFFFFF"/>
        </w:rPr>
        <w:t>）替代简单随机抽样，在小样本下即可获得更稳定的尾部估计</w:t>
      </w:r>
    </w:p>
    <w:p w14:paraId="524E710C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Times New Roman" w:eastAsia="楷体" w:hAnsi="Times New Roman" w:cs="Times New Roman"/>
          <w:color w:val="0F1115"/>
          <w:shd w:val="clear" w:color="auto" w:fill="FFFFFF"/>
        </w:rPr>
      </w:pPr>
      <w:r>
        <w:rPr>
          <w:rFonts w:ascii="楷体" w:eastAsia="楷体" w:hAnsi="楷体" w:cs="楷体" w:hint="eastAsia"/>
          <w:color w:val="0F1115"/>
          <w:shd w:val="clear" w:color="auto" w:fill="FFFFFF"/>
        </w:rPr>
        <w:t>3.</w:t>
      </w:r>
      <w:r>
        <w:rPr>
          <w:rFonts w:ascii="楷体" w:eastAsia="楷体" w:hAnsi="楷体" w:cs="楷体"/>
          <w:color w:val="0F1115"/>
          <w:shd w:val="clear" w:color="auto" w:fill="FFFFFF"/>
        </w:rPr>
        <w:t xml:space="preserve">逐次求解：对第i组抽样参数计算 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CEL_i = c_i × m_i × A_i × f_i × η_i</w:t>
      </w:r>
    </w:p>
    <w:p w14:paraId="524E710D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 w:hint="eastAsia"/>
          <w:color w:val="0F1115"/>
          <w:shd w:val="clear" w:color="auto" w:fill="FFFFFF"/>
        </w:rPr>
        <w:t>4.</w:t>
      </w:r>
      <w:r>
        <w:rPr>
          <w:rFonts w:ascii="楷体" w:eastAsia="楷体" w:hAnsi="楷体" w:cs="楷体"/>
          <w:color w:val="0F1115"/>
          <w:shd w:val="clear" w:color="auto" w:fill="FFFFFF"/>
        </w:rPr>
        <w:t>分位提取：对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{CEL_i}</w:t>
      </w:r>
      <w:r>
        <w:rPr>
          <w:rFonts w:ascii="楷体" w:eastAsia="楷体" w:hAnsi="楷体" w:cs="楷体"/>
          <w:color w:val="0F1115"/>
          <w:shd w:val="clear" w:color="auto" w:fill="FFFFFF"/>
        </w:rPr>
        <w:t>排序，输出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CEL_P50</w:t>
      </w:r>
      <w:r>
        <w:rPr>
          <w:rFonts w:ascii="楷体" w:eastAsia="楷体" w:hAnsi="楷体" w:cs="楷体"/>
          <w:color w:val="0F1115"/>
          <w:shd w:val="clear" w:color="auto" w:fill="FFFFFF"/>
        </w:rPr>
        <w:t>（典型暴露）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/CEL_P90</w:t>
      </w:r>
      <w:r>
        <w:rPr>
          <w:rFonts w:ascii="楷体" w:eastAsia="楷体" w:hAnsi="楷体" w:cs="楷体"/>
          <w:color w:val="0F1115"/>
          <w:shd w:val="clear" w:color="auto" w:fill="FFFFFF"/>
        </w:rPr>
        <w:t>（高暴露人群）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/CEL_P99</w:t>
      </w:r>
      <w:r>
        <w:rPr>
          <w:rFonts w:ascii="楷体" w:eastAsia="楷体" w:hAnsi="楷体" w:cs="楷体"/>
          <w:color w:val="0F1115"/>
          <w:shd w:val="clear" w:color="auto" w:fill="FFFFFF"/>
        </w:rPr>
        <w:t>（极端尾部），并固定随机种子以保证结果可复算</w:t>
      </w:r>
    </w:p>
    <w:p w14:paraId="524E710E" w14:textId="77777777" w:rsidR="00660AC6" w:rsidRDefault="00660AC6">
      <w:pPr>
        <w:pStyle w:val="a3"/>
        <w:widowControl/>
        <w:shd w:val="clear" w:color="auto" w:fill="FFFFFF"/>
        <w:spacing w:line="4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</w:p>
    <w:p w14:paraId="524E710F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/>
          <w:color w:val="0F1115"/>
          <w:shd w:val="clear" w:color="auto" w:fill="FFFFFF"/>
        </w:rPr>
        <w:t>判定规则升级：以分位数替代单点</w:t>
      </w:r>
    </w:p>
    <w:tbl>
      <w:tblPr>
        <w:tblW w:w="928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4"/>
        <w:gridCol w:w="3550"/>
        <w:gridCol w:w="2722"/>
      </w:tblGrid>
      <w:tr w:rsidR="00660AC6" w14:paraId="524E7113" w14:textId="77777777">
        <w:trPr>
          <w:tblHeader/>
          <w:jc w:val="center"/>
        </w:trPr>
        <w:tc>
          <w:tcPr>
            <w:tcW w:w="301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110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判据（以</w:t>
            </w: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>AEL</w:t>
            </w: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为分子）</w:t>
            </w:r>
          </w:p>
        </w:tc>
        <w:tc>
          <w:tcPr>
            <w:tcW w:w="355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11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毒理学含义</w:t>
            </w:r>
          </w:p>
        </w:tc>
        <w:tc>
          <w:tcPr>
            <w:tcW w:w="272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12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系统处置</w:t>
            </w:r>
          </w:p>
        </w:tc>
      </w:tr>
      <w:tr w:rsidR="00660AC6" w14:paraId="524E7117" w14:textId="77777777">
        <w:trPr>
          <w:jc w:val="center"/>
        </w:trPr>
        <w:tc>
          <w:tcPr>
            <w:tcW w:w="30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114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>AEL/CEL_P50 ≥ 1</w:t>
            </w:r>
          </w:p>
        </w:tc>
        <w:tc>
          <w:tcPr>
            <w:tcW w:w="35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15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典型消费者安全</w:t>
            </w:r>
          </w:p>
        </w:tc>
        <w:tc>
          <w:tcPr>
            <w:tcW w:w="27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116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绿灯</w:t>
            </w:r>
          </w:p>
        </w:tc>
      </w:tr>
      <w:tr w:rsidR="00660AC6" w14:paraId="524E711B" w14:textId="77777777">
        <w:trPr>
          <w:jc w:val="center"/>
        </w:trPr>
        <w:tc>
          <w:tcPr>
            <w:tcW w:w="30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118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>AEL/CEL_P90 ≥ 1</w:t>
            </w:r>
          </w:p>
        </w:tc>
        <w:tc>
          <w:tcPr>
            <w:tcW w:w="35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19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>90%</w:t>
            </w: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消费者安全</w:t>
            </w:r>
          </w:p>
        </w:tc>
        <w:tc>
          <w:tcPr>
            <w:tcW w:w="27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11A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绿灯（附用量建议）</w:t>
            </w:r>
          </w:p>
        </w:tc>
      </w:tr>
      <w:tr w:rsidR="00660AC6" w14:paraId="524E711F" w14:textId="77777777">
        <w:trPr>
          <w:jc w:val="center"/>
        </w:trPr>
        <w:tc>
          <w:tcPr>
            <w:tcW w:w="30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11C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>AEL/CEL_P90 &lt; 1</w:t>
            </w:r>
          </w:p>
        </w:tc>
        <w:tc>
          <w:tcPr>
            <w:tcW w:w="35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1D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约</w:t>
            </w: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>10%</w:t>
            </w: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消费者暴露超标</w:t>
            </w:r>
          </w:p>
        </w:tc>
        <w:tc>
          <w:tcPr>
            <w:tcW w:w="27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11E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黄灯</w:t>
            </w: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> →</w:t>
            </w: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 xml:space="preserve"> 推送“减半用量/隔日使用”干预</w:t>
            </w:r>
          </w:p>
        </w:tc>
      </w:tr>
      <w:tr w:rsidR="00660AC6" w14:paraId="524E7123" w14:textId="77777777">
        <w:trPr>
          <w:jc w:val="center"/>
        </w:trPr>
        <w:tc>
          <w:tcPr>
            <w:tcW w:w="30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120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>AEL/CEL_P99 &lt; 1</w:t>
            </w:r>
          </w:p>
        </w:tc>
        <w:tc>
          <w:tcPr>
            <w:tcW w:w="35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21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存在极端暴露尾部风险</w:t>
            </w:r>
          </w:p>
        </w:tc>
        <w:tc>
          <w:tcPr>
            <w:tcW w:w="27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122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红灯</w:t>
            </w: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 xml:space="preserve"> → </w:t>
            </w: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建议敏感肌、孕妇避免使用</w:t>
            </w:r>
          </w:p>
        </w:tc>
      </w:tr>
    </w:tbl>
    <w:p w14:paraId="524E7124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/>
          <w:color w:val="0F1115"/>
          <w:shd w:val="clear" w:color="auto" w:fill="FFFFFF"/>
        </w:rPr>
        <w:t>保守化原则：对健康成人以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P90</w:t>
      </w:r>
      <w:r>
        <w:rPr>
          <w:rFonts w:ascii="楷体" w:eastAsia="楷体" w:hAnsi="楷体" w:cs="楷体"/>
          <w:color w:val="0F1115"/>
          <w:shd w:val="clear" w:color="auto" w:fill="FFFFFF"/>
        </w:rPr>
        <w:t>为判定基准；对敏感肌、孕妇、失嗅人群自动提升至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P99</w:t>
      </w:r>
      <w:r>
        <w:rPr>
          <w:rFonts w:ascii="楷体" w:eastAsia="楷体" w:hAnsi="楷体" w:cs="楷体"/>
          <w:color w:val="0F1115"/>
          <w:shd w:val="clear" w:color="auto" w:fill="FFFFFF"/>
        </w:rPr>
        <w:t>，即“最脆弱的人，用最保守的分位线保护”。</w:t>
      </w:r>
    </w:p>
    <w:p w14:paraId="524E7125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/>
          <w:color w:val="0F1115"/>
          <w:shd w:val="clear" w:color="auto" w:fill="FFFFFF"/>
        </w:rPr>
        <w:t>概率化带来的决策增量（示例） </w:t>
      </w:r>
    </w:p>
    <w:p w14:paraId="524E7126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/>
          <w:color w:val="0F1115"/>
          <w:shd w:val="clear" w:color="auto" w:fill="FFFFFF"/>
        </w:rPr>
        <w:t>沿用前例参数，当某强致敏原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AEL = 10μg/cm²/day</w:t>
      </w:r>
      <w:r>
        <w:rPr>
          <w:rFonts w:ascii="楷体" w:eastAsia="楷体" w:hAnsi="楷体" w:cs="楷体"/>
          <w:color w:val="0F1115"/>
          <w:shd w:val="clear" w:color="auto" w:fill="FFFFFF"/>
        </w:rPr>
        <w:t>时：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934"/>
        <w:gridCol w:w="1467"/>
        <w:gridCol w:w="2246"/>
      </w:tblGrid>
      <w:tr w:rsidR="00660AC6" w14:paraId="524E712B" w14:textId="77777777">
        <w:trPr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127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  <w:t xml:space="preserve"> </w:t>
            </w: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评估方式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28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</w:pP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>CEL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29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</w:pP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>AEL/CEL</w:t>
            </w:r>
          </w:p>
        </w:tc>
        <w:tc>
          <w:tcPr>
            <w:tcW w:w="224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2A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结论</w:t>
            </w:r>
          </w:p>
        </w:tc>
      </w:tr>
      <w:tr w:rsidR="00660AC6" w14:paraId="524E7130" w14:textId="7777777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12C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  <w:t xml:space="preserve">  </w:t>
            </w: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传统点估计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2D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</w:pP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2E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</w:pP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>2.00</w:t>
            </w:r>
          </w:p>
        </w:tc>
        <w:tc>
          <w:tcPr>
            <w:tcW w:w="22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12F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“安全”</w:t>
            </w:r>
          </w:p>
        </w:tc>
      </w:tr>
      <w:tr w:rsidR="00660AC6" w14:paraId="524E7135" w14:textId="7777777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131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</w:pPr>
            <w:r>
              <w:rPr>
                <w:rFonts w:ascii="Times New Roman" w:eastAsia="楷体" w:hAnsi="Times New Roman" w:cs="Times New Roman" w:hint="eastAsia"/>
                <w:color w:val="0F1115"/>
                <w:shd w:val="clear" w:color="auto" w:fill="FFFFFF"/>
              </w:rPr>
              <w:t xml:space="preserve">  </w:t>
            </w: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>概率化</w:t>
            </w: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 xml:space="preserve"> P50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32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</w:pP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33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</w:pP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>2.44</w:t>
            </w:r>
          </w:p>
        </w:tc>
        <w:tc>
          <w:tcPr>
            <w:tcW w:w="22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134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安全</w:t>
            </w:r>
          </w:p>
        </w:tc>
      </w:tr>
      <w:tr w:rsidR="00660AC6" w14:paraId="524E713A" w14:textId="7777777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136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ind w:firstLineChars="100" w:firstLine="240"/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</w:pP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lastRenderedPageBreak/>
              <w:t>概率化</w:t>
            </w: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 xml:space="preserve"> P90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37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</w:pP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>8.7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38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</w:pP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>1.15</w:t>
            </w:r>
          </w:p>
        </w:tc>
        <w:tc>
          <w:tcPr>
            <w:tcW w:w="22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139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安全</w:t>
            </w:r>
          </w:p>
        </w:tc>
      </w:tr>
      <w:tr w:rsidR="00660AC6" w14:paraId="524E713F" w14:textId="7777777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13B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ind w:firstLineChars="100" w:firstLine="240"/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</w:pP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>概率化</w:t>
            </w: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 xml:space="preserve"> P99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3C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</w:pP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>13.2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3D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</w:pP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>0.76</w:t>
            </w:r>
          </w:p>
        </w:tc>
        <w:tc>
          <w:tcPr>
            <w:tcW w:w="22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13E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约</w:t>
            </w: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>1%</w:t>
            </w: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的高用量消费者存在致敏风险</w:t>
            </w:r>
          </w:p>
        </w:tc>
      </w:tr>
    </w:tbl>
    <w:p w14:paraId="524E7140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/>
          <w:color w:val="0F1115"/>
          <w:shd w:val="clear" w:color="auto" w:fill="FFFFFF"/>
        </w:rPr>
        <w:t>这个差值就是本模块的价值：点估计给出的是“平均人的安全幻觉”，而概率化模型第一次让系统看见了被平均掉的那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1%</w:t>
      </w:r>
      <w:r>
        <w:rPr>
          <w:rFonts w:ascii="楷体" w:eastAsia="楷体" w:hAnsi="楷体" w:cs="楷体"/>
          <w:color w:val="0F1115"/>
          <w:shd w:val="clear" w:color="auto" w:fill="FFFFFF"/>
        </w:rPr>
        <w:t>的人——他们往往正是补喷频繁、用量偏大、因而最需要被提醒的人。 </w:t>
      </w:r>
    </w:p>
    <w:p w14:paraId="524E7141" w14:textId="77777777" w:rsidR="00660AC6" w:rsidRDefault="00660AC6">
      <w:pPr>
        <w:pStyle w:val="a3"/>
        <w:widowControl/>
        <w:shd w:val="clear" w:color="auto" w:fill="FFFFFF"/>
        <w:spacing w:line="4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</w:p>
    <w:p w14:paraId="524E7142" w14:textId="77777777" w:rsidR="00660AC6" w:rsidRDefault="0023687C">
      <w:pPr>
        <w:pStyle w:val="a3"/>
        <w:widowControl/>
        <w:numPr>
          <w:ilvl w:val="0"/>
          <w:numId w:val="2"/>
        </w:numPr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/>
          <w:color w:val="0F1115"/>
          <w:shd w:val="clear" w:color="auto" w:fill="FFFFFF"/>
        </w:rPr>
        <w:t>前瞻设计：聚合暴露（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Aggregate Exposure</w:t>
      </w:r>
      <w:r>
        <w:rPr>
          <w:rFonts w:ascii="楷体" w:eastAsia="楷体" w:hAnsi="楷体" w:cs="楷体"/>
          <w:color w:val="0F1115"/>
          <w:shd w:val="clear" w:color="auto" w:fill="FFFFFF"/>
        </w:rPr>
        <w:t>）预留接口</w:t>
      </w:r>
    </w:p>
    <w:p w14:paraId="524E7143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/>
          <w:color w:val="0F1115"/>
          <w:shd w:val="clear" w:color="auto" w:fill="FFFFFF"/>
        </w:rPr>
        <w:t>香水从来不是孤立暴露源。同一香型的沐浴露、身体乳、洗发水、止汗露往往共享同一香精配方，构成对同一致敏原的多源叠加暴露。欧盟消费品科学委员会（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SCCS</w:t>
      </w:r>
      <w:r>
        <w:rPr>
          <w:rFonts w:ascii="楷体" w:eastAsia="楷体" w:hAnsi="楷体" w:cs="楷体"/>
          <w:color w:val="0F1115"/>
          <w:shd w:val="clear" w:color="auto" w:fill="FFFFFF"/>
        </w:rPr>
        <w:t>）在其《化妆品成分测试与安全评估指南》中持续强调聚合暴露评估的重要性，这也是当前监管审查的明确趋势。</w:t>
      </w:r>
    </w:p>
    <w:p w14:paraId="524E7144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/>
          <w:color w:val="0F1115"/>
          <w:shd w:val="clear" w:color="auto" w:fill="FFFFFF"/>
        </w:rPr>
        <w:t>本方案在架构层面而非仅概念层面预留该能力：</w:t>
      </w:r>
    </w:p>
    <w:p w14:paraId="524E7145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Times New Roman" w:eastAsia="楷体" w:hAnsi="Times New Roman" w:cs="Times New Roman"/>
          <w:color w:val="0F1115"/>
          <w:shd w:val="clear" w:color="auto" w:fill="FFFFFF"/>
        </w:rPr>
      </w:pPr>
      <w:r>
        <w:rPr>
          <w:rFonts w:ascii="Times New Roman" w:eastAsia="楷体" w:hAnsi="Times New Roman" w:cs="Times New Roman"/>
          <w:color w:val="0F1115"/>
          <w:shd w:val="clear" w:color="auto" w:fill="FFFFFF"/>
        </w:rPr>
        <w:t>CEL_total = Σ(CEL × w)</w:t>
      </w:r>
    </w:p>
    <w:tbl>
      <w:tblPr>
        <w:tblW w:w="86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4083"/>
        <w:gridCol w:w="2681"/>
      </w:tblGrid>
      <w:tr w:rsidR="00660AC6" w14:paraId="524E7149" w14:textId="77777777">
        <w:tc>
          <w:tcPr>
            <w:tcW w:w="187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146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设计要素</w:t>
            </w:r>
          </w:p>
        </w:tc>
        <w:tc>
          <w:tcPr>
            <w:tcW w:w="408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47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实现方式</w:t>
            </w:r>
          </w:p>
        </w:tc>
        <w:tc>
          <w:tcPr>
            <w:tcW w:w="268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48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当前状态</w:t>
            </w:r>
          </w:p>
        </w:tc>
      </w:tr>
      <w:tr w:rsidR="00660AC6" w14:paraId="524E714D" w14:textId="77777777">
        <w:tc>
          <w:tcPr>
            <w:tcW w:w="18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14A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  <w:t xml:space="preserve"> </w:t>
            </w: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香型谱系字段</w:t>
            </w:r>
          </w:p>
        </w:tc>
        <w:tc>
          <w:tcPr>
            <w:tcW w:w="40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4B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数据库</w:t>
            </w: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>product</w:t>
            </w: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表预留</w:t>
            </w: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>scent_lineage</w:t>
            </w: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字段，标记同香型产品族</w:t>
            </w:r>
          </w:p>
        </w:tc>
        <w:tc>
          <w:tcPr>
            <w:tcW w:w="26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14C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已建表</w:t>
            </w:r>
          </w:p>
        </w:tc>
      </w:tr>
      <w:tr w:rsidR="00660AC6" w14:paraId="524E7151" w14:textId="77777777">
        <w:tc>
          <w:tcPr>
            <w:tcW w:w="18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14E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  <w:t xml:space="preserve"> </w:t>
            </w: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共暴露权重</w:t>
            </w: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>w</w:t>
            </w:r>
          </w:p>
        </w:tc>
        <w:tc>
          <w:tcPr>
            <w:tcW w:w="40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4F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依据品类共使用场景设定（如身体乳</w:t>
            </w: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>w=0.8</w:t>
            </w: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>，</w:t>
            </w: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洗发水</w:t>
            </w: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>w=0.3</w:t>
            </w: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，冲洗型折减）</w:t>
            </w:r>
          </w:p>
        </w:tc>
        <w:tc>
          <w:tcPr>
            <w:tcW w:w="26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150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默认</w:t>
            </w: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>1.0</w:t>
            </w: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>（</w:t>
            </w: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单点模式）</w:t>
            </w:r>
          </w:p>
        </w:tc>
      </w:tr>
      <w:tr w:rsidR="00660AC6" w14:paraId="524E7155" w14:textId="77777777">
        <w:tc>
          <w:tcPr>
            <w:tcW w:w="18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152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  <w:t xml:space="preserve"> </w:t>
            </w: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聚合暴露接口</w:t>
            </w:r>
          </w:p>
        </w:tc>
        <w:tc>
          <w:tcPr>
            <w:tcW w:w="40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53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</w:pP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>calc_aggregate_exposure(cas, user_product_set)</w:t>
            </w:r>
          </w:p>
        </w:tc>
        <w:tc>
          <w:tcPr>
            <w:tcW w:w="26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154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>Stub</w:t>
            </w: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已实现，返回单点</w:t>
            </w: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>CEL</w:t>
            </w: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；数据完备后开关切换</w:t>
            </w:r>
          </w:p>
        </w:tc>
      </w:tr>
      <w:tr w:rsidR="00660AC6" w14:paraId="524E7159" w14:textId="77777777">
        <w:tc>
          <w:tcPr>
            <w:tcW w:w="18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156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lastRenderedPageBreak/>
              <w:t>输出兼容</w:t>
            </w:r>
          </w:p>
        </w:tc>
        <w:tc>
          <w:tcPr>
            <w:tcW w:w="40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57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聚合</w:t>
            </w: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>CEL</w:t>
            </w: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直接接入蒙特卡洛管线，复用</w:t>
            </w: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>P90/P99</w:t>
            </w: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判据</w:t>
            </w:r>
          </w:p>
        </w:tc>
        <w:tc>
          <w:tcPr>
            <w:tcW w:w="26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158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已对齐</w:t>
            </w:r>
          </w:p>
        </w:tc>
      </w:tr>
    </w:tbl>
    <w:p w14:paraId="524E715A" w14:textId="77777777" w:rsidR="00660AC6" w:rsidRDefault="0023687C">
      <w:pPr>
        <w:pStyle w:val="a3"/>
        <w:widowControl/>
        <w:shd w:val="clear" w:color="auto" w:fill="FFFFFF"/>
        <w:spacing w:line="500" w:lineRule="exact"/>
        <w:jc w:val="center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/>
          <w:color w:val="0F1115"/>
          <w:shd w:val="clear" w:color="auto" w:fill="FFFFFF"/>
        </w:rPr>
        <w:t>工程价值：接口先落地、算法后填充。这意味着未来接入聚合数据无需重构风险评估主干——对评委而言，这是一个“想清楚了三年后监管要求”的架构信号。</w:t>
      </w:r>
    </w:p>
    <w:p w14:paraId="524E715B" w14:textId="77777777" w:rsidR="00660AC6" w:rsidRDefault="00660AC6">
      <w:pPr>
        <w:pStyle w:val="a3"/>
        <w:widowControl/>
        <w:shd w:val="clear" w:color="auto" w:fill="FFFFFF"/>
        <w:spacing w:line="400" w:lineRule="exact"/>
        <w:jc w:val="center"/>
        <w:rPr>
          <w:rFonts w:ascii="楷体" w:eastAsia="楷体" w:hAnsi="楷体" w:cs="楷体" w:hint="eastAsia"/>
          <w:color w:val="0F1115"/>
          <w:shd w:val="clear" w:color="auto" w:fill="FFFFFF"/>
        </w:rPr>
      </w:pPr>
    </w:p>
    <w:p w14:paraId="524E715C" w14:textId="77777777" w:rsidR="00660AC6" w:rsidRDefault="0023687C">
      <w:pPr>
        <w:pStyle w:val="a3"/>
        <w:widowControl/>
        <w:numPr>
          <w:ilvl w:val="0"/>
          <w:numId w:val="2"/>
        </w:numPr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/>
          <w:color w:val="0F1115"/>
          <w:shd w:val="clear" w:color="auto" w:fill="FFFFFF"/>
        </w:rPr>
        <w:t>双轨校验：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QRA</w:t>
      </w:r>
      <w:r>
        <w:rPr>
          <w:rFonts w:ascii="楷体" w:eastAsia="楷体" w:hAnsi="楷体" w:cs="楷体"/>
          <w:color w:val="0F1115"/>
          <w:shd w:val="clear" w:color="auto" w:fill="FFFFFF"/>
        </w:rPr>
        <w:t>计算 + 临床激发阈值交叉验证</w:t>
      </w:r>
    </w:p>
    <w:p w14:paraId="524E715D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Times New Roman" w:eastAsia="楷体" w:hAnsi="Times New Roman" w:cs="Times New Roman"/>
          <w:color w:val="0F1115"/>
          <w:shd w:val="clear" w:color="auto" w:fill="FFFFFF"/>
        </w:rPr>
        <w:t>QRA</w:t>
      </w:r>
      <w:r>
        <w:rPr>
          <w:rFonts w:ascii="楷体" w:eastAsia="楷体" w:hAnsi="楷体" w:cs="楷体"/>
          <w:color w:val="0F1115"/>
          <w:shd w:val="clear" w:color="auto" w:fill="FFFFFF"/>
        </w:rPr>
        <w:t>的局限性必须被诚实面对。欧盟消费品科学委员会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（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SCCP</w:t>
      </w:r>
      <w:r>
        <w:rPr>
          <w:rFonts w:ascii="楷体" w:eastAsia="楷体" w:hAnsi="楷体" w:cs="楷体"/>
          <w:color w:val="0F1115"/>
          <w:shd w:val="clear" w:color="auto" w:fill="FFFFFF"/>
        </w:rPr>
        <w:t>）在评审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QRA</w:t>
      </w:r>
      <w:r>
        <w:rPr>
          <w:rFonts w:ascii="楷体" w:eastAsia="楷体" w:hAnsi="楷体" w:cs="楷体"/>
          <w:color w:val="0F1115"/>
          <w:shd w:val="clear" w:color="auto" w:fill="FFFFFF"/>
        </w:rPr>
        <w:t>方法时明确指出：</w:t>
      </w:r>
    </w:p>
    <w:p w14:paraId="524E715E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/>
          <w:color w:val="0F1115"/>
          <w:shd w:val="clear" w:color="auto" w:fill="FFFFFF"/>
        </w:rPr>
        <w:t>“该方法尚未经验证，亦无验证策略方案。无法确信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QRA</w:t>
      </w:r>
      <w:r>
        <w:rPr>
          <w:rFonts w:ascii="楷体" w:eastAsia="楷体" w:hAnsi="楷体" w:cs="楷体"/>
          <w:color w:val="0F1115"/>
          <w:shd w:val="clear" w:color="auto" w:fill="FFFFFF"/>
        </w:rPr>
        <w:t>所确定的皮肤致敏物暴露水平对消费者是安全的。”</w:t>
      </w:r>
    </w:p>
    <w:p w14:paraId="524E715F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Times New Roman" w:eastAsia="楷体" w:hAnsi="Times New Roman" w:cs="Times New Roman"/>
          <w:color w:val="0F1115"/>
          <w:shd w:val="clear" w:color="auto" w:fill="FFFFFF"/>
        </w:rPr>
        <w:t>SCCP</w:t>
      </w:r>
      <w:r>
        <w:rPr>
          <w:rFonts w:ascii="楷体" w:eastAsia="楷体" w:hAnsi="楷体" w:cs="楷体"/>
          <w:color w:val="0F1115"/>
          <w:shd w:val="clear" w:color="auto" w:fill="FFFFFF"/>
        </w:rPr>
        <w:t>建议对已知致敏物的安全水平确定应基于临床数据和/或激发低效应水平。为此，本方案将单一判据升级为三闸门串联（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Take-the-Most-Strict</w:t>
      </w:r>
      <w:r>
        <w:rPr>
          <w:rFonts w:ascii="楷体" w:eastAsia="楷体" w:hAnsi="楷体" w:cs="楷体"/>
          <w:color w:val="0F1115"/>
          <w:shd w:val="clear" w:color="auto" w:fill="FFFFFF"/>
        </w:rPr>
        <w:t>）架构：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3367"/>
        <w:gridCol w:w="2291"/>
        <w:gridCol w:w="1718"/>
      </w:tblGrid>
      <w:tr w:rsidR="00660AC6" w14:paraId="524E7164" w14:textId="77777777">
        <w:trPr>
          <w:tblHeader/>
        </w:trPr>
        <w:tc>
          <w:tcPr>
            <w:tcW w:w="93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160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  <w:t xml:space="preserve"> </w:t>
            </w: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闸门</w:t>
            </w:r>
          </w:p>
        </w:tc>
        <w:tc>
          <w:tcPr>
            <w:tcW w:w="336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61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判据来源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62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作用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63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局限性补偿</w:t>
            </w:r>
          </w:p>
        </w:tc>
      </w:tr>
      <w:tr w:rsidR="00660AC6" w14:paraId="524E7169" w14:textId="77777777">
        <w:tc>
          <w:tcPr>
            <w:tcW w:w="9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165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  <w:t xml:space="preserve"> </w:t>
            </w: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闸门</w:t>
            </w: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>1</w:t>
            </w:r>
          </w:p>
        </w:tc>
        <w:tc>
          <w:tcPr>
            <w:tcW w:w="33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66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>QRA</w:t>
            </w: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概率化模型</w:t>
            </w: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>（</w:t>
            </w: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>AEL/CEL_P90 or P99</w:t>
            </w: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67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前瞻性定量预测，覆盖无临床数据的成分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168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模型本身未经验证</w:t>
            </w:r>
          </w:p>
        </w:tc>
      </w:tr>
      <w:tr w:rsidR="00660AC6" w14:paraId="524E716E" w14:textId="77777777">
        <w:tc>
          <w:tcPr>
            <w:tcW w:w="9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16A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  <w:t xml:space="preserve"> </w:t>
            </w: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闸门</w:t>
            </w: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>2</w:t>
            </w:r>
          </w:p>
        </w:tc>
        <w:tc>
          <w:tcPr>
            <w:tcW w:w="33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6B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临床激发阈值（</w:t>
            </w: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>LOEL/NOEL</w:t>
            </w: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）与人体斑贴试验数据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6C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以真实人体数据兜底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16D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仅覆盖有临床数据的已知致敏原</w:t>
            </w:r>
          </w:p>
        </w:tc>
      </w:tr>
      <w:tr w:rsidR="00660AC6" w14:paraId="524E7173" w14:textId="77777777">
        <w:tc>
          <w:tcPr>
            <w:tcW w:w="9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16F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  <w:t xml:space="preserve"> </w:t>
            </w: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闸门</w:t>
            </w: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>3</w:t>
            </w:r>
          </w:p>
        </w:tc>
        <w:tc>
          <w:tcPr>
            <w:tcW w:w="33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70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 xml:space="preserve">IFRA Standards </w:t>
            </w: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强制限量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71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合规硬约束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172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是限量而非风险值</w:t>
            </w:r>
          </w:p>
        </w:tc>
      </w:tr>
    </w:tbl>
    <w:p w14:paraId="524E7174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/>
          <w:color w:val="0F1115"/>
          <w:shd w:val="clear" w:color="auto" w:fill="FFFFFF"/>
        </w:rPr>
        <w:t>最终风险等级 = 三个闸门输出中的最严等级。任一闸门缺失时（如无临床数据），系统不静默降级，而是在报告中显式标注 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evidence_level: QRA_only</w:t>
      </w:r>
      <w:r>
        <w:rPr>
          <w:rFonts w:ascii="楷体" w:eastAsia="楷体" w:hAnsi="楷体" w:cs="楷体"/>
          <w:color w:val="0F1115"/>
          <w:shd w:val="clear" w:color="auto" w:fill="FFFFFF"/>
        </w:rPr>
        <w:t>，把不确定性诚实呈现给用户。</w:t>
      </w:r>
    </w:p>
    <w:p w14:paraId="524E7175" w14:textId="77777777" w:rsidR="00660AC6" w:rsidRDefault="00660AC6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</w:p>
    <w:p w14:paraId="524E7176" w14:textId="77777777" w:rsidR="00660AC6" w:rsidRDefault="0023687C">
      <w:pPr>
        <w:pStyle w:val="4"/>
        <w:widowControl/>
        <w:shd w:val="clear" w:color="auto" w:fill="FFFFFF"/>
        <w:spacing w:before="192" w:beforeAutospacing="0" w:after="192" w:afterAutospacing="0"/>
        <w:rPr>
          <w:rFonts w:ascii="楷体" w:eastAsia="楷体" w:hAnsi="楷体" w:cs="楷体"/>
          <w:color w:val="0F1115"/>
          <w:kern w:val="2"/>
          <w:shd w:val="clear" w:color="auto" w:fill="FFFFFF"/>
        </w:rPr>
      </w:pPr>
      <w:r>
        <w:rPr>
          <w:rFonts w:ascii="楷体" w:eastAsia="楷体" w:hAnsi="楷体" w:cs="楷体" w:hint="default"/>
          <w:color w:val="0F1115"/>
          <w:kern w:val="2"/>
          <w:shd w:val="clear" w:color="auto" w:fill="FFFFFF"/>
        </w:rPr>
        <w:t>3.1.2 关键定量风险分析发现</w:t>
      </w:r>
    </w:p>
    <w:p w14:paraId="524E7177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/>
          <w:color w:val="0F1115"/>
          <w:shd w:val="clear" w:color="auto" w:fill="FFFFFF"/>
        </w:rPr>
        <w:t>在量化风险评估（</w:t>
      </w:r>
      <w:r>
        <w:rPr>
          <w:rFonts w:ascii="Times New Roman" w:eastAsia="var(--dsw-font-markdown-table)" w:hAnsi="Times New Roman" w:cs="Times New Roman"/>
          <w:kern w:val="0"/>
          <w:lang w:bidi="ar"/>
        </w:rPr>
        <w:t>QRA</w:t>
      </w:r>
      <w:r>
        <w:rPr>
          <w:rFonts w:ascii="楷体" w:eastAsia="楷体" w:hAnsi="楷体" w:cs="楷体"/>
          <w:color w:val="0F1115"/>
          <w:shd w:val="clear" w:color="auto" w:fill="FFFFFF"/>
        </w:rPr>
        <w:t>）研究中，研究者测定了107款喷雾香水中25种过敏原的含量，发现即使在同一类别产品中，不同过敏原因致敏potency（效能）不同，安全阈值差异巨大。</w:t>
      </w:r>
    </w:p>
    <w:p w14:paraId="524E7178" w14:textId="77777777" w:rsidR="00660AC6" w:rsidRDefault="0023687C">
      <w:pPr>
        <w:pStyle w:val="a3"/>
        <w:widowControl/>
        <w:shd w:val="clear" w:color="auto" w:fill="FFFFFF"/>
        <w:spacing w:before="192" w:after="192"/>
        <w:rPr>
          <w:rFonts w:ascii="楷体" w:eastAsia="楷体" w:hAnsi="楷体" w:cs="楷体" w:hint="eastAsia"/>
          <w:color w:val="0F1115"/>
        </w:rPr>
      </w:pPr>
      <w:r>
        <w:rPr>
          <w:rFonts w:ascii="楷体" w:eastAsia="楷体" w:hAnsi="楷体" w:cs="楷体" w:hint="eastAsia"/>
          <w:b/>
          <w:bCs/>
          <w:color w:val="0F1115"/>
          <w:shd w:val="clear" w:color="auto" w:fill="FFFFFF"/>
        </w:rPr>
        <w:t>关键的定量风险分析发现（女性香水数据）</w:t>
      </w:r>
      <w:r>
        <w:rPr>
          <w:rFonts w:ascii="楷体" w:eastAsia="楷体" w:hAnsi="楷体" w:cs="楷体" w:hint="eastAsia"/>
          <w:color w:val="0F1115"/>
          <w:shd w:val="clear" w:color="auto" w:fill="FFFFFF"/>
        </w:rPr>
        <w:t> ：</w:t>
      </w:r>
    </w:p>
    <w:tbl>
      <w:tblPr>
        <w:tblW w:w="8504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1"/>
        <w:gridCol w:w="2260"/>
        <w:gridCol w:w="2103"/>
      </w:tblGrid>
      <w:tr w:rsidR="00660AC6" w14:paraId="524E717C" w14:textId="77777777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179" w14:textId="77777777" w:rsidR="00660AC6" w:rsidRDefault="0023687C">
            <w:pPr>
              <w:widowControl/>
              <w:jc w:val="center"/>
              <w:rPr>
                <w:rFonts w:ascii="var(--dsw-font-markdown-table-h" w:eastAsia="var(--dsw-font-markdown-table-h" w:hAnsi="var(--dsw-font-markdown-table-h" w:cs="var(--dsw-font-markdown-table-h"/>
                <w:b/>
                <w:bCs/>
              </w:rPr>
            </w:pPr>
            <w:r>
              <w:rPr>
                <w:rFonts w:ascii="var(--dsw-font-markdown-table-h" w:eastAsia="var(--dsw-font-markdown-table-h" w:hAnsi="var(--dsw-font-markdown-table-h" w:cs="var(--dsw-font-markdown-table-h"/>
                <w:b/>
                <w:bCs/>
                <w:kern w:val="0"/>
                <w:sz w:val="24"/>
                <w:lang w:bidi="ar"/>
              </w:rPr>
              <w:t>过敏原成分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7A" w14:textId="77777777" w:rsidR="00660AC6" w:rsidRDefault="0023687C">
            <w:pPr>
              <w:widowControl/>
              <w:jc w:val="center"/>
              <w:rPr>
                <w:rFonts w:ascii="var(--dsw-font-markdown-table-h" w:eastAsia="var(--dsw-font-markdown-table-h" w:hAnsi="var(--dsw-font-markdown-table-h" w:cs="var(--dsw-font-markdown-table-h"/>
                <w:b/>
                <w:bCs/>
              </w:rPr>
            </w:pPr>
            <w:r>
              <w:rPr>
                <w:rFonts w:ascii="Times New Roman" w:eastAsia="var(--dsw-font-markdown-table)" w:hAnsi="Times New Roman" w:cs="Times New Roman"/>
                <w:kern w:val="0"/>
                <w:sz w:val="24"/>
                <w:lang w:bidi="ar"/>
              </w:rPr>
              <w:t xml:space="preserve">AEL/CEL </w:t>
            </w:r>
            <w:r>
              <w:rPr>
                <w:rFonts w:ascii="var(--dsw-font-markdown-table-h" w:eastAsia="var(--dsw-font-markdown-table-h" w:hAnsi="var(--dsw-font-markdown-table-h" w:cs="var(--dsw-font-markdown-table-h"/>
                <w:b/>
                <w:bCs/>
                <w:kern w:val="0"/>
                <w:sz w:val="24"/>
                <w:lang w:bidi="ar"/>
              </w:rPr>
              <w:t>比值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7B" w14:textId="77777777" w:rsidR="00660AC6" w:rsidRDefault="0023687C">
            <w:pPr>
              <w:widowControl/>
              <w:jc w:val="center"/>
              <w:rPr>
                <w:rFonts w:ascii="var(--dsw-font-markdown-table-h" w:eastAsia="var(--dsw-font-markdown-table-h" w:hAnsi="var(--dsw-font-markdown-table-h" w:cs="var(--dsw-font-markdown-table-h"/>
                <w:b/>
                <w:bCs/>
              </w:rPr>
            </w:pPr>
            <w:r>
              <w:rPr>
                <w:rFonts w:ascii="var(--dsw-font-markdown-table-h" w:eastAsia="var(--dsw-font-markdown-table-h" w:hAnsi="var(--dsw-font-markdown-table-h" w:cs="var(--dsw-font-markdown-table-h"/>
                <w:b/>
                <w:bCs/>
                <w:kern w:val="0"/>
                <w:sz w:val="24"/>
                <w:lang w:bidi="ar"/>
              </w:rPr>
              <w:t>风险评估结论</w:t>
            </w:r>
          </w:p>
        </w:tc>
      </w:tr>
      <w:tr w:rsidR="00660AC6" w14:paraId="524E7180" w14:textId="7777777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17D" w14:textId="77777777" w:rsidR="00660AC6" w:rsidRDefault="0023687C">
            <w:pPr>
              <w:widowControl/>
              <w:jc w:val="center"/>
              <w:rPr>
                <w:rFonts w:ascii="var(--dsw-font-markdown-table)" w:eastAsia="var(--dsw-font-markdown-table)" w:hAnsi="var(--dsw-font-markdown-table)" w:cs="var(--dsw-font-markdown-table)"/>
              </w:rPr>
            </w:pPr>
            <w:r>
              <w:rPr>
                <w:rFonts w:ascii="var(--dsw-font-markdown-table)" w:eastAsia="var(--dsw-font-markdown-table)" w:hAnsi="var(--dsw-font-markdown-table)" w:cs="var(--dsw-font-markdown-table)"/>
                <w:kern w:val="0"/>
                <w:sz w:val="24"/>
                <w:lang w:bidi="ar"/>
              </w:rPr>
              <w:t>柠檬醛 (</w:t>
            </w:r>
            <w:r>
              <w:rPr>
                <w:rFonts w:ascii="Times New Roman" w:eastAsia="var(--dsw-font-markdown-table)" w:hAnsi="Times New Roman" w:cs="Times New Roman"/>
                <w:kern w:val="0"/>
                <w:sz w:val="24"/>
                <w:lang w:bidi="ar"/>
              </w:rPr>
              <w:t>Citral</w:t>
            </w:r>
            <w:r>
              <w:rPr>
                <w:rFonts w:ascii="var(--dsw-font-markdown-table)" w:eastAsia="var(--dsw-font-markdown-table)" w:hAnsi="var(--dsw-font-markdown-table)" w:cs="var(--dsw-font-markdown-table)"/>
                <w:kern w:val="0"/>
                <w:sz w:val="24"/>
                <w:lang w:bidi="ar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7E" w14:textId="77777777" w:rsidR="00660AC6" w:rsidRDefault="0023687C">
            <w:pPr>
              <w:widowControl/>
              <w:jc w:val="center"/>
              <w:rPr>
                <w:rFonts w:ascii="var(--dsw-font-markdown-table)" w:eastAsia="var(--dsw-font-markdown-table)" w:hAnsi="var(--dsw-font-markdown-table)" w:cs="var(--dsw-font-markdown-table)"/>
              </w:rPr>
            </w:pPr>
            <w:r>
              <w:rPr>
                <w:rFonts w:ascii="var(--dsw-font-markdown-table)" w:eastAsia="var(--dsw-font-markdown-table)" w:hAnsi="var(--dsw-font-markdown-table)" w:cs="var(--dsw-font-markdown-table)"/>
                <w:kern w:val="0"/>
                <w:sz w:val="24"/>
                <w:lang w:bidi="ar"/>
              </w:rPr>
              <w:t>0.19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17F" w14:textId="77777777" w:rsidR="00660AC6" w:rsidRDefault="0023687C">
            <w:pPr>
              <w:widowControl/>
              <w:jc w:val="center"/>
              <w:rPr>
                <w:rFonts w:ascii="var(--dsw-font-markdown-table)" w:eastAsia="var(--dsw-font-markdown-table)" w:hAnsi="var(--dsw-font-markdown-table)" w:cs="var(--dsw-font-markdown-table)"/>
              </w:rPr>
            </w:pPr>
            <w:r>
              <w:rPr>
                <w:rFonts w:ascii="var(--dsw-font-markdown-table)" w:eastAsia="var(--dsw-font-markdown-table)" w:hAnsi="var(--dsw-font-markdown-table)" w:cs="var(--dsw-font-markdown-table)"/>
                <w:b/>
                <w:bCs/>
                <w:kern w:val="0"/>
                <w:sz w:val="24"/>
                <w:lang w:bidi="ar"/>
              </w:rPr>
              <w:t>存在风险</w:t>
            </w:r>
          </w:p>
        </w:tc>
      </w:tr>
      <w:tr w:rsidR="00660AC6" w14:paraId="524E7184" w14:textId="7777777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181" w14:textId="77777777" w:rsidR="00660AC6" w:rsidRDefault="0023687C">
            <w:pPr>
              <w:widowControl/>
              <w:jc w:val="center"/>
              <w:rPr>
                <w:rFonts w:ascii="var(--dsw-font-markdown-table)" w:eastAsia="var(--dsw-font-markdown-table)" w:hAnsi="var(--dsw-font-markdown-table)" w:cs="var(--dsw-font-markdown-table)"/>
              </w:rPr>
            </w:pPr>
            <w:r>
              <w:rPr>
                <w:rFonts w:ascii="var(--dsw-font-markdown-table)" w:eastAsia="var(--dsw-font-markdown-table)" w:hAnsi="var(--dsw-font-markdown-table)" w:cs="var(--dsw-font-markdown-table)"/>
                <w:kern w:val="0"/>
                <w:sz w:val="24"/>
                <w:lang w:bidi="ar"/>
              </w:rPr>
              <w:t>异丁香酚 (</w:t>
            </w:r>
            <w:r>
              <w:rPr>
                <w:rFonts w:ascii="Times New Roman" w:eastAsia="var(--dsw-font-markdown-table)" w:hAnsi="Times New Roman" w:cs="Times New Roman"/>
                <w:kern w:val="0"/>
                <w:sz w:val="24"/>
                <w:lang w:bidi="ar"/>
              </w:rPr>
              <w:t>Isoeugenol</w:t>
            </w:r>
            <w:r>
              <w:rPr>
                <w:rFonts w:ascii="var(--dsw-font-markdown-table)" w:eastAsia="var(--dsw-font-markdown-table)" w:hAnsi="var(--dsw-font-markdown-table)" w:cs="var(--dsw-font-markdown-table)"/>
                <w:kern w:val="0"/>
                <w:sz w:val="24"/>
                <w:lang w:bidi="ar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82" w14:textId="77777777" w:rsidR="00660AC6" w:rsidRDefault="0023687C">
            <w:pPr>
              <w:widowControl/>
              <w:jc w:val="center"/>
              <w:rPr>
                <w:rFonts w:ascii="var(--dsw-font-markdown-table)" w:eastAsia="var(--dsw-font-markdown-table)" w:hAnsi="var(--dsw-font-markdown-table)" w:cs="var(--dsw-font-markdown-table)"/>
              </w:rPr>
            </w:pPr>
            <w:r>
              <w:rPr>
                <w:rFonts w:ascii="var(--dsw-font-markdown-table)" w:eastAsia="var(--dsw-font-markdown-table)" w:hAnsi="var(--dsw-font-markdown-table)" w:cs="var(--dsw-font-markdown-table)"/>
                <w:kern w:val="0"/>
                <w:sz w:val="24"/>
                <w:lang w:bidi="ar"/>
              </w:rPr>
              <w:t>0.13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183" w14:textId="77777777" w:rsidR="00660AC6" w:rsidRDefault="0023687C">
            <w:pPr>
              <w:widowControl/>
              <w:jc w:val="center"/>
              <w:rPr>
                <w:rFonts w:ascii="var(--dsw-font-markdown-table)" w:eastAsia="var(--dsw-font-markdown-table)" w:hAnsi="var(--dsw-font-markdown-table)" w:cs="var(--dsw-font-markdown-table)"/>
              </w:rPr>
            </w:pPr>
            <w:r>
              <w:rPr>
                <w:rFonts w:ascii="var(--dsw-font-markdown-table)" w:eastAsia="var(--dsw-font-markdown-table)" w:hAnsi="var(--dsw-font-markdown-table)" w:cs="var(--dsw-font-markdown-table)"/>
                <w:b/>
                <w:bCs/>
                <w:kern w:val="0"/>
                <w:sz w:val="24"/>
                <w:lang w:bidi="ar"/>
              </w:rPr>
              <w:t>存在风险</w:t>
            </w:r>
          </w:p>
        </w:tc>
      </w:tr>
      <w:tr w:rsidR="00660AC6" w14:paraId="524E7188" w14:textId="7777777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185" w14:textId="77777777" w:rsidR="00660AC6" w:rsidRDefault="0023687C">
            <w:pPr>
              <w:widowControl/>
              <w:jc w:val="center"/>
              <w:rPr>
                <w:rFonts w:ascii="var(--dsw-font-markdown-table)" w:eastAsia="var(--dsw-font-markdown-table)" w:hAnsi="var(--dsw-font-markdown-table)" w:cs="var(--dsw-font-markdown-table)"/>
              </w:rPr>
            </w:pPr>
            <w:r>
              <w:rPr>
                <w:rFonts w:ascii="var(--dsw-font-markdown-table)" w:eastAsia="var(--dsw-font-markdown-table)" w:hAnsi="var(--dsw-font-markdown-table)" w:cs="var(--dsw-font-markdown-table)"/>
                <w:kern w:val="0"/>
                <w:sz w:val="24"/>
                <w:lang w:bidi="ar"/>
              </w:rPr>
              <w:t>新铃兰醛 (</w:t>
            </w:r>
            <w:r>
              <w:rPr>
                <w:rFonts w:ascii="Times New Roman" w:eastAsia="var(--dsw-font-markdown-table)" w:hAnsi="Times New Roman" w:cs="Times New Roman"/>
                <w:kern w:val="0"/>
                <w:sz w:val="24"/>
                <w:lang w:bidi="ar"/>
              </w:rPr>
              <w:t>HICC</w:t>
            </w:r>
            <w:r>
              <w:rPr>
                <w:rFonts w:ascii="var(--dsw-font-markdown-table)" w:eastAsia="var(--dsw-font-markdown-table)" w:hAnsi="var(--dsw-font-markdown-table)" w:cs="var(--dsw-font-markdown-table)"/>
                <w:kern w:val="0"/>
                <w:sz w:val="24"/>
                <w:lang w:bidi="ar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86" w14:textId="77777777" w:rsidR="00660AC6" w:rsidRDefault="0023687C">
            <w:pPr>
              <w:widowControl/>
              <w:jc w:val="center"/>
              <w:rPr>
                <w:rFonts w:ascii="var(--dsw-font-markdown-table)" w:eastAsia="var(--dsw-font-markdown-table)" w:hAnsi="var(--dsw-font-markdown-table)" w:cs="var(--dsw-font-markdown-table)"/>
              </w:rPr>
            </w:pPr>
            <w:r>
              <w:rPr>
                <w:rFonts w:ascii="var(--dsw-font-markdown-table)" w:eastAsia="var(--dsw-font-markdown-table)" w:hAnsi="var(--dsw-font-markdown-table)" w:cs="var(--dsw-font-markdown-table)"/>
                <w:kern w:val="0"/>
                <w:sz w:val="24"/>
                <w:lang w:bidi="ar"/>
              </w:rPr>
              <w:t>0.67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187" w14:textId="77777777" w:rsidR="00660AC6" w:rsidRDefault="0023687C">
            <w:pPr>
              <w:widowControl/>
              <w:jc w:val="center"/>
              <w:rPr>
                <w:rFonts w:ascii="var(--dsw-font-markdown-table)" w:eastAsia="var(--dsw-font-markdown-table)" w:hAnsi="var(--dsw-font-markdown-table)" w:cs="var(--dsw-font-markdown-table)"/>
              </w:rPr>
            </w:pPr>
            <w:r>
              <w:rPr>
                <w:rFonts w:ascii="var(--dsw-font-markdown-table)" w:eastAsia="var(--dsw-font-markdown-table)" w:hAnsi="var(--dsw-font-markdown-table)" w:cs="var(--dsw-font-markdown-table)"/>
                <w:b/>
                <w:bCs/>
                <w:kern w:val="0"/>
                <w:sz w:val="24"/>
                <w:lang w:bidi="ar"/>
              </w:rPr>
              <w:t>存在风险</w:t>
            </w:r>
          </w:p>
        </w:tc>
      </w:tr>
      <w:tr w:rsidR="00660AC6" w14:paraId="524E718C" w14:textId="7777777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189" w14:textId="77777777" w:rsidR="00660AC6" w:rsidRDefault="0023687C">
            <w:pPr>
              <w:widowControl/>
              <w:jc w:val="center"/>
              <w:rPr>
                <w:rFonts w:ascii="var(--dsw-font-markdown-table)" w:eastAsia="var(--dsw-font-markdown-table)" w:hAnsi="var(--dsw-font-markdown-table)" w:cs="var(--dsw-font-markdown-table)"/>
              </w:rPr>
            </w:pPr>
            <w:r>
              <w:rPr>
                <w:rFonts w:ascii="var(--dsw-font-markdown-table)" w:eastAsia="var(--dsw-font-markdown-table)" w:hAnsi="var(--dsw-font-markdown-table)" w:cs="var(--dsw-font-markdown-table)"/>
                <w:kern w:val="0"/>
                <w:sz w:val="24"/>
                <w:lang w:bidi="ar"/>
              </w:rPr>
              <w:t>百合醛 (</w:t>
            </w:r>
            <w:r>
              <w:rPr>
                <w:rFonts w:ascii="Times New Roman" w:eastAsia="var(--dsw-font-markdown-table)" w:hAnsi="Times New Roman" w:cs="Times New Roman"/>
                <w:kern w:val="0"/>
                <w:sz w:val="24"/>
                <w:lang w:bidi="ar"/>
              </w:rPr>
              <w:t>Lilial</w:t>
            </w:r>
            <w:r>
              <w:rPr>
                <w:rFonts w:ascii="var(--dsw-font-markdown-table)" w:eastAsia="var(--dsw-font-markdown-table)" w:hAnsi="var(--dsw-font-markdown-table)" w:cs="var(--dsw-font-markdown-table)"/>
                <w:kern w:val="0"/>
                <w:sz w:val="24"/>
                <w:lang w:bidi="ar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8A" w14:textId="77777777" w:rsidR="00660AC6" w:rsidRDefault="0023687C">
            <w:pPr>
              <w:widowControl/>
              <w:jc w:val="center"/>
              <w:rPr>
                <w:rFonts w:ascii="var(--dsw-font-markdown-table)" w:eastAsia="var(--dsw-font-markdown-table)" w:hAnsi="var(--dsw-font-markdown-table)" w:cs="var(--dsw-font-markdown-table)"/>
              </w:rPr>
            </w:pPr>
            <w:r>
              <w:rPr>
                <w:rFonts w:ascii="var(--dsw-font-markdown-table)" w:eastAsia="var(--dsw-font-markdown-table)" w:hAnsi="var(--dsw-font-markdown-table)" w:cs="var(--dsw-font-markdown-table)"/>
                <w:kern w:val="0"/>
                <w:sz w:val="24"/>
                <w:lang w:bidi="ar"/>
              </w:rPr>
              <w:t>0.53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18B" w14:textId="77777777" w:rsidR="00660AC6" w:rsidRDefault="0023687C">
            <w:pPr>
              <w:widowControl/>
              <w:jc w:val="center"/>
              <w:rPr>
                <w:rFonts w:ascii="var(--dsw-font-markdown-table)" w:eastAsia="var(--dsw-font-markdown-table)" w:hAnsi="var(--dsw-font-markdown-table)" w:cs="var(--dsw-font-markdown-table)"/>
              </w:rPr>
            </w:pPr>
            <w:r>
              <w:rPr>
                <w:rFonts w:ascii="var(--dsw-font-markdown-table)" w:eastAsia="var(--dsw-font-markdown-table)" w:hAnsi="var(--dsw-font-markdown-table)" w:cs="var(--dsw-font-markdown-table)"/>
                <w:b/>
                <w:bCs/>
                <w:kern w:val="0"/>
                <w:sz w:val="24"/>
                <w:lang w:bidi="ar"/>
              </w:rPr>
              <w:t>存在风险</w:t>
            </w:r>
          </w:p>
        </w:tc>
      </w:tr>
      <w:tr w:rsidR="00660AC6" w14:paraId="524E7190" w14:textId="7777777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18D" w14:textId="77777777" w:rsidR="00660AC6" w:rsidRDefault="0023687C">
            <w:pPr>
              <w:widowControl/>
              <w:jc w:val="center"/>
              <w:rPr>
                <w:rFonts w:ascii="var(--dsw-font-markdown-table)" w:eastAsia="var(--dsw-font-markdown-table)" w:hAnsi="var(--dsw-font-markdown-table)" w:cs="var(--dsw-font-markdown-table)"/>
              </w:rPr>
            </w:pPr>
            <w:r>
              <w:rPr>
                <w:rFonts w:ascii="var(--dsw-font-markdown-table)" w:eastAsia="var(--dsw-font-markdown-table)" w:hAnsi="var(--dsw-font-markdown-table)" w:cs="var(--dsw-font-markdown-table)"/>
                <w:kern w:val="0"/>
                <w:sz w:val="24"/>
                <w:lang w:bidi="ar"/>
              </w:rPr>
              <w:t>2-辛炔酸甲酯 (</w:t>
            </w:r>
            <w:r>
              <w:rPr>
                <w:rFonts w:ascii="Times New Roman" w:eastAsia="var(--dsw-font-markdown-table)" w:hAnsi="Times New Roman" w:cs="Times New Roman"/>
                <w:kern w:val="0"/>
                <w:sz w:val="24"/>
                <w:lang w:bidi="ar"/>
              </w:rPr>
              <w:t>Methyl 2-octynoate</w:t>
            </w:r>
            <w:r>
              <w:rPr>
                <w:rFonts w:ascii="var(--dsw-font-markdown-table)" w:eastAsia="var(--dsw-font-markdown-table)" w:hAnsi="var(--dsw-font-markdown-table)" w:cs="var(--dsw-font-markdown-table)"/>
                <w:kern w:val="0"/>
                <w:sz w:val="24"/>
                <w:lang w:bidi="ar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8E" w14:textId="77777777" w:rsidR="00660AC6" w:rsidRDefault="0023687C">
            <w:pPr>
              <w:widowControl/>
              <w:jc w:val="center"/>
              <w:rPr>
                <w:rFonts w:ascii="var(--dsw-font-markdown-table)" w:eastAsia="var(--dsw-font-markdown-table)" w:hAnsi="var(--dsw-font-markdown-table)" w:cs="var(--dsw-font-markdown-table)"/>
              </w:rPr>
            </w:pPr>
            <w:r>
              <w:rPr>
                <w:rFonts w:ascii="var(--dsw-font-markdown-table)" w:eastAsia="var(--dsw-font-markdown-table)" w:hAnsi="var(--dsw-font-markdown-table)" w:cs="var(--dsw-font-markdown-table)"/>
                <w:kern w:val="0"/>
                <w:sz w:val="24"/>
                <w:lang w:bidi="ar"/>
              </w:rPr>
              <w:t>0.57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18F" w14:textId="77777777" w:rsidR="00660AC6" w:rsidRDefault="0023687C">
            <w:pPr>
              <w:widowControl/>
              <w:jc w:val="center"/>
              <w:rPr>
                <w:rFonts w:ascii="var(--dsw-font-markdown-table)" w:eastAsia="var(--dsw-font-markdown-table)" w:hAnsi="var(--dsw-font-markdown-table)" w:cs="var(--dsw-font-markdown-table)"/>
              </w:rPr>
            </w:pPr>
            <w:r>
              <w:rPr>
                <w:rFonts w:ascii="var(--dsw-font-markdown-table)" w:eastAsia="var(--dsw-font-markdown-table)" w:hAnsi="var(--dsw-font-markdown-table)" w:cs="var(--dsw-font-markdown-table)"/>
                <w:b/>
                <w:bCs/>
                <w:kern w:val="0"/>
                <w:sz w:val="24"/>
                <w:lang w:bidi="ar"/>
              </w:rPr>
              <w:t>存在风险</w:t>
            </w:r>
          </w:p>
        </w:tc>
      </w:tr>
    </w:tbl>
    <w:p w14:paraId="524E7191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/>
          <w:color w:val="0F1115"/>
          <w:shd w:val="clear" w:color="auto" w:fill="FFFFFF"/>
        </w:rPr>
        <w:t>风险解读：当AEL/CEL比值低于1时，意味着在该产品的常规使用场景下，该成分对敏感人群存在不可接受的致敏风险，需要进行风险管理。</w:t>
      </w:r>
    </w:p>
    <w:p w14:paraId="524E7192" w14:textId="77777777" w:rsidR="00660AC6" w:rsidRDefault="00660AC6">
      <w:pPr>
        <w:pStyle w:val="a3"/>
        <w:widowControl/>
        <w:shd w:val="clear" w:color="auto" w:fill="FFFFFF"/>
        <w:spacing w:line="4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</w:p>
    <w:p w14:paraId="524E7193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b/>
          <w:bCs/>
          <w:color w:val="0F1115"/>
          <w:shd w:val="clear" w:color="auto" w:fill="FFFFFF"/>
        </w:rPr>
      </w:pPr>
      <w:r>
        <w:rPr>
          <w:rFonts w:ascii="楷体" w:eastAsia="楷体" w:hAnsi="楷体" w:cs="楷体"/>
          <w:b/>
          <w:bCs/>
          <w:color w:val="0F1115"/>
          <w:shd w:val="clear" w:color="auto" w:fill="FFFFFF"/>
        </w:rPr>
        <w:t>3.1.3 氧化产物动态风险评估方法</w:t>
      </w:r>
    </w:p>
    <w:p w14:paraId="524E7194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/>
          <w:color w:val="0F1115"/>
          <w:shd w:val="clear" w:color="auto" w:fill="FFFFFF"/>
        </w:rPr>
        <w:t>柠檬烯和芳樟醇本身是前半抗原（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prehapten</w:t>
      </w:r>
      <w:r>
        <w:rPr>
          <w:rFonts w:ascii="楷体" w:eastAsia="楷体" w:hAnsi="楷体" w:cs="楷体"/>
          <w:color w:val="0F1115"/>
          <w:shd w:val="clear" w:color="auto" w:fill="FFFFFF"/>
        </w:rPr>
        <w:t>）——低致敏或无致敏性，但接触空气后自氧化生成强致敏的氢过氧化物。这一特性使静态的成分标注无法反映真实风险。（临床阳性率：基于丹麦哥本哈根根措夫特医院2014-2025年对6719名患者的斑贴试验数据显示：</w:t>
      </w:r>
    </w:p>
    <w:p w14:paraId="524E7195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 w:hint="eastAsia"/>
          <w:color w:val="0F1115"/>
          <w:shd w:val="clear" w:color="auto" w:fill="FFFFFF"/>
        </w:rPr>
        <w:t>·</w:t>
      </w:r>
      <w:r>
        <w:rPr>
          <w:rFonts w:ascii="楷体" w:eastAsia="楷体" w:hAnsi="楷体" w:cs="楷体"/>
          <w:color w:val="0F1115"/>
          <w:shd w:val="clear" w:color="auto" w:fill="FFFFFF"/>
        </w:rPr>
        <w:t>对氢过氧化芳樟醇（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Lin-OOH</w:t>
      </w:r>
      <w:r>
        <w:rPr>
          <w:rFonts w:ascii="楷体" w:eastAsia="楷体" w:hAnsi="楷体" w:cs="楷体"/>
          <w:color w:val="0F1115"/>
          <w:shd w:val="clear" w:color="auto" w:fill="FFFFFF"/>
        </w:rPr>
        <w:t>）的阳性反应率为 3.1%</w:t>
      </w:r>
    </w:p>
    <w:p w14:paraId="524E7196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 w:hint="eastAsia"/>
          <w:color w:val="0F1115"/>
          <w:shd w:val="clear" w:color="auto" w:fill="FFFFFF"/>
        </w:rPr>
        <w:t>·</w:t>
      </w:r>
      <w:r>
        <w:rPr>
          <w:rFonts w:ascii="楷体" w:eastAsia="楷体" w:hAnsi="楷体" w:cs="楷体"/>
          <w:color w:val="0F1115"/>
          <w:shd w:val="clear" w:color="auto" w:fill="FFFFFF"/>
        </w:rPr>
        <w:t>对氢过氧化柠檬烯（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Lim-OOH</w:t>
      </w:r>
      <w:r>
        <w:rPr>
          <w:rFonts w:ascii="楷体" w:eastAsia="楷体" w:hAnsi="楷体" w:cs="楷体"/>
          <w:color w:val="0F1115"/>
          <w:shd w:val="clear" w:color="auto" w:fill="FFFFFF"/>
        </w:rPr>
        <w:t>）的阳性反应率为 1.6%</w:t>
      </w:r>
    </w:p>
    <w:p w14:paraId="524E7197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 w:hint="eastAsia"/>
          <w:color w:val="0F1115"/>
          <w:shd w:val="clear" w:color="auto" w:fill="FFFFFF"/>
        </w:rPr>
        <w:t>·</w:t>
      </w:r>
      <w:r>
        <w:rPr>
          <w:rFonts w:ascii="楷体" w:eastAsia="楷体" w:hAnsi="楷体" w:cs="楷体"/>
          <w:color w:val="0F1115"/>
          <w:shd w:val="clear" w:color="auto" w:fill="FFFFFF"/>
        </w:rPr>
        <w:t>交叉反应性：研究证实，这两种氧化产物之间存在交叉反应性，且常与其他香料过敏原同时呈阳性</w:t>
      </w:r>
    </w:p>
    <w:p w14:paraId="524E7198" w14:textId="77777777" w:rsidR="00660AC6" w:rsidRDefault="00660AC6">
      <w:pPr>
        <w:pStyle w:val="a3"/>
        <w:widowControl/>
        <w:shd w:val="clear" w:color="auto" w:fill="FFFFFF"/>
        <w:spacing w:line="4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</w:p>
    <w:p w14:paraId="524E7199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b/>
          <w:bCs/>
          <w:color w:val="0F1115"/>
          <w:shd w:val="clear" w:color="auto" w:fill="FFFFFF"/>
        </w:rPr>
      </w:pPr>
      <w:r>
        <w:rPr>
          <w:rFonts w:ascii="楷体" w:eastAsia="楷体" w:hAnsi="楷体" w:cs="楷体"/>
          <w:b/>
          <w:bCs/>
          <w:color w:val="0F1115"/>
          <w:shd w:val="clear" w:color="auto" w:fill="FFFFFF"/>
        </w:rPr>
        <w:t>氧化风险动态评估模型设计：</w:t>
      </w:r>
    </w:p>
    <w:p w14:paraId="524E719A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Times New Roman" w:eastAsia="楷体" w:hAnsi="Times New Roman" w:cs="Times New Roman"/>
          <w:color w:val="0F1115"/>
          <w:shd w:val="clear" w:color="auto" w:fill="FFFFFF"/>
        </w:rPr>
      </w:pPr>
      <w:r>
        <w:rPr>
          <w:rFonts w:ascii="楷体" w:eastAsia="楷体" w:hAnsi="楷体" w:cs="楷体"/>
          <w:color w:val="0F1115"/>
          <w:shd w:val="clear" w:color="auto" w:fill="FFFFFF"/>
        </w:rPr>
        <w:lastRenderedPageBreak/>
        <w:t>氧化程度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 D = f(t, T, L, C₀, k_ox)</w:t>
      </w:r>
    </w:p>
    <w:p w14:paraId="524E719B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/>
          <w:color w:val="0F1115"/>
          <w:shd w:val="clear" w:color="auto" w:fill="FFFFFF"/>
        </w:rPr>
        <w:t>其中：</w:t>
      </w:r>
    </w:p>
    <w:p w14:paraId="524E719C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Times New Roman" w:eastAsia="楷体" w:hAnsi="Times New Roman" w:cs="Times New Roman"/>
          <w:color w:val="0F1115"/>
          <w:shd w:val="clear" w:color="auto" w:fill="FFFFFF"/>
        </w:rPr>
        <w:t xml:space="preserve">t </w:t>
      </w:r>
      <w:r>
        <w:rPr>
          <w:rFonts w:ascii="楷体" w:eastAsia="楷体" w:hAnsi="楷体" w:cs="楷体"/>
          <w:color w:val="0F1115"/>
          <w:shd w:val="clear" w:color="auto" w:fill="FFFFFF"/>
        </w:rPr>
        <w:t>= 开封后时间（天）</w:t>
      </w:r>
    </w:p>
    <w:p w14:paraId="524E719D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Times New Roman" w:eastAsia="楷体" w:hAnsi="Times New Roman" w:cs="Times New Roman"/>
          <w:color w:val="0F1115"/>
          <w:shd w:val="clear" w:color="auto" w:fill="FFFFFF"/>
        </w:rPr>
        <w:t>T</w:t>
      </w:r>
      <w:r>
        <w:rPr>
          <w:rFonts w:ascii="楷体" w:eastAsia="楷体" w:hAnsi="楷体" w:cs="楷体"/>
          <w:color w:val="0F1115"/>
          <w:shd w:val="clear" w:color="auto" w:fill="FFFFFF"/>
        </w:rPr>
        <w:t xml:space="preserve"> = 储存温度（℃）</w:t>
      </w:r>
    </w:p>
    <w:p w14:paraId="524E719E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Times New Roman" w:eastAsia="楷体" w:hAnsi="Times New Roman" w:cs="Times New Roman"/>
          <w:color w:val="0F1115"/>
          <w:shd w:val="clear" w:color="auto" w:fill="FFFFFF"/>
        </w:rPr>
        <w:t>L</w:t>
      </w:r>
      <w:r>
        <w:rPr>
          <w:rFonts w:ascii="楷体" w:eastAsia="楷体" w:hAnsi="楷体" w:cs="楷体"/>
          <w:color w:val="0F1115"/>
          <w:shd w:val="clear" w:color="auto" w:fill="FFFFFF"/>
        </w:rPr>
        <w:t xml:space="preserve"> = 光照暴露程度（0-1）</w:t>
      </w:r>
    </w:p>
    <w:p w14:paraId="524E719F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Times New Roman" w:eastAsia="楷体" w:hAnsi="Times New Roman" w:cs="Times New Roman"/>
          <w:color w:val="0F1115"/>
          <w:shd w:val="clear" w:color="auto" w:fill="FFFFFF"/>
        </w:rPr>
        <w:t>C₀</w:t>
      </w:r>
      <w:r>
        <w:rPr>
          <w:rFonts w:ascii="楷体" w:eastAsia="楷体" w:hAnsi="楷体" w:cs="楷体"/>
          <w:color w:val="0F1115"/>
          <w:shd w:val="clear" w:color="auto" w:fill="FFFFFF"/>
        </w:rPr>
        <w:t xml:space="preserve"> = 烯类成分初始浓度（%）</w:t>
      </w:r>
    </w:p>
    <w:p w14:paraId="524E71A0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Times New Roman" w:eastAsia="楷体" w:hAnsi="Times New Roman" w:cs="Times New Roman"/>
          <w:color w:val="0F1115"/>
          <w:shd w:val="clear" w:color="auto" w:fill="FFFFFF"/>
        </w:rPr>
        <w:t>k_ox</w:t>
      </w:r>
      <w:r>
        <w:rPr>
          <w:rFonts w:ascii="楷体" w:eastAsia="楷体" w:hAnsi="楷体" w:cs="楷体"/>
          <w:color w:val="0F1115"/>
          <w:shd w:val="clear" w:color="auto" w:fill="FFFFFF"/>
        </w:rPr>
        <w:t xml:space="preserve"> = 氧化速率常数（柠檬烯k ≈ 0.01-0.05/天，芳樟醇k ≈ 0.005-0.03/天，受温度/光照加速）</w:t>
      </w:r>
    </w:p>
    <w:tbl>
      <w:tblPr>
        <w:tblpPr w:leftFromText="180" w:rightFromText="180" w:vertAnchor="text" w:horzAnchor="page" w:tblpXSpec="center" w:tblpY="303"/>
        <w:tblOverlap w:val="never"/>
        <w:tblW w:w="9071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4"/>
        <w:gridCol w:w="1521"/>
        <w:gridCol w:w="3296"/>
      </w:tblGrid>
      <w:tr w:rsidR="00660AC6" w14:paraId="524E71A4" w14:textId="77777777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1A1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氧化程度</w:t>
            </w: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>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A2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风险等级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A3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建议措施</w:t>
            </w:r>
          </w:p>
        </w:tc>
      </w:tr>
      <w:tr w:rsidR="00660AC6" w14:paraId="524E71A8" w14:textId="7777777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1A5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>D &lt; 0.2</w:t>
            </w: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（开封&lt;3个月，阴凉避光）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A6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1A7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正常使用</w:t>
            </w:r>
          </w:p>
        </w:tc>
      </w:tr>
      <w:tr w:rsidR="00660AC6" w14:paraId="524E71AC" w14:textId="7777777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1A9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>0.2 ≤ D &lt; 0.5</w:t>
            </w: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（开封3-12个月）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AA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1AB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建议敏感肌与孕妇减少使用</w:t>
            </w:r>
          </w:p>
        </w:tc>
      </w:tr>
      <w:tr w:rsidR="00660AC6" w14:paraId="524E71B0" w14:textId="7777777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1AD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Times New Roman" w:eastAsia="楷体" w:hAnsi="Times New Roman" w:cs="Times New Roman"/>
                <w:color w:val="0F1115"/>
                <w:shd w:val="clear" w:color="auto" w:fill="FFFFFF"/>
              </w:rPr>
              <w:t>D ≥ 0.5</w:t>
            </w: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（开封&gt;12个月或高温光照）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AE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1AF" w14:textId="77777777" w:rsidR="00660AC6" w:rsidRDefault="0023687C">
            <w:pPr>
              <w:pStyle w:val="a3"/>
              <w:widowControl/>
              <w:shd w:val="clear" w:color="auto" w:fill="FFFFFF"/>
              <w:spacing w:line="500" w:lineRule="exact"/>
              <w:jc w:val="center"/>
              <w:rPr>
                <w:rFonts w:ascii="楷体" w:eastAsia="楷体" w:hAnsi="楷体" w:cs="楷体" w:hint="eastAsia"/>
                <w:color w:val="0F1115"/>
                <w:shd w:val="clear" w:color="auto" w:fill="FFFFFF"/>
              </w:rPr>
            </w:pPr>
            <w:r>
              <w:rPr>
                <w:rFonts w:ascii="楷体" w:eastAsia="楷体" w:hAnsi="楷体" w:cs="楷体"/>
                <w:color w:val="0F1115"/>
                <w:shd w:val="clear" w:color="auto" w:fill="FFFFFF"/>
              </w:rPr>
              <w:t>强烈建议不再使用</w:t>
            </w:r>
          </w:p>
        </w:tc>
      </w:tr>
    </w:tbl>
    <w:p w14:paraId="524E71B1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/>
          <w:color w:val="0F1115"/>
          <w:shd w:val="clear" w:color="auto" w:fill="FFFFFF"/>
        </w:rPr>
        <w:t>对失嗅人群的特殊意义：正常人可能通过气味变化（氧化后的“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off-note</w:t>
      </w:r>
      <w:r>
        <w:rPr>
          <w:rFonts w:ascii="楷体" w:eastAsia="楷体" w:hAnsi="楷体" w:cs="楷体"/>
          <w:color w:val="0F1115"/>
          <w:shd w:val="clear" w:color="auto" w:fill="FFFFFF"/>
        </w:rPr>
        <w:t>”）感知香水变质，但失嗅者无法依赖此通道。本模块为失嗅者提供了嗅觉替代预警。</w:t>
      </w:r>
    </w:p>
    <w:p w14:paraId="524E71B2" w14:textId="77777777" w:rsidR="00660AC6" w:rsidRDefault="00660AC6">
      <w:pPr>
        <w:pStyle w:val="4"/>
        <w:widowControl/>
        <w:shd w:val="clear" w:color="auto" w:fill="FFFFFF"/>
        <w:spacing w:beforeAutospacing="0" w:afterAutospacing="0" w:line="400" w:lineRule="exact"/>
        <w:rPr>
          <w:rFonts w:ascii="楷体" w:eastAsia="楷体" w:hAnsi="楷体" w:cs="楷体"/>
          <w:color w:val="0F1115"/>
          <w:kern w:val="2"/>
          <w:shd w:val="clear" w:color="auto" w:fill="FFFFFF"/>
        </w:rPr>
      </w:pPr>
    </w:p>
    <w:p w14:paraId="524E71B3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b/>
          <w:bCs/>
          <w:color w:val="0F1115"/>
          <w:shd w:val="clear" w:color="auto" w:fill="FFFFFF"/>
        </w:rPr>
      </w:pPr>
      <w:r>
        <w:rPr>
          <w:rFonts w:ascii="楷体" w:eastAsia="楷体" w:hAnsi="楷体" w:cs="楷体"/>
          <w:b/>
          <w:bCs/>
          <w:color w:val="0F1115"/>
          <w:shd w:val="clear" w:color="auto" w:fill="FFFFFF"/>
        </w:rPr>
        <w:t>3.1.4 人群差异化风险分级算法</w:t>
      </w:r>
    </w:p>
    <w:p w14:paraId="524E71B4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/>
          <w:color w:val="0F1115"/>
          <w:shd w:val="clear" w:color="auto" w:fill="FFFFFF"/>
        </w:rPr>
        <w:t>基于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QRA</w:t>
      </w:r>
      <w:r>
        <w:rPr>
          <w:rFonts w:ascii="楷体" w:eastAsia="楷体" w:hAnsi="楷体" w:cs="楷体"/>
          <w:color w:val="0F1115"/>
          <w:shd w:val="clear" w:color="auto" w:fill="FFFFFF"/>
        </w:rPr>
        <w:t>基准风险比，通过人群安全阈值收缩实现差异化预警。客观风险比对所有人群一致，差异体现在各人群的安全阈值宽严：</w:t>
      </w:r>
    </w:p>
    <w:p w14:paraId="524E71B5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Times New Roman" w:eastAsia="楷体" w:hAnsi="Times New Roman" w:cs="Times New Roman"/>
          <w:color w:val="0F1115"/>
          <w:shd w:val="clear" w:color="auto" w:fill="FFFFFF"/>
        </w:rPr>
      </w:pPr>
      <w:r>
        <w:rPr>
          <w:rFonts w:ascii="楷体" w:eastAsia="楷体" w:hAnsi="楷体" w:cs="楷体"/>
          <w:color w:val="0F1115"/>
          <w:shd w:val="clear" w:color="auto" w:fill="FFFFFF"/>
        </w:rPr>
        <w:t>客观风险比：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R_base = CEL/AEL</w:t>
      </w:r>
    </w:p>
    <w:p w14:paraId="524E71B6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Times New Roman" w:eastAsia="楷体" w:hAnsi="Times New Roman" w:cs="Times New Roman"/>
          <w:color w:val="0F1115"/>
          <w:shd w:val="clear" w:color="auto" w:fill="FFFFFF"/>
        </w:rPr>
      </w:pPr>
      <w:r>
        <w:rPr>
          <w:rFonts w:ascii="楷体" w:eastAsia="楷体" w:hAnsi="楷体" w:cs="楷体"/>
          <w:color w:val="0F1115"/>
          <w:shd w:val="clear" w:color="auto" w:fill="FFFFFF"/>
        </w:rPr>
        <w:t>人群安全阈值：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T_pop = T_base × α(population)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，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T_base = 1.0</w:t>
      </w:r>
    </w:p>
    <w:p w14:paraId="524E71B7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/>
          <w:color w:val="0F1115"/>
          <w:shd w:val="clear" w:color="auto" w:fill="FFFFFF"/>
        </w:rPr>
        <w:t>风险定级：</w:t>
      </w:r>
    </w:p>
    <w:p w14:paraId="524E71B8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Times New Roman" w:eastAsia="楷体" w:hAnsi="Times New Roman" w:cs="Times New Roman"/>
          <w:color w:val="0F1115"/>
          <w:shd w:val="clear" w:color="auto" w:fill="FFFFFF"/>
        </w:rPr>
        <w:t>R_base ≥ T_pop × 1.0 → </w:t>
      </w:r>
      <w:r>
        <w:rPr>
          <w:rFonts w:ascii="楷体" w:eastAsia="楷体" w:hAnsi="楷体" w:cs="楷体"/>
          <w:color w:val="0F1115"/>
          <w:shd w:val="clear" w:color="auto" w:fill="FFFFFF"/>
        </w:rPr>
        <w:t>高风险</w:t>
      </w:r>
    </w:p>
    <w:p w14:paraId="524E71B9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Times New Roman" w:eastAsia="楷体" w:hAnsi="Times New Roman" w:cs="Times New Roman"/>
          <w:color w:val="0F1115"/>
          <w:shd w:val="clear" w:color="auto" w:fill="FFFFFF"/>
        </w:rPr>
        <w:t>R_base ≥ T_pop × 0.5 → </w:t>
      </w:r>
      <w:r>
        <w:rPr>
          <w:rFonts w:ascii="楷体" w:eastAsia="楷体" w:hAnsi="楷体" w:cs="楷体"/>
          <w:color w:val="0F1115"/>
          <w:shd w:val="clear" w:color="auto" w:fill="FFFFFF"/>
        </w:rPr>
        <w:t>中风险</w:t>
      </w:r>
    </w:p>
    <w:p w14:paraId="524E71BA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/>
          <w:color w:val="0F1115"/>
          <w:shd w:val="clear" w:color="auto" w:fill="FFFFFF"/>
        </w:rPr>
        <w:t xml:space="preserve">否则 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→</w:t>
      </w:r>
      <w:r>
        <w:rPr>
          <w:rFonts w:ascii="楷体" w:eastAsia="楷体" w:hAnsi="楷体" w:cs="楷体"/>
          <w:color w:val="0F1115"/>
          <w:shd w:val="clear" w:color="auto" w:fill="FFFFFF"/>
        </w:rPr>
        <w:t> 低风险</w:t>
      </w:r>
    </w:p>
    <w:p w14:paraId="524E71BB" w14:textId="77777777" w:rsidR="00660AC6" w:rsidRDefault="00660AC6">
      <w:pPr>
        <w:widowControl/>
        <w:spacing w:before="72" w:afterAutospacing="1"/>
        <w:ind w:left="-360"/>
      </w:pPr>
    </w:p>
    <w:tbl>
      <w:tblPr>
        <w:tblW w:w="907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2635"/>
        <w:gridCol w:w="5005"/>
      </w:tblGrid>
      <w:tr w:rsidR="00660AC6" w14:paraId="524E71BF" w14:textId="77777777">
        <w:trPr>
          <w:tblHeader/>
        </w:trPr>
        <w:tc>
          <w:tcPr>
            <w:tcW w:w="143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1BC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4"/>
                <w:lang w:bidi="ar"/>
              </w:rPr>
              <w:lastRenderedPageBreak/>
              <w:t>人群标签</w:t>
            </w:r>
          </w:p>
        </w:tc>
        <w:tc>
          <w:tcPr>
            <w:tcW w:w="26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BD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4"/>
                <w:lang w:bidi="ar"/>
              </w:rPr>
              <w:t>α（阈值收缩系数）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BE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4"/>
                <w:lang w:bidi="ar"/>
              </w:rPr>
              <w:t>附加检查项β（条件暴露系数）</w:t>
            </w:r>
          </w:p>
        </w:tc>
      </w:tr>
      <w:tr w:rsidR="00660AC6" w14:paraId="524E71C3" w14:textId="77777777">
        <w:tc>
          <w:tcPr>
            <w:tcW w:w="14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1C0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健康成人</w:t>
            </w:r>
          </w:p>
        </w:tc>
        <w:tc>
          <w:tcPr>
            <w:tcW w:w="26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C1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1C2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无</w:t>
            </w:r>
          </w:p>
        </w:tc>
      </w:tr>
      <w:tr w:rsidR="00660AC6" w14:paraId="524E71C7" w14:textId="77777777">
        <w:tc>
          <w:tcPr>
            <w:tcW w:w="14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1C4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敏感肌</w:t>
            </w:r>
          </w:p>
        </w:tc>
        <w:tc>
          <w:tcPr>
            <w:tcW w:w="26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C5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0.5（阈值降50%）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1C6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交叉反应检查（同族致敏原）</w:t>
            </w:r>
          </w:p>
        </w:tc>
      </w:tr>
      <w:tr w:rsidR="00660AC6" w14:paraId="524E71CB" w14:textId="77777777">
        <w:tc>
          <w:tcPr>
            <w:tcW w:w="14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1C8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孕妇</w:t>
            </w:r>
          </w:p>
        </w:tc>
        <w:tc>
          <w:tcPr>
            <w:tcW w:w="26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C9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1CA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生殖毒性成分检查（邻苯二甲酸酯、Lilial）</w:t>
            </w:r>
          </w:p>
        </w:tc>
      </w:tr>
      <w:tr w:rsidR="00660AC6" w14:paraId="524E71CF" w14:textId="77777777">
        <w:tc>
          <w:tcPr>
            <w:tcW w:w="14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1CC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过敏性鼻炎</w:t>
            </w:r>
          </w:p>
        </w:tc>
        <w:tc>
          <w:tcPr>
            <w:tcW w:w="26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CD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1CE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高挥发性醛类呼吸道刺激标注</w:t>
            </w:r>
          </w:p>
        </w:tc>
      </w:tr>
      <w:tr w:rsidR="00660AC6" w14:paraId="524E71D3" w14:textId="77777777">
        <w:tc>
          <w:tcPr>
            <w:tcW w:w="14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1D0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失嗅人群</w:t>
            </w:r>
          </w:p>
        </w:tc>
        <w:tc>
          <w:tcPr>
            <w:tcW w:w="26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1D1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1D2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嗅觉替代预警（氧化D值强视觉推送）</w:t>
            </w:r>
          </w:p>
        </w:tc>
      </w:tr>
    </w:tbl>
    <w:p w14:paraId="524E71D4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/>
          <w:color w:val="0F1115"/>
          <w:shd w:val="clear" w:color="auto" w:fill="FFFFFF"/>
        </w:rPr>
        <w:t>设计原则：α仅反映生理耐受差异（敏感肌阈值更严）；β仅反映实际暴露量变化（密闭空间、高频使用）；失嗅人群的感知缺失由交互层补偿，不参与风险计算，避免与氧化量化重复加权。</w:t>
      </w:r>
    </w:p>
    <w:p w14:paraId="524E71D5" w14:textId="77777777" w:rsidR="00660AC6" w:rsidRDefault="00660AC6">
      <w:pPr>
        <w:pStyle w:val="a3"/>
        <w:widowControl/>
        <w:shd w:val="clear" w:color="auto" w:fill="FFFFFF"/>
        <w:spacing w:line="4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</w:p>
    <w:p w14:paraId="524E71D6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b/>
          <w:bCs/>
          <w:color w:val="0F1115"/>
          <w:shd w:val="clear" w:color="auto" w:fill="FFFFFF"/>
        </w:rPr>
      </w:pPr>
      <w:r>
        <w:rPr>
          <w:rFonts w:ascii="楷体" w:eastAsia="楷体" w:hAnsi="楷体" w:cs="楷体"/>
          <w:b/>
          <w:bCs/>
          <w:color w:val="0F1115"/>
          <w:shd w:val="clear" w:color="auto" w:fill="FFFFFF"/>
        </w:rPr>
        <w:t>3.1.5 高频最常见致敏香料</w:t>
      </w:r>
    </w:p>
    <w:p w14:paraId="524E71D7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/>
          <w:color w:val="0F1115"/>
          <w:shd w:val="clear" w:color="auto" w:fill="FFFFFF"/>
        </w:rPr>
        <w:t>日常香水大量出现的核心致敏香料：</w:t>
      </w:r>
    </w:p>
    <w:p w14:paraId="524E71D8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Times New Roman" w:eastAsia="楷体" w:hAnsi="Times New Roman" w:cs="Times New Roman"/>
          <w:b/>
          <w:bCs/>
          <w:color w:val="0F1115"/>
          <w:shd w:val="clear" w:color="auto" w:fill="FFFFFF"/>
        </w:rPr>
        <w:t xml:space="preserve">Limonene </w:t>
      </w:r>
      <w:r>
        <w:rPr>
          <w:rFonts w:ascii="楷体" w:eastAsia="楷体" w:hAnsi="楷体" w:cs="楷体"/>
          <w:b/>
          <w:bCs/>
          <w:color w:val="0F1115"/>
          <w:shd w:val="clear" w:color="auto" w:fill="FFFFFF"/>
        </w:rPr>
        <w:t>柠檬烯</w:t>
      </w:r>
      <w:r>
        <w:rPr>
          <w:rFonts w:ascii="楷体" w:eastAsia="楷体" w:hAnsi="楷体" w:cs="楷体"/>
          <w:color w:val="0F1115"/>
          <w:shd w:val="clear" w:color="auto" w:fill="FFFFFF"/>
        </w:rPr>
        <w:t>｜柑橘精油来源，香柠檬/橙子/柑橘调；氧化后致敏性大幅上升，久放香水风险变高</w:t>
      </w:r>
    </w:p>
    <w:p w14:paraId="524E71D9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Times New Roman" w:eastAsia="楷体" w:hAnsi="Times New Roman" w:cs="Times New Roman"/>
          <w:b/>
          <w:bCs/>
          <w:color w:val="0F1115"/>
          <w:shd w:val="clear" w:color="auto" w:fill="FFFFFF"/>
        </w:rPr>
        <w:t xml:space="preserve">Linalool </w:t>
      </w:r>
      <w:r>
        <w:rPr>
          <w:rFonts w:ascii="楷体" w:eastAsia="楷体" w:hAnsi="楷体" w:cs="楷体"/>
          <w:b/>
          <w:bCs/>
          <w:color w:val="0F1115"/>
          <w:shd w:val="clear" w:color="auto" w:fill="FFFFFF"/>
        </w:rPr>
        <w:t>芳樟醇</w:t>
      </w:r>
      <w:r>
        <w:rPr>
          <w:rFonts w:ascii="楷体" w:eastAsia="楷体" w:hAnsi="楷体" w:cs="楷体"/>
          <w:color w:val="0F1115"/>
          <w:shd w:val="clear" w:color="auto" w:fill="FFFFFF"/>
        </w:rPr>
        <w:t>｜薰衣草、佛手柑、橙花；氧化产物刺激性很强，最常见香料过敏原之一</w:t>
      </w:r>
    </w:p>
    <w:p w14:paraId="524E71DA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Times New Roman" w:eastAsia="楷体" w:hAnsi="Times New Roman" w:cs="Times New Roman"/>
          <w:b/>
          <w:bCs/>
          <w:color w:val="0F1115"/>
          <w:shd w:val="clear" w:color="auto" w:fill="FFFFFF"/>
        </w:rPr>
      </w:pPr>
      <w:r>
        <w:rPr>
          <w:rFonts w:ascii="Times New Roman" w:eastAsia="楷体" w:hAnsi="Times New Roman" w:cs="Times New Roman"/>
          <w:b/>
          <w:bCs/>
          <w:color w:val="0F1115"/>
          <w:shd w:val="clear" w:color="auto" w:fill="FFFFFF"/>
        </w:rPr>
        <w:t xml:space="preserve">Geraniol </w:t>
      </w:r>
      <w:r>
        <w:rPr>
          <w:rFonts w:ascii="Times New Roman" w:eastAsia="楷体" w:hAnsi="Times New Roman" w:cs="Times New Roman"/>
          <w:b/>
          <w:bCs/>
          <w:color w:val="0F1115"/>
          <w:shd w:val="clear" w:color="auto" w:fill="FFFFFF"/>
        </w:rPr>
        <w:t>香叶醇｜</w:t>
      </w:r>
      <w:r>
        <w:rPr>
          <w:rFonts w:ascii="楷体" w:eastAsia="楷体" w:hAnsi="楷体" w:cs="楷体"/>
          <w:color w:val="0F1115"/>
          <w:shd w:val="clear" w:color="auto" w:fill="FFFFFF"/>
        </w:rPr>
        <w:t>玫瑰、天竺葵，甜花香；花香调香水几乎普遍含有</w:t>
      </w:r>
    </w:p>
    <w:p w14:paraId="524E71DB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Times New Roman" w:eastAsia="楷体" w:hAnsi="Times New Roman" w:cs="Times New Roman"/>
          <w:b/>
          <w:bCs/>
          <w:color w:val="0F1115"/>
          <w:shd w:val="clear" w:color="auto" w:fill="FFFFFF"/>
        </w:rPr>
        <w:t xml:space="preserve">Citral </w:t>
      </w:r>
      <w:r>
        <w:rPr>
          <w:rFonts w:ascii="楷体" w:eastAsia="楷体" w:hAnsi="楷体" w:cs="楷体"/>
          <w:b/>
          <w:bCs/>
          <w:color w:val="0F1115"/>
          <w:shd w:val="clear" w:color="auto" w:fill="FFFFFF"/>
        </w:rPr>
        <w:t>柠檬醛</w:t>
      </w:r>
      <w:r>
        <w:rPr>
          <w:rFonts w:ascii="楷体" w:eastAsia="楷体" w:hAnsi="楷体" w:cs="楷体"/>
          <w:color w:val="0F1115"/>
          <w:shd w:val="clear" w:color="auto" w:fill="FFFFFF"/>
        </w:rPr>
        <w:t>｜强烈柠檬香气，柑橘、花香调；接触性皮炎高发</w:t>
      </w:r>
    </w:p>
    <w:p w14:paraId="524E71DC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Times New Roman" w:eastAsia="楷体" w:hAnsi="Times New Roman" w:cs="Times New Roman"/>
          <w:b/>
          <w:bCs/>
          <w:color w:val="0F1115"/>
          <w:shd w:val="clear" w:color="auto" w:fill="FFFFFF"/>
        </w:rPr>
        <w:t xml:space="preserve">Eugenol </w:t>
      </w:r>
      <w:r>
        <w:rPr>
          <w:rFonts w:ascii="楷体" w:eastAsia="楷体" w:hAnsi="楷体" w:cs="楷体"/>
          <w:b/>
          <w:bCs/>
          <w:color w:val="0F1115"/>
          <w:shd w:val="clear" w:color="auto" w:fill="FFFFFF"/>
        </w:rPr>
        <w:t>丁香酚</w:t>
      </w:r>
      <w:r>
        <w:rPr>
          <w:rFonts w:ascii="楷体" w:eastAsia="楷体" w:hAnsi="楷体" w:cs="楷体"/>
          <w:color w:val="0F1115"/>
          <w:shd w:val="clear" w:color="auto" w:fill="FFFFFF"/>
        </w:rPr>
        <w:t>｜丁香油，辛香、东方调；刺激性较强，IFRA严格限用量</w:t>
      </w:r>
    </w:p>
    <w:p w14:paraId="524E71DD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Times New Roman" w:eastAsia="楷体" w:hAnsi="Times New Roman" w:cs="Times New Roman"/>
          <w:b/>
          <w:bCs/>
          <w:color w:val="0F1115"/>
          <w:shd w:val="clear" w:color="auto" w:fill="FFFFFF"/>
        </w:rPr>
        <w:t>Cinnamal</w:t>
      </w:r>
      <w:r>
        <w:rPr>
          <w:rFonts w:ascii="楷体" w:eastAsia="楷体" w:hAnsi="楷体" w:cs="楷体"/>
          <w:b/>
          <w:bCs/>
          <w:color w:val="0F1115"/>
          <w:shd w:val="clear" w:color="auto" w:fill="FFFFFF"/>
        </w:rPr>
        <w:t xml:space="preserve"> 肉桂醛</w:t>
      </w:r>
      <w:r>
        <w:rPr>
          <w:rFonts w:ascii="楷体" w:eastAsia="楷体" w:hAnsi="楷体" w:cs="楷体"/>
          <w:color w:val="0F1115"/>
          <w:shd w:val="clear" w:color="auto" w:fill="FFFFFF"/>
        </w:rPr>
        <w:t>｜肉桂香气，辛香调，强致敏物</w:t>
      </w:r>
    </w:p>
    <w:p w14:paraId="524E71DE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Times New Roman" w:eastAsia="楷体" w:hAnsi="Times New Roman" w:cs="Times New Roman"/>
          <w:b/>
          <w:bCs/>
          <w:color w:val="0F1115"/>
          <w:shd w:val="clear" w:color="auto" w:fill="FFFFFF"/>
        </w:rPr>
        <w:t xml:space="preserve">Coumarin </w:t>
      </w:r>
      <w:r>
        <w:rPr>
          <w:rFonts w:ascii="楷体" w:eastAsia="楷体" w:hAnsi="楷体" w:cs="楷体"/>
          <w:b/>
          <w:bCs/>
          <w:color w:val="0F1115"/>
          <w:shd w:val="clear" w:color="auto" w:fill="FFFFFF"/>
        </w:rPr>
        <w:t>香豆素</w:t>
      </w:r>
      <w:r>
        <w:rPr>
          <w:rFonts w:ascii="楷体" w:eastAsia="楷体" w:hAnsi="楷体" w:cs="楷体"/>
          <w:color w:val="0F1115"/>
          <w:shd w:val="clear" w:color="auto" w:fill="FFFFFF"/>
        </w:rPr>
        <w:t>｜香草、干草甜香，美食调；兼具光敏性，晒太阳更容易泛红发痒</w:t>
      </w:r>
    </w:p>
    <w:p w14:paraId="524E71DF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Times New Roman" w:eastAsia="楷体" w:hAnsi="Times New Roman" w:cs="Times New Roman"/>
          <w:b/>
          <w:bCs/>
          <w:color w:val="0F1115"/>
          <w:shd w:val="clear" w:color="auto" w:fill="FFFFFF"/>
        </w:rPr>
      </w:pPr>
      <w:r>
        <w:rPr>
          <w:rFonts w:ascii="Times New Roman" w:eastAsia="楷体" w:hAnsi="Times New Roman" w:cs="Times New Roman"/>
          <w:b/>
          <w:bCs/>
          <w:color w:val="0F1115"/>
          <w:shd w:val="clear" w:color="auto" w:fill="FFFFFF"/>
        </w:rPr>
        <w:t xml:space="preserve">Citronellol </w:t>
      </w:r>
      <w:r>
        <w:rPr>
          <w:rFonts w:ascii="Times New Roman" w:eastAsia="楷体" w:hAnsi="Times New Roman" w:cs="Times New Roman"/>
          <w:b/>
          <w:bCs/>
          <w:color w:val="0F1115"/>
          <w:shd w:val="clear" w:color="auto" w:fill="FFFFFF"/>
        </w:rPr>
        <w:t>香茅醇｜</w:t>
      </w:r>
      <w:r>
        <w:rPr>
          <w:rFonts w:ascii="楷体" w:eastAsia="楷体" w:hAnsi="楷体" w:cs="楷体"/>
          <w:color w:val="0F1115"/>
          <w:shd w:val="clear" w:color="auto" w:fill="FFFFFF"/>
        </w:rPr>
        <w:t>玫瑰花香原料，广泛用于花香香水</w:t>
      </w:r>
    </w:p>
    <w:p w14:paraId="524E71E0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Times New Roman" w:eastAsia="楷体" w:hAnsi="Times New Roman" w:cs="Times New Roman"/>
          <w:b/>
          <w:bCs/>
          <w:color w:val="0F1115"/>
          <w:shd w:val="clear" w:color="auto" w:fill="FFFFFF"/>
        </w:rPr>
        <w:t>Isoeugenol</w:t>
      </w:r>
      <w:r>
        <w:rPr>
          <w:rFonts w:ascii="楷体" w:eastAsia="楷体" w:hAnsi="楷体" w:cs="楷体"/>
          <w:b/>
          <w:bCs/>
          <w:color w:val="0F1115"/>
          <w:shd w:val="clear" w:color="auto" w:fill="FFFFFF"/>
        </w:rPr>
        <w:t xml:space="preserve"> 异丁香酚</w:t>
      </w:r>
      <w:r>
        <w:rPr>
          <w:rFonts w:ascii="楷体" w:eastAsia="楷体" w:hAnsi="楷体" w:cs="楷体"/>
          <w:color w:val="0F1115"/>
          <w:shd w:val="clear" w:color="auto" w:fill="FFFFFF"/>
        </w:rPr>
        <w:t>｜温暖辛香，IFRA极低上限，高致敏性</w:t>
      </w:r>
    </w:p>
    <w:p w14:paraId="524E71E1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Times New Roman" w:eastAsia="楷体" w:hAnsi="Times New Roman" w:cs="Times New Roman"/>
          <w:b/>
          <w:bCs/>
          <w:color w:val="0F1115"/>
          <w:shd w:val="clear" w:color="auto" w:fill="FFFFFF"/>
        </w:rPr>
        <w:lastRenderedPageBreak/>
        <w:t xml:space="preserve">Hydroxycitronellal </w:t>
      </w:r>
      <w:r>
        <w:rPr>
          <w:rFonts w:ascii="楷体" w:eastAsia="楷体" w:hAnsi="楷体" w:cs="楷体"/>
          <w:b/>
          <w:bCs/>
          <w:color w:val="0F1115"/>
          <w:shd w:val="clear" w:color="auto" w:fill="FFFFFF"/>
        </w:rPr>
        <w:t>羟基香茅醛</w:t>
      </w:r>
      <w:r>
        <w:rPr>
          <w:rFonts w:ascii="楷体" w:eastAsia="楷体" w:hAnsi="楷体" w:cs="楷体"/>
          <w:color w:val="0F1115"/>
          <w:shd w:val="clear" w:color="auto" w:fill="FFFFFF"/>
        </w:rPr>
        <w:t>｜经典铃兰花香原料，花香调高频成分</w:t>
      </w:r>
    </w:p>
    <w:p w14:paraId="524E71E2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Times New Roman" w:eastAsia="楷体" w:hAnsi="Times New Roman" w:cs="Times New Roman"/>
          <w:b/>
          <w:bCs/>
          <w:color w:val="0F1115"/>
          <w:shd w:val="clear" w:color="auto" w:fill="FFFFFF"/>
        </w:rPr>
        <w:t xml:space="preserve">Farnesol </w:t>
      </w:r>
      <w:r>
        <w:rPr>
          <w:rFonts w:ascii="楷体" w:eastAsia="楷体" w:hAnsi="楷体" w:cs="楷体"/>
          <w:b/>
          <w:bCs/>
          <w:color w:val="0F1115"/>
          <w:shd w:val="clear" w:color="auto" w:fill="FFFFFF"/>
        </w:rPr>
        <w:t>法呢醇</w:t>
      </w:r>
      <w:r>
        <w:rPr>
          <w:rFonts w:ascii="楷体" w:eastAsia="楷体" w:hAnsi="楷体" w:cs="楷体"/>
          <w:color w:val="0F1115"/>
          <w:shd w:val="clear" w:color="auto" w:fill="FFFFFF"/>
        </w:rPr>
        <w:t>｜茉莉、橙花，花香柑橘调；易氧化致敏</w:t>
      </w:r>
    </w:p>
    <w:p w14:paraId="524E71E3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Times New Roman" w:eastAsia="楷体" w:hAnsi="Times New Roman" w:cs="Times New Roman"/>
          <w:b/>
          <w:bCs/>
          <w:color w:val="0F1115"/>
          <w:shd w:val="clear" w:color="auto" w:fill="FFFFFF"/>
        </w:rPr>
        <w:t xml:space="preserve">Benzyl salicylate </w:t>
      </w:r>
      <w:r>
        <w:rPr>
          <w:rFonts w:ascii="楷体" w:eastAsia="楷体" w:hAnsi="楷体" w:cs="楷体"/>
          <w:b/>
          <w:bCs/>
          <w:color w:val="0F1115"/>
          <w:shd w:val="clear" w:color="auto" w:fill="FFFFFF"/>
        </w:rPr>
        <w:t>水杨酸苄酯</w:t>
      </w:r>
      <w:r>
        <w:rPr>
          <w:rFonts w:ascii="楷体" w:eastAsia="楷体" w:hAnsi="楷体" w:cs="楷体"/>
          <w:color w:val="0F1115"/>
          <w:shd w:val="clear" w:color="auto" w:fill="FFFFFF"/>
        </w:rPr>
        <w:t>｜花香定香剂，很多白花调香水都有</w:t>
      </w:r>
    </w:p>
    <w:p w14:paraId="524E71E4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Times New Roman" w:eastAsia="楷体" w:hAnsi="Times New Roman" w:cs="Times New Roman"/>
          <w:b/>
          <w:bCs/>
          <w:color w:val="0F1115"/>
          <w:shd w:val="clear" w:color="auto" w:fill="FFFFFF"/>
        </w:rPr>
        <w:t>Oak moss</w:t>
      </w:r>
      <w:r>
        <w:rPr>
          <w:rFonts w:ascii="楷体" w:eastAsia="楷体" w:hAnsi="楷体" w:cs="楷体"/>
          <w:b/>
          <w:bCs/>
          <w:color w:val="0F1115"/>
          <w:shd w:val="clear" w:color="auto" w:fill="FFFFFF"/>
        </w:rPr>
        <w:t xml:space="preserve"> 树苔净油/橡苔</w:t>
      </w:r>
      <w:r>
        <w:rPr>
          <w:rFonts w:ascii="楷体" w:eastAsia="楷体" w:hAnsi="楷体" w:cs="楷体"/>
          <w:color w:val="0F1115"/>
          <w:shd w:val="clear" w:color="auto" w:fill="FFFFFF"/>
        </w:rPr>
        <w:t>｜西普调经典原料，致敏极强，IFRA大幅限制使用量</w:t>
      </w:r>
    </w:p>
    <w:p w14:paraId="524E71E5" w14:textId="77777777" w:rsidR="00660AC6" w:rsidRDefault="00660AC6">
      <w:pPr>
        <w:pStyle w:val="a3"/>
        <w:widowControl/>
        <w:shd w:val="clear" w:color="auto" w:fill="FFFFFF"/>
        <w:spacing w:line="4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</w:p>
    <w:p w14:paraId="524E71E6" w14:textId="77777777" w:rsidR="00660AC6" w:rsidRDefault="0023687C">
      <w:pPr>
        <w:pStyle w:val="4"/>
        <w:widowControl/>
        <w:shd w:val="clear" w:color="auto" w:fill="FFFFFF"/>
        <w:spacing w:before="192" w:beforeAutospacing="0" w:after="192" w:afterAutospacing="0"/>
        <w:rPr>
          <w:rFonts w:ascii="楷体" w:eastAsia="楷体" w:hAnsi="楷体" w:cs="楷体"/>
          <w:color w:val="0F1115"/>
          <w:kern w:val="2"/>
          <w:shd w:val="clear" w:color="auto" w:fill="FFFFFF"/>
        </w:rPr>
      </w:pPr>
      <w:r>
        <w:rPr>
          <w:rFonts w:ascii="楷体" w:eastAsia="楷体" w:hAnsi="楷体" w:cs="楷体" w:hint="default"/>
          <w:color w:val="0F1115"/>
          <w:kern w:val="2"/>
          <w:shd w:val="clear" w:color="auto" w:fill="FFFFFF"/>
        </w:rPr>
        <w:t>3.1.6 过敏反应分类</w:t>
      </w:r>
    </w:p>
    <w:p w14:paraId="524E71E7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b/>
          <w:bCs/>
          <w:color w:val="0F1115"/>
          <w:shd w:val="clear" w:color="auto" w:fill="FFFFFF"/>
        </w:rPr>
      </w:pPr>
      <w:r>
        <w:rPr>
          <w:rFonts w:ascii="楷体" w:eastAsia="楷体" w:hAnsi="楷体" w:cs="楷体"/>
          <w:b/>
          <w:bCs/>
          <w:color w:val="0F1115"/>
          <w:shd w:val="clear" w:color="auto" w:fill="FFFFFF"/>
        </w:rPr>
        <w:t>⑴ 挥发物刺激反应（非过敏）</w:t>
      </w:r>
    </w:p>
    <w:p w14:paraId="524E71E8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 w:hint="eastAsia"/>
          <w:color w:val="0F1115"/>
          <w:shd w:val="clear" w:color="auto" w:fill="FFFFFF"/>
        </w:rPr>
        <w:t>香水喷洒后释放的苯、甲醛等物质，可能刺激眼鼻黏膜，诱发哮喘或过敏性鼻炎。症状：局部皮肤瘙痒/红斑、打喷嚏、流泪、呼吸困难（严重时可能引发过敏性休克）。</w:t>
      </w:r>
    </w:p>
    <w:p w14:paraId="524E71E9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 w:hint="eastAsia"/>
          <w:color w:val="0F1115"/>
          <w:shd w:val="clear" w:color="auto" w:fill="FFFFFF"/>
        </w:rPr>
        <w:t>多数属于挥发性物质对黏膜的非特异性刺激反应，不属于免疫介导过敏；仅少数个体发生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IgE</w:t>
      </w:r>
      <w:r>
        <w:rPr>
          <w:rFonts w:ascii="楷体" w:eastAsia="楷体" w:hAnsi="楷体" w:cs="楷体" w:hint="eastAsia"/>
          <w:color w:val="0F1115"/>
          <w:shd w:val="clear" w:color="auto" w:fill="FFFFFF"/>
        </w:rPr>
        <w:t>介导气道致敏时，才属于真正过敏。皮肤香料接触过敏（IV型迟发型）主要表现在皮肤，一般不以呼吸道症状为主。</w:t>
      </w:r>
    </w:p>
    <w:p w14:paraId="524E71EA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b/>
          <w:bCs/>
          <w:color w:val="0F1115"/>
          <w:shd w:val="clear" w:color="auto" w:fill="FFFFFF"/>
        </w:rPr>
      </w:pPr>
      <w:r>
        <w:rPr>
          <w:rFonts w:ascii="楷体" w:eastAsia="楷体" w:hAnsi="楷体" w:cs="楷体"/>
          <w:b/>
          <w:bCs/>
          <w:color w:val="0F1115"/>
          <w:shd w:val="clear" w:color="auto" w:fill="FFFFFF"/>
        </w:rPr>
        <w:t>⑵ 过敏性接触皮炎 Ⅳ型迟发型接触性皮炎（最典型的香水过敏）</w:t>
      </w:r>
    </w:p>
    <w:p w14:paraId="524E71EB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/>
          <w:color w:val="0F1115"/>
          <w:shd w:val="clear" w:color="auto" w:fill="FFFFFF"/>
        </w:rPr>
        <w:t>香水中半抗原（芳樟醇、香叶醇、肉桂醛、橡苔等香料分子）结合皮肤蛋白，触发免疫反应。症状：接触部位红斑、瘙痒、丘疹、小水泡；脖子、手腕、耳后、眼睑高发。</w:t>
      </w:r>
    </w:p>
    <w:p w14:paraId="524E71EC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/>
          <w:color w:val="0F1115"/>
          <w:shd w:val="clear" w:color="auto" w:fill="FFFFFF"/>
        </w:rPr>
        <w:t>欧盟化妆品法规列出26种香料致敏原：</w:t>
      </w:r>
    </w:p>
    <w:tbl>
      <w:tblPr>
        <w:tblW w:w="9534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2062"/>
        <w:gridCol w:w="1582"/>
        <w:gridCol w:w="1527"/>
        <w:gridCol w:w="1964"/>
        <w:gridCol w:w="1429"/>
      </w:tblGrid>
      <w:tr w:rsidR="00660AC6" w14:paraId="524E71F3" w14:textId="77777777">
        <w:trPr>
          <w:trHeight w:val="1166"/>
          <w:jc w:val="center"/>
        </w:trPr>
        <w:tc>
          <w:tcPr>
            <w:tcW w:w="970" w:type="dxa"/>
            <w:tcBorders>
              <w:top w:val="nil"/>
            </w:tcBorders>
            <w:tcMar>
              <w:top w:w="147" w:type="dxa"/>
              <w:left w:w="0" w:type="dxa"/>
              <w:bottom w:w="147" w:type="dxa"/>
              <w:right w:w="240" w:type="dxa"/>
            </w:tcMar>
            <w:vAlign w:val="center"/>
          </w:tcPr>
          <w:p w14:paraId="524E71ED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2"/>
                <w:szCs w:val="22"/>
                <w:lang w:bidi="ar"/>
              </w:rPr>
              <w:t>序号</w:t>
            </w:r>
          </w:p>
        </w:tc>
        <w:tc>
          <w:tcPr>
            <w:tcW w:w="2062" w:type="dxa"/>
            <w:tcBorders>
              <w:top w:val="nil"/>
            </w:tcBorders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1EE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b/>
                <w:bCs/>
                <w:kern w:val="0"/>
                <w:sz w:val="22"/>
                <w:szCs w:val="22"/>
                <w:lang w:bidi="ar"/>
              </w:rPr>
              <w:t xml:space="preserve">INCI </w:t>
            </w:r>
            <w:r>
              <w:rPr>
                <w:rFonts w:ascii="楷体" w:eastAsia="楷体" w:hAnsi="楷体" w:cs="楷体" w:hint="eastAsia"/>
                <w:b/>
                <w:bCs/>
                <w:kern w:val="0"/>
                <w:sz w:val="22"/>
                <w:szCs w:val="22"/>
                <w:lang w:bidi="ar"/>
              </w:rPr>
              <w:t>英文名</w:t>
            </w:r>
          </w:p>
        </w:tc>
        <w:tc>
          <w:tcPr>
            <w:tcW w:w="1582" w:type="dxa"/>
            <w:tcBorders>
              <w:top w:val="nil"/>
            </w:tcBorders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1EF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2"/>
                <w:szCs w:val="22"/>
                <w:lang w:bidi="ar"/>
              </w:rPr>
              <w:t>中文通用名</w:t>
            </w:r>
          </w:p>
        </w:tc>
        <w:tc>
          <w:tcPr>
            <w:tcW w:w="1527" w:type="dxa"/>
            <w:tcBorders>
              <w:top w:val="nil"/>
            </w:tcBorders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1F0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b/>
                <w:bCs/>
                <w:kern w:val="0"/>
                <w:sz w:val="22"/>
                <w:szCs w:val="22"/>
                <w:lang w:bidi="ar"/>
              </w:rPr>
              <w:t>CAS</w:t>
            </w:r>
            <w:r>
              <w:rPr>
                <w:rFonts w:ascii="Times New Roman" w:eastAsia="楷体" w:hAnsi="Times New Roman" w:cs="Times New Roman"/>
                <w:b/>
                <w:bCs/>
                <w:kern w:val="0"/>
                <w:sz w:val="22"/>
                <w:szCs w:val="22"/>
                <w:lang w:bidi="ar"/>
              </w:rPr>
              <w:t>号</w:t>
            </w:r>
          </w:p>
        </w:tc>
        <w:tc>
          <w:tcPr>
            <w:tcW w:w="1964" w:type="dxa"/>
            <w:tcBorders>
              <w:top w:val="nil"/>
            </w:tcBorders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1F1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2"/>
                <w:szCs w:val="22"/>
                <w:lang w:bidi="ar"/>
              </w:rPr>
              <w:t>香料来源/香型</w:t>
            </w:r>
          </w:p>
        </w:tc>
        <w:tc>
          <w:tcPr>
            <w:tcW w:w="1429" w:type="dxa"/>
            <w:tcBorders>
              <w:top w:val="nil"/>
            </w:tcBorders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1F2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b/>
                <w:bCs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b/>
                <w:bCs/>
                <w:kern w:val="0"/>
                <w:sz w:val="22"/>
                <w:szCs w:val="22"/>
                <w:lang w:bidi="ar"/>
              </w:rPr>
              <w:t>IV</w:t>
            </w:r>
            <w:r>
              <w:rPr>
                <w:rFonts w:ascii="楷体" w:eastAsia="楷体" w:hAnsi="楷体" w:cs="楷体" w:hint="eastAsia"/>
                <w:b/>
                <w:bCs/>
                <w:kern w:val="0"/>
                <w:sz w:val="22"/>
                <w:szCs w:val="22"/>
                <w:lang w:bidi="ar"/>
              </w:rPr>
              <w:t>型致敏备注</w:t>
            </w:r>
          </w:p>
        </w:tc>
      </w:tr>
      <w:tr w:rsidR="00660AC6" w14:paraId="524E71FA" w14:textId="77777777">
        <w:trPr>
          <w:trHeight w:val="1115"/>
          <w:jc w:val="center"/>
        </w:trPr>
        <w:tc>
          <w:tcPr>
            <w:tcW w:w="970" w:type="dxa"/>
            <w:tcMar>
              <w:top w:w="147" w:type="dxa"/>
              <w:left w:w="0" w:type="dxa"/>
              <w:bottom w:w="147" w:type="dxa"/>
              <w:right w:w="240" w:type="dxa"/>
            </w:tcMar>
            <w:vAlign w:val="center"/>
          </w:tcPr>
          <w:p w14:paraId="524E71F4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206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1F5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Amyl cinnamal</w:t>
            </w:r>
          </w:p>
        </w:tc>
        <w:tc>
          <w:tcPr>
            <w:tcW w:w="158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1F6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戊基肉桂醛</w:t>
            </w:r>
          </w:p>
        </w:tc>
        <w:tc>
          <w:tcPr>
            <w:tcW w:w="1527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1F7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122-40-7</w:t>
            </w:r>
          </w:p>
        </w:tc>
        <w:tc>
          <w:tcPr>
            <w:tcW w:w="1964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1F8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茉莉花香</w:t>
            </w:r>
          </w:p>
        </w:tc>
        <w:tc>
          <w:tcPr>
            <w:tcW w:w="1429" w:type="dxa"/>
            <w:tcMar>
              <w:top w:w="147" w:type="dxa"/>
              <w:left w:w="240" w:type="dxa"/>
              <w:bottom w:w="147" w:type="dxa"/>
              <w:right w:w="0" w:type="dxa"/>
            </w:tcMar>
            <w:vAlign w:val="center"/>
          </w:tcPr>
          <w:p w14:paraId="524E71F9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强迟发型致敏</w:t>
            </w:r>
          </w:p>
        </w:tc>
      </w:tr>
      <w:tr w:rsidR="00660AC6" w14:paraId="524E7201" w14:textId="77777777">
        <w:trPr>
          <w:trHeight w:val="1362"/>
          <w:jc w:val="center"/>
        </w:trPr>
        <w:tc>
          <w:tcPr>
            <w:tcW w:w="970" w:type="dxa"/>
            <w:tcMar>
              <w:top w:w="147" w:type="dxa"/>
              <w:left w:w="0" w:type="dxa"/>
              <w:bottom w:w="147" w:type="dxa"/>
              <w:right w:w="240" w:type="dxa"/>
            </w:tcMar>
            <w:vAlign w:val="center"/>
          </w:tcPr>
          <w:p w14:paraId="524E71FB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2</w:t>
            </w:r>
          </w:p>
        </w:tc>
        <w:tc>
          <w:tcPr>
            <w:tcW w:w="206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1FC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Amylcinnamyl alcohol</w:t>
            </w:r>
          </w:p>
        </w:tc>
        <w:tc>
          <w:tcPr>
            <w:tcW w:w="158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1FD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戊基肉桂醇</w:t>
            </w:r>
          </w:p>
        </w:tc>
        <w:tc>
          <w:tcPr>
            <w:tcW w:w="1527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1FE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101-85-9</w:t>
            </w:r>
          </w:p>
        </w:tc>
        <w:tc>
          <w:tcPr>
            <w:tcW w:w="1964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1FF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甜花香</w:t>
            </w:r>
          </w:p>
        </w:tc>
        <w:tc>
          <w:tcPr>
            <w:tcW w:w="1429" w:type="dxa"/>
            <w:tcMar>
              <w:top w:w="147" w:type="dxa"/>
              <w:left w:w="240" w:type="dxa"/>
              <w:bottom w:w="147" w:type="dxa"/>
              <w:right w:w="0" w:type="dxa"/>
            </w:tcMar>
            <w:vAlign w:val="center"/>
          </w:tcPr>
          <w:p w14:paraId="524E7200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氧化转为戊基肉桂醛致敏</w:t>
            </w:r>
          </w:p>
        </w:tc>
      </w:tr>
      <w:tr w:rsidR="00660AC6" w14:paraId="524E7208" w14:textId="77777777">
        <w:trPr>
          <w:trHeight w:val="567"/>
          <w:jc w:val="center"/>
        </w:trPr>
        <w:tc>
          <w:tcPr>
            <w:tcW w:w="970" w:type="dxa"/>
            <w:tcMar>
              <w:top w:w="147" w:type="dxa"/>
              <w:left w:w="0" w:type="dxa"/>
              <w:bottom w:w="147" w:type="dxa"/>
              <w:right w:w="240" w:type="dxa"/>
            </w:tcMar>
            <w:vAlign w:val="center"/>
          </w:tcPr>
          <w:p w14:paraId="524E7202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lastRenderedPageBreak/>
              <w:t>3</w:t>
            </w:r>
          </w:p>
        </w:tc>
        <w:tc>
          <w:tcPr>
            <w:tcW w:w="206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03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Anisyl alcohol</w:t>
            </w:r>
          </w:p>
        </w:tc>
        <w:tc>
          <w:tcPr>
            <w:tcW w:w="158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04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大茴香醇</w:t>
            </w:r>
          </w:p>
        </w:tc>
        <w:tc>
          <w:tcPr>
            <w:tcW w:w="1527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05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105-13-5</w:t>
            </w:r>
          </w:p>
        </w:tc>
        <w:tc>
          <w:tcPr>
            <w:tcW w:w="1964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06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茴香甜香</w:t>
            </w:r>
          </w:p>
        </w:tc>
        <w:tc>
          <w:tcPr>
            <w:tcW w:w="1429" w:type="dxa"/>
            <w:tcMar>
              <w:top w:w="147" w:type="dxa"/>
              <w:left w:w="240" w:type="dxa"/>
              <w:bottom w:w="147" w:type="dxa"/>
              <w:right w:w="0" w:type="dxa"/>
            </w:tcMar>
            <w:vAlign w:val="center"/>
          </w:tcPr>
          <w:p w14:paraId="524E7207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致敏相对低</w:t>
            </w:r>
          </w:p>
        </w:tc>
      </w:tr>
      <w:tr w:rsidR="00660AC6" w14:paraId="524E720F" w14:textId="77777777">
        <w:trPr>
          <w:trHeight w:val="567"/>
          <w:jc w:val="center"/>
        </w:trPr>
        <w:tc>
          <w:tcPr>
            <w:tcW w:w="970" w:type="dxa"/>
            <w:tcMar>
              <w:top w:w="147" w:type="dxa"/>
              <w:left w:w="0" w:type="dxa"/>
              <w:bottom w:w="147" w:type="dxa"/>
              <w:right w:w="240" w:type="dxa"/>
            </w:tcMar>
            <w:vAlign w:val="center"/>
          </w:tcPr>
          <w:p w14:paraId="524E7209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4</w:t>
            </w:r>
          </w:p>
        </w:tc>
        <w:tc>
          <w:tcPr>
            <w:tcW w:w="206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0A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Benzyl alcohol</w:t>
            </w:r>
          </w:p>
        </w:tc>
        <w:tc>
          <w:tcPr>
            <w:tcW w:w="158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0B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苯甲醇</w:t>
            </w:r>
          </w:p>
        </w:tc>
        <w:tc>
          <w:tcPr>
            <w:tcW w:w="1527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0C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100-51-6</w:t>
            </w:r>
          </w:p>
        </w:tc>
        <w:tc>
          <w:tcPr>
            <w:tcW w:w="1964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0D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花香溶剂</w:t>
            </w:r>
          </w:p>
        </w:tc>
        <w:tc>
          <w:tcPr>
            <w:tcW w:w="1429" w:type="dxa"/>
            <w:tcMar>
              <w:top w:w="147" w:type="dxa"/>
              <w:left w:w="240" w:type="dxa"/>
              <w:bottom w:w="147" w:type="dxa"/>
              <w:right w:w="0" w:type="dxa"/>
            </w:tcMar>
            <w:vAlign w:val="center"/>
          </w:tcPr>
          <w:p w14:paraId="524E720E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轻度致敏，也作防腐剂</w:t>
            </w:r>
          </w:p>
        </w:tc>
      </w:tr>
      <w:tr w:rsidR="00660AC6" w14:paraId="524E7216" w14:textId="77777777">
        <w:trPr>
          <w:trHeight w:val="567"/>
          <w:jc w:val="center"/>
        </w:trPr>
        <w:tc>
          <w:tcPr>
            <w:tcW w:w="970" w:type="dxa"/>
            <w:tcMar>
              <w:top w:w="147" w:type="dxa"/>
              <w:left w:w="0" w:type="dxa"/>
              <w:bottom w:w="147" w:type="dxa"/>
              <w:right w:w="240" w:type="dxa"/>
            </w:tcMar>
            <w:vAlign w:val="center"/>
          </w:tcPr>
          <w:p w14:paraId="524E7210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5</w:t>
            </w:r>
          </w:p>
        </w:tc>
        <w:tc>
          <w:tcPr>
            <w:tcW w:w="206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11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Benzyl benzoate</w:t>
            </w:r>
          </w:p>
        </w:tc>
        <w:tc>
          <w:tcPr>
            <w:tcW w:w="158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12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苯甲酸苄酯</w:t>
            </w:r>
          </w:p>
        </w:tc>
        <w:tc>
          <w:tcPr>
            <w:tcW w:w="1527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13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120-51-4</w:t>
            </w:r>
          </w:p>
        </w:tc>
        <w:tc>
          <w:tcPr>
            <w:tcW w:w="1964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14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定香剂；花香、东方调</w:t>
            </w:r>
          </w:p>
        </w:tc>
        <w:tc>
          <w:tcPr>
            <w:tcW w:w="1429" w:type="dxa"/>
            <w:tcMar>
              <w:top w:w="147" w:type="dxa"/>
              <w:left w:w="240" w:type="dxa"/>
              <w:bottom w:w="147" w:type="dxa"/>
              <w:right w:w="0" w:type="dxa"/>
            </w:tcMar>
            <w:vAlign w:val="center"/>
          </w:tcPr>
          <w:p w14:paraId="524E7215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-</w:t>
            </w:r>
          </w:p>
        </w:tc>
      </w:tr>
      <w:tr w:rsidR="00660AC6" w14:paraId="524E721D" w14:textId="77777777">
        <w:trPr>
          <w:trHeight w:val="567"/>
          <w:jc w:val="center"/>
        </w:trPr>
        <w:tc>
          <w:tcPr>
            <w:tcW w:w="970" w:type="dxa"/>
            <w:tcMar>
              <w:top w:w="147" w:type="dxa"/>
              <w:left w:w="0" w:type="dxa"/>
              <w:bottom w:w="147" w:type="dxa"/>
              <w:right w:w="240" w:type="dxa"/>
            </w:tcMar>
            <w:vAlign w:val="center"/>
          </w:tcPr>
          <w:p w14:paraId="524E7217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6</w:t>
            </w:r>
          </w:p>
        </w:tc>
        <w:tc>
          <w:tcPr>
            <w:tcW w:w="206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18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Benzyl cinnamate</w:t>
            </w:r>
          </w:p>
        </w:tc>
        <w:tc>
          <w:tcPr>
            <w:tcW w:w="158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19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肉桂酸苄酯</w:t>
            </w:r>
          </w:p>
        </w:tc>
        <w:tc>
          <w:tcPr>
            <w:tcW w:w="1527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1A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103-41-3</w:t>
            </w:r>
          </w:p>
        </w:tc>
        <w:tc>
          <w:tcPr>
            <w:tcW w:w="1964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1B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蜂蜜香、香膏感</w:t>
            </w:r>
          </w:p>
        </w:tc>
        <w:tc>
          <w:tcPr>
            <w:tcW w:w="1429" w:type="dxa"/>
            <w:tcMar>
              <w:top w:w="147" w:type="dxa"/>
              <w:left w:w="240" w:type="dxa"/>
              <w:bottom w:w="147" w:type="dxa"/>
              <w:right w:w="0" w:type="dxa"/>
            </w:tcMar>
            <w:vAlign w:val="center"/>
          </w:tcPr>
          <w:p w14:paraId="524E721C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-</w:t>
            </w:r>
          </w:p>
        </w:tc>
      </w:tr>
      <w:tr w:rsidR="00660AC6" w14:paraId="524E7224" w14:textId="77777777">
        <w:trPr>
          <w:trHeight w:val="567"/>
          <w:jc w:val="center"/>
        </w:trPr>
        <w:tc>
          <w:tcPr>
            <w:tcW w:w="970" w:type="dxa"/>
            <w:tcMar>
              <w:top w:w="147" w:type="dxa"/>
              <w:left w:w="0" w:type="dxa"/>
              <w:bottom w:w="147" w:type="dxa"/>
              <w:right w:w="240" w:type="dxa"/>
            </w:tcMar>
            <w:vAlign w:val="center"/>
          </w:tcPr>
          <w:p w14:paraId="524E721E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7</w:t>
            </w:r>
          </w:p>
        </w:tc>
        <w:tc>
          <w:tcPr>
            <w:tcW w:w="206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1F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Benzyl salicylate</w:t>
            </w:r>
          </w:p>
        </w:tc>
        <w:tc>
          <w:tcPr>
            <w:tcW w:w="158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20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水杨酸苄酯</w:t>
            </w:r>
          </w:p>
        </w:tc>
        <w:tc>
          <w:tcPr>
            <w:tcW w:w="1527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21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118-58-1</w:t>
            </w:r>
          </w:p>
        </w:tc>
        <w:tc>
          <w:tcPr>
            <w:tcW w:w="1964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22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晚香玉、白花定香剂</w:t>
            </w:r>
          </w:p>
        </w:tc>
        <w:tc>
          <w:tcPr>
            <w:tcW w:w="1429" w:type="dxa"/>
            <w:tcMar>
              <w:top w:w="147" w:type="dxa"/>
              <w:left w:w="240" w:type="dxa"/>
              <w:bottom w:w="147" w:type="dxa"/>
              <w:right w:w="0" w:type="dxa"/>
            </w:tcMar>
            <w:vAlign w:val="center"/>
          </w:tcPr>
          <w:p w14:paraId="524E7223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香水高频</w:t>
            </w:r>
          </w:p>
        </w:tc>
      </w:tr>
      <w:tr w:rsidR="00660AC6" w14:paraId="524E722B" w14:textId="77777777">
        <w:trPr>
          <w:trHeight w:val="567"/>
          <w:jc w:val="center"/>
        </w:trPr>
        <w:tc>
          <w:tcPr>
            <w:tcW w:w="970" w:type="dxa"/>
            <w:tcMar>
              <w:top w:w="147" w:type="dxa"/>
              <w:left w:w="0" w:type="dxa"/>
              <w:bottom w:w="147" w:type="dxa"/>
              <w:right w:w="240" w:type="dxa"/>
            </w:tcMar>
            <w:vAlign w:val="center"/>
          </w:tcPr>
          <w:p w14:paraId="524E7225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8</w:t>
            </w:r>
          </w:p>
        </w:tc>
        <w:tc>
          <w:tcPr>
            <w:tcW w:w="206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26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Cinnamal</w:t>
            </w:r>
          </w:p>
        </w:tc>
        <w:tc>
          <w:tcPr>
            <w:tcW w:w="158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27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肉桂醛</w:t>
            </w:r>
          </w:p>
        </w:tc>
        <w:tc>
          <w:tcPr>
            <w:tcW w:w="1527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28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104-55-2</w:t>
            </w:r>
          </w:p>
        </w:tc>
        <w:tc>
          <w:tcPr>
            <w:tcW w:w="1964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29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辛香肉桂</w:t>
            </w:r>
          </w:p>
        </w:tc>
        <w:tc>
          <w:tcPr>
            <w:tcW w:w="1429" w:type="dxa"/>
            <w:tcMar>
              <w:top w:w="147" w:type="dxa"/>
              <w:left w:w="240" w:type="dxa"/>
              <w:bottom w:w="147" w:type="dxa"/>
              <w:right w:w="0" w:type="dxa"/>
            </w:tcMar>
            <w:vAlign w:val="center"/>
          </w:tcPr>
          <w:p w14:paraId="524E722A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强IV型致敏原</w:t>
            </w:r>
          </w:p>
        </w:tc>
      </w:tr>
      <w:tr w:rsidR="00660AC6" w14:paraId="524E7232" w14:textId="77777777">
        <w:trPr>
          <w:trHeight w:val="567"/>
          <w:jc w:val="center"/>
        </w:trPr>
        <w:tc>
          <w:tcPr>
            <w:tcW w:w="970" w:type="dxa"/>
            <w:tcMar>
              <w:top w:w="147" w:type="dxa"/>
              <w:left w:w="0" w:type="dxa"/>
              <w:bottom w:w="147" w:type="dxa"/>
              <w:right w:w="240" w:type="dxa"/>
            </w:tcMar>
            <w:vAlign w:val="center"/>
          </w:tcPr>
          <w:p w14:paraId="524E722C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9</w:t>
            </w:r>
          </w:p>
        </w:tc>
        <w:tc>
          <w:tcPr>
            <w:tcW w:w="206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2D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Cinnamyl alcohol</w:t>
            </w:r>
          </w:p>
        </w:tc>
        <w:tc>
          <w:tcPr>
            <w:tcW w:w="158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2E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肉桂醇</w:t>
            </w:r>
          </w:p>
        </w:tc>
        <w:tc>
          <w:tcPr>
            <w:tcW w:w="1527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2F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104-54-1</w:t>
            </w:r>
          </w:p>
        </w:tc>
        <w:tc>
          <w:tcPr>
            <w:tcW w:w="1964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30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香脂辛香</w:t>
            </w:r>
          </w:p>
        </w:tc>
        <w:tc>
          <w:tcPr>
            <w:tcW w:w="1429" w:type="dxa"/>
            <w:tcMar>
              <w:top w:w="147" w:type="dxa"/>
              <w:left w:w="240" w:type="dxa"/>
              <w:bottom w:w="147" w:type="dxa"/>
              <w:right w:w="0" w:type="dxa"/>
            </w:tcMar>
            <w:vAlign w:val="center"/>
          </w:tcPr>
          <w:p w14:paraId="524E7231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皮肤氧化成肉桂醛起致敏</w:t>
            </w:r>
          </w:p>
        </w:tc>
      </w:tr>
      <w:tr w:rsidR="00660AC6" w14:paraId="524E7239" w14:textId="77777777">
        <w:trPr>
          <w:trHeight w:val="567"/>
          <w:jc w:val="center"/>
        </w:trPr>
        <w:tc>
          <w:tcPr>
            <w:tcW w:w="970" w:type="dxa"/>
            <w:tcMar>
              <w:top w:w="147" w:type="dxa"/>
              <w:left w:w="0" w:type="dxa"/>
              <w:bottom w:w="147" w:type="dxa"/>
              <w:right w:w="240" w:type="dxa"/>
            </w:tcMar>
            <w:vAlign w:val="center"/>
          </w:tcPr>
          <w:p w14:paraId="524E7233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10</w:t>
            </w:r>
          </w:p>
        </w:tc>
        <w:tc>
          <w:tcPr>
            <w:tcW w:w="206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34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Citral</w:t>
            </w:r>
          </w:p>
        </w:tc>
        <w:tc>
          <w:tcPr>
            <w:tcW w:w="158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35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柠檬醛</w:t>
            </w:r>
          </w:p>
        </w:tc>
        <w:tc>
          <w:tcPr>
            <w:tcW w:w="1527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36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5392-40-5</w:t>
            </w:r>
          </w:p>
        </w:tc>
        <w:tc>
          <w:tcPr>
            <w:tcW w:w="1964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37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柑橘、柠檬草</w:t>
            </w:r>
          </w:p>
        </w:tc>
        <w:tc>
          <w:tcPr>
            <w:tcW w:w="1429" w:type="dxa"/>
            <w:tcMar>
              <w:top w:w="147" w:type="dxa"/>
              <w:left w:w="240" w:type="dxa"/>
              <w:bottom w:w="147" w:type="dxa"/>
              <w:right w:w="0" w:type="dxa"/>
            </w:tcMar>
            <w:vAlign w:val="center"/>
          </w:tcPr>
          <w:p w14:paraId="524E7238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易氧化致敏</w:t>
            </w:r>
          </w:p>
        </w:tc>
      </w:tr>
      <w:tr w:rsidR="00660AC6" w14:paraId="524E7240" w14:textId="77777777">
        <w:trPr>
          <w:trHeight w:val="567"/>
          <w:jc w:val="center"/>
        </w:trPr>
        <w:tc>
          <w:tcPr>
            <w:tcW w:w="970" w:type="dxa"/>
            <w:tcMar>
              <w:top w:w="147" w:type="dxa"/>
              <w:left w:w="0" w:type="dxa"/>
              <w:bottom w:w="147" w:type="dxa"/>
              <w:right w:w="240" w:type="dxa"/>
            </w:tcMar>
            <w:vAlign w:val="center"/>
          </w:tcPr>
          <w:p w14:paraId="524E723A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11</w:t>
            </w:r>
          </w:p>
        </w:tc>
        <w:tc>
          <w:tcPr>
            <w:tcW w:w="206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3B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Citronellol</w:t>
            </w:r>
          </w:p>
        </w:tc>
        <w:tc>
          <w:tcPr>
            <w:tcW w:w="158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3C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香茅醇</w:t>
            </w:r>
          </w:p>
        </w:tc>
        <w:tc>
          <w:tcPr>
            <w:tcW w:w="1527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3D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106-22-9</w:t>
            </w:r>
          </w:p>
        </w:tc>
        <w:tc>
          <w:tcPr>
            <w:tcW w:w="1964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3E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玫瑰、天竺葵</w:t>
            </w:r>
          </w:p>
        </w:tc>
        <w:tc>
          <w:tcPr>
            <w:tcW w:w="1429" w:type="dxa"/>
            <w:tcMar>
              <w:top w:w="147" w:type="dxa"/>
              <w:left w:w="240" w:type="dxa"/>
              <w:bottom w:w="147" w:type="dxa"/>
              <w:right w:w="0" w:type="dxa"/>
            </w:tcMar>
            <w:vAlign w:val="center"/>
          </w:tcPr>
          <w:p w14:paraId="524E723F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氧化产物致敏升高</w:t>
            </w:r>
          </w:p>
        </w:tc>
      </w:tr>
      <w:tr w:rsidR="00660AC6" w14:paraId="524E7247" w14:textId="77777777">
        <w:trPr>
          <w:trHeight w:val="567"/>
          <w:jc w:val="center"/>
        </w:trPr>
        <w:tc>
          <w:tcPr>
            <w:tcW w:w="970" w:type="dxa"/>
            <w:tcMar>
              <w:top w:w="147" w:type="dxa"/>
              <w:left w:w="0" w:type="dxa"/>
              <w:bottom w:w="147" w:type="dxa"/>
              <w:right w:w="240" w:type="dxa"/>
            </w:tcMar>
            <w:vAlign w:val="center"/>
          </w:tcPr>
          <w:p w14:paraId="524E7241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12</w:t>
            </w:r>
          </w:p>
        </w:tc>
        <w:tc>
          <w:tcPr>
            <w:tcW w:w="206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42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Coumarin</w:t>
            </w:r>
          </w:p>
        </w:tc>
        <w:tc>
          <w:tcPr>
            <w:tcW w:w="158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43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香豆素</w:t>
            </w:r>
          </w:p>
        </w:tc>
        <w:tc>
          <w:tcPr>
            <w:tcW w:w="1527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44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91-64-5</w:t>
            </w:r>
          </w:p>
        </w:tc>
        <w:tc>
          <w:tcPr>
            <w:tcW w:w="1964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45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零陵香豆、美食调</w:t>
            </w:r>
          </w:p>
        </w:tc>
        <w:tc>
          <w:tcPr>
            <w:tcW w:w="1429" w:type="dxa"/>
            <w:tcMar>
              <w:top w:w="147" w:type="dxa"/>
              <w:left w:w="240" w:type="dxa"/>
              <w:bottom w:w="147" w:type="dxa"/>
              <w:right w:w="0" w:type="dxa"/>
            </w:tcMar>
            <w:vAlign w:val="center"/>
          </w:tcPr>
          <w:p w14:paraId="524E7246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接触性皮炎+光敏感个案</w:t>
            </w:r>
          </w:p>
        </w:tc>
      </w:tr>
      <w:tr w:rsidR="00660AC6" w14:paraId="524E724E" w14:textId="77777777">
        <w:trPr>
          <w:trHeight w:val="567"/>
          <w:jc w:val="center"/>
        </w:trPr>
        <w:tc>
          <w:tcPr>
            <w:tcW w:w="970" w:type="dxa"/>
            <w:tcMar>
              <w:top w:w="147" w:type="dxa"/>
              <w:left w:w="0" w:type="dxa"/>
              <w:bottom w:w="147" w:type="dxa"/>
              <w:right w:w="240" w:type="dxa"/>
            </w:tcMar>
            <w:vAlign w:val="center"/>
          </w:tcPr>
          <w:p w14:paraId="524E7248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13</w:t>
            </w:r>
          </w:p>
        </w:tc>
        <w:tc>
          <w:tcPr>
            <w:tcW w:w="206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49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Eugenol</w:t>
            </w:r>
          </w:p>
        </w:tc>
        <w:tc>
          <w:tcPr>
            <w:tcW w:w="158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4A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丁香酚</w:t>
            </w:r>
          </w:p>
        </w:tc>
        <w:tc>
          <w:tcPr>
            <w:tcW w:w="1527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4B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97-53-0</w:t>
            </w:r>
          </w:p>
        </w:tc>
        <w:tc>
          <w:tcPr>
            <w:tcW w:w="1964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4C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丁香、康乃馨</w:t>
            </w:r>
          </w:p>
        </w:tc>
        <w:tc>
          <w:tcPr>
            <w:tcW w:w="1429" w:type="dxa"/>
            <w:tcMar>
              <w:top w:w="147" w:type="dxa"/>
              <w:left w:w="240" w:type="dxa"/>
              <w:bottom w:w="147" w:type="dxa"/>
              <w:right w:w="0" w:type="dxa"/>
            </w:tcMar>
            <w:vAlign w:val="center"/>
          </w:tcPr>
          <w:p w14:paraId="524E724D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顶级强IV型致敏，氧化加剧</w:t>
            </w:r>
          </w:p>
        </w:tc>
      </w:tr>
      <w:tr w:rsidR="00660AC6" w14:paraId="524E7255" w14:textId="77777777">
        <w:trPr>
          <w:trHeight w:val="567"/>
          <w:jc w:val="center"/>
        </w:trPr>
        <w:tc>
          <w:tcPr>
            <w:tcW w:w="970" w:type="dxa"/>
            <w:tcMar>
              <w:top w:w="147" w:type="dxa"/>
              <w:left w:w="0" w:type="dxa"/>
              <w:bottom w:w="147" w:type="dxa"/>
              <w:right w:w="240" w:type="dxa"/>
            </w:tcMar>
            <w:vAlign w:val="center"/>
          </w:tcPr>
          <w:p w14:paraId="524E724F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14</w:t>
            </w:r>
          </w:p>
        </w:tc>
        <w:tc>
          <w:tcPr>
            <w:tcW w:w="206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50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Farnesol</w:t>
            </w:r>
          </w:p>
        </w:tc>
        <w:tc>
          <w:tcPr>
            <w:tcW w:w="158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51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法尼醇</w:t>
            </w:r>
          </w:p>
        </w:tc>
        <w:tc>
          <w:tcPr>
            <w:tcW w:w="1527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52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4602-84-0</w:t>
            </w:r>
          </w:p>
        </w:tc>
        <w:tc>
          <w:tcPr>
            <w:tcW w:w="1964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53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晚香玉、多种精油</w:t>
            </w:r>
          </w:p>
        </w:tc>
        <w:tc>
          <w:tcPr>
            <w:tcW w:w="1429" w:type="dxa"/>
            <w:tcMar>
              <w:top w:w="147" w:type="dxa"/>
              <w:left w:w="240" w:type="dxa"/>
              <w:bottom w:w="147" w:type="dxa"/>
              <w:right w:w="0" w:type="dxa"/>
            </w:tcMar>
            <w:vAlign w:val="center"/>
          </w:tcPr>
          <w:p w14:paraId="524E7254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易氧化</w:t>
            </w:r>
          </w:p>
        </w:tc>
      </w:tr>
      <w:tr w:rsidR="00660AC6" w14:paraId="524E725C" w14:textId="77777777">
        <w:trPr>
          <w:trHeight w:val="567"/>
          <w:jc w:val="center"/>
        </w:trPr>
        <w:tc>
          <w:tcPr>
            <w:tcW w:w="970" w:type="dxa"/>
            <w:tcMar>
              <w:top w:w="147" w:type="dxa"/>
              <w:left w:w="0" w:type="dxa"/>
              <w:bottom w:w="147" w:type="dxa"/>
              <w:right w:w="240" w:type="dxa"/>
            </w:tcMar>
            <w:vAlign w:val="center"/>
          </w:tcPr>
          <w:p w14:paraId="524E7256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15</w:t>
            </w:r>
          </w:p>
        </w:tc>
        <w:tc>
          <w:tcPr>
            <w:tcW w:w="206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57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Geraniol</w:t>
            </w:r>
          </w:p>
        </w:tc>
        <w:tc>
          <w:tcPr>
            <w:tcW w:w="158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58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香叶醇</w:t>
            </w:r>
          </w:p>
        </w:tc>
        <w:tc>
          <w:tcPr>
            <w:tcW w:w="1527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59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106-24-1</w:t>
            </w:r>
          </w:p>
        </w:tc>
        <w:tc>
          <w:tcPr>
            <w:tcW w:w="1964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5A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玫瑰天竺葵</w:t>
            </w:r>
          </w:p>
        </w:tc>
        <w:tc>
          <w:tcPr>
            <w:tcW w:w="1429" w:type="dxa"/>
            <w:tcMar>
              <w:top w:w="147" w:type="dxa"/>
              <w:left w:w="240" w:type="dxa"/>
              <w:bottom w:w="147" w:type="dxa"/>
              <w:right w:w="0" w:type="dxa"/>
            </w:tcMar>
            <w:vAlign w:val="center"/>
          </w:tcPr>
          <w:p w14:paraId="524E725B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香水最高频致敏之一，氧化后致敏暴涨</w:t>
            </w:r>
          </w:p>
        </w:tc>
      </w:tr>
      <w:tr w:rsidR="00660AC6" w14:paraId="524E7263" w14:textId="77777777">
        <w:trPr>
          <w:trHeight w:val="567"/>
          <w:jc w:val="center"/>
        </w:trPr>
        <w:tc>
          <w:tcPr>
            <w:tcW w:w="970" w:type="dxa"/>
            <w:tcMar>
              <w:top w:w="147" w:type="dxa"/>
              <w:left w:w="0" w:type="dxa"/>
              <w:bottom w:w="147" w:type="dxa"/>
              <w:right w:w="240" w:type="dxa"/>
            </w:tcMar>
            <w:vAlign w:val="center"/>
          </w:tcPr>
          <w:p w14:paraId="524E725D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lastRenderedPageBreak/>
              <w:t>16</w:t>
            </w:r>
          </w:p>
        </w:tc>
        <w:tc>
          <w:tcPr>
            <w:tcW w:w="206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5E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Hexyl cinnamal</w:t>
            </w:r>
          </w:p>
        </w:tc>
        <w:tc>
          <w:tcPr>
            <w:tcW w:w="158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5F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己基肉桂醛</w:t>
            </w:r>
          </w:p>
        </w:tc>
        <w:tc>
          <w:tcPr>
            <w:tcW w:w="1527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60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101-86-0</w:t>
            </w:r>
          </w:p>
        </w:tc>
        <w:tc>
          <w:tcPr>
            <w:tcW w:w="1964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61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茉莉甜花香</w:t>
            </w:r>
          </w:p>
        </w:tc>
        <w:tc>
          <w:tcPr>
            <w:tcW w:w="1429" w:type="dxa"/>
            <w:tcMar>
              <w:top w:w="147" w:type="dxa"/>
              <w:left w:w="240" w:type="dxa"/>
              <w:bottom w:w="147" w:type="dxa"/>
              <w:right w:w="0" w:type="dxa"/>
            </w:tcMar>
            <w:vAlign w:val="center"/>
          </w:tcPr>
          <w:p w14:paraId="524E7262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广泛用于香水</w:t>
            </w:r>
          </w:p>
        </w:tc>
      </w:tr>
      <w:tr w:rsidR="00660AC6" w14:paraId="524E726A" w14:textId="77777777">
        <w:trPr>
          <w:trHeight w:val="567"/>
          <w:jc w:val="center"/>
        </w:trPr>
        <w:tc>
          <w:tcPr>
            <w:tcW w:w="970" w:type="dxa"/>
            <w:tcMar>
              <w:top w:w="147" w:type="dxa"/>
              <w:left w:w="0" w:type="dxa"/>
              <w:bottom w:w="147" w:type="dxa"/>
              <w:right w:w="240" w:type="dxa"/>
            </w:tcMar>
            <w:vAlign w:val="center"/>
          </w:tcPr>
          <w:p w14:paraId="524E7264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17</w:t>
            </w:r>
          </w:p>
        </w:tc>
        <w:tc>
          <w:tcPr>
            <w:tcW w:w="206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65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Hydroxycitronellal</w:t>
            </w:r>
          </w:p>
        </w:tc>
        <w:tc>
          <w:tcPr>
            <w:tcW w:w="158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66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羟基香茅醛</w:t>
            </w:r>
          </w:p>
        </w:tc>
        <w:tc>
          <w:tcPr>
            <w:tcW w:w="1527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67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107-75-5</w:t>
            </w:r>
          </w:p>
        </w:tc>
        <w:tc>
          <w:tcPr>
            <w:tcW w:w="1964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68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铃兰白花</w:t>
            </w:r>
          </w:p>
        </w:tc>
        <w:tc>
          <w:tcPr>
            <w:tcW w:w="1429" w:type="dxa"/>
            <w:tcMar>
              <w:top w:w="147" w:type="dxa"/>
              <w:left w:w="240" w:type="dxa"/>
              <w:bottom w:w="147" w:type="dxa"/>
              <w:right w:w="0" w:type="dxa"/>
            </w:tcMar>
            <w:vAlign w:val="center"/>
          </w:tcPr>
          <w:p w14:paraId="524E7269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经典强接触致敏原</w:t>
            </w:r>
          </w:p>
        </w:tc>
      </w:tr>
      <w:tr w:rsidR="00660AC6" w14:paraId="524E7271" w14:textId="77777777">
        <w:trPr>
          <w:trHeight w:val="567"/>
          <w:jc w:val="center"/>
        </w:trPr>
        <w:tc>
          <w:tcPr>
            <w:tcW w:w="970" w:type="dxa"/>
            <w:tcMar>
              <w:top w:w="147" w:type="dxa"/>
              <w:left w:w="0" w:type="dxa"/>
              <w:bottom w:w="147" w:type="dxa"/>
              <w:right w:w="240" w:type="dxa"/>
            </w:tcMar>
            <w:vAlign w:val="center"/>
          </w:tcPr>
          <w:p w14:paraId="524E726B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18</w:t>
            </w:r>
          </w:p>
        </w:tc>
        <w:tc>
          <w:tcPr>
            <w:tcW w:w="206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6C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HICC</w:t>
            </w:r>
          </w:p>
        </w:tc>
        <w:tc>
          <w:tcPr>
            <w:tcW w:w="158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6D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新铃兰醛</w:t>
            </w:r>
          </w:p>
        </w:tc>
        <w:tc>
          <w:tcPr>
            <w:tcW w:w="1527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6E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31906-04-4</w:t>
            </w:r>
          </w:p>
        </w:tc>
        <w:tc>
          <w:tcPr>
            <w:tcW w:w="1964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6F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合成白花</w:t>
            </w:r>
          </w:p>
        </w:tc>
        <w:tc>
          <w:tcPr>
            <w:tcW w:w="1429" w:type="dxa"/>
            <w:tcMar>
              <w:top w:w="147" w:type="dxa"/>
              <w:left w:w="240" w:type="dxa"/>
              <w:bottom w:w="147" w:type="dxa"/>
              <w:right w:w="0" w:type="dxa"/>
            </w:tcMar>
            <w:vAlign w:val="center"/>
          </w:tcPr>
          <w:p w14:paraId="524E7270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欧盟现已禁用</w:t>
            </w:r>
          </w:p>
        </w:tc>
      </w:tr>
      <w:tr w:rsidR="00660AC6" w14:paraId="524E7278" w14:textId="77777777">
        <w:trPr>
          <w:trHeight w:val="567"/>
          <w:jc w:val="center"/>
        </w:trPr>
        <w:tc>
          <w:tcPr>
            <w:tcW w:w="970" w:type="dxa"/>
            <w:tcMar>
              <w:top w:w="147" w:type="dxa"/>
              <w:left w:w="0" w:type="dxa"/>
              <w:bottom w:w="147" w:type="dxa"/>
              <w:right w:w="240" w:type="dxa"/>
            </w:tcMar>
            <w:vAlign w:val="center"/>
          </w:tcPr>
          <w:p w14:paraId="524E7272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19</w:t>
            </w:r>
          </w:p>
        </w:tc>
        <w:tc>
          <w:tcPr>
            <w:tcW w:w="206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73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Isoeugenol</w:t>
            </w:r>
          </w:p>
        </w:tc>
        <w:tc>
          <w:tcPr>
            <w:tcW w:w="158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74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异丁香酚</w:t>
            </w:r>
          </w:p>
        </w:tc>
        <w:tc>
          <w:tcPr>
            <w:tcW w:w="1527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75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97-54-1</w:t>
            </w:r>
          </w:p>
        </w:tc>
        <w:tc>
          <w:tcPr>
            <w:tcW w:w="1964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76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丁香衍生物</w:t>
            </w:r>
          </w:p>
        </w:tc>
        <w:tc>
          <w:tcPr>
            <w:tcW w:w="1429" w:type="dxa"/>
            <w:tcMar>
              <w:top w:w="147" w:type="dxa"/>
              <w:left w:w="240" w:type="dxa"/>
              <w:bottom w:w="147" w:type="dxa"/>
              <w:right w:w="0" w:type="dxa"/>
            </w:tcMar>
            <w:vAlign w:val="center"/>
          </w:tcPr>
          <w:p w14:paraId="524E7277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极强迟发型致敏，IFRA严格限用</w:t>
            </w:r>
          </w:p>
        </w:tc>
      </w:tr>
      <w:tr w:rsidR="00660AC6" w14:paraId="524E727F" w14:textId="77777777">
        <w:trPr>
          <w:trHeight w:val="567"/>
          <w:jc w:val="center"/>
        </w:trPr>
        <w:tc>
          <w:tcPr>
            <w:tcW w:w="970" w:type="dxa"/>
            <w:tcMar>
              <w:top w:w="147" w:type="dxa"/>
              <w:left w:w="0" w:type="dxa"/>
              <w:bottom w:w="147" w:type="dxa"/>
              <w:right w:w="240" w:type="dxa"/>
            </w:tcMar>
            <w:vAlign w:val="center"/>
          </w:tcPr>
          <w:p w14:paraId="524E7279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20</w:t>
            </w:r>
          </w:p>
        </w:tc>
        <w:tc>
          <w:tcPr>
            <w:tcW w:w="206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7A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Linalool</w:t>
            </w:r>
          </w:p>
        </w:tc>
        <w:tc>
          <w:tcPr>
            <w:tcW w:w="158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7B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芳樟醇</w:t>
            </w:r>
          </w:p>
        </w:tc>
        <w:tc>
          <w:tcPr>
            <w:tcW w:w="1527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7C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78-70-6</w:t>
            </w:r>
          </w:p>
        </w:tc>
        <w:tc>
          <w:tcPr>
            <w:tcW w:w="1964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7D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薰衣草橙花柑橘</w:t>
            </w:r>
          </w:p>
        </w:tc>
        <w:tc>
          <w:tcPr>
            <w:tcW w:w="1429" w:type="dxa"/>
            <w:tcMar>
              <w:top w:w="147" w:type="dxa"/>
              <w:left w:w="240" w:type="dxa"/>
              <w:bottom w:w="147" w:type="dxa"/>
              <w:right w:w="0" w:type="dxa"/>
            </w:tcMar>
            <w:vAlign w:val="center"/>
          </w:tcPr>
          <w:p w14:paraId="524E727E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本体弱致敏，空气氧化过氧化物强致敏</w:t>
            </w:r>
          </w:p>
        </w:tc>
      </w:tr>
      <w:tr w:rsidR="00660AC6" w14:paraId="524E7286" w14:textId="77777777">
        <w:trPr>
          <w:trHeight w:val="567"/>
          <w:jc w:val="center"/>
        </w:trPr>
        <w:tc>
          <w:tcPr>
            <w:tcW w:w="970" w:type="dxa"/>
            <w:tcMar>
              <w:top w:w="147" w:type="dxa"/>
              <w:left w:w="0" w:type="dxa"/>
              <w:bottom w:w="147" w:type="dxa"/>
              <w:right w:w="240" w:type="dxa"/>
            </w:tcMar>
            <w:vAlign w:val="center"/>
          </w:tcPr>
          <w:p w14:paraId="524E7280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21</w:t>
            </w:r>
          </w:p>
        </w:tc>
        <w:tc>
          <w:tcPr>
            <w:tcW w:w="206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81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d-Limonene</w:t>
            </w:r>
          </w:p>
        </w:tc>
        <w:tc>
          <w:tcPr>
            <w:tcW w:w="158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82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柠檬烯</w:t>
            </w:r>
          </w:p>
        </w:tc>
        <w:tc>
          <w:tcPr>
            <w:tcW w:w="1527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83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5989-27-5</w:t>
            </w:r>
          </w:p>
        </w:tc>
        <w:tc>
          <w:tcPr>
            <w:tcW w:w="1964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84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柑橘果皮</w:t>
            </w:r>
          </w:p>
        </w:tc>
        <w:tc>
          <w:tcPr>
            <w:tcW w:w="1429" w:type="dxa"/>
            <w:tcMar>
              <w:top w:w="147" w:type="dxa"/>
              <w:left w:w="240" w:type="dxa"/>
              <w:bottom w:w="147" w:type="dxa"/>
              <w:right w:w="0" w:type="dxa"/>
            </w:tcMar>
            <w:vAlign w:val="center"/>
          </w:tcPr>
          <w:p w14:paraId="524E7285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氧化生成过氧化物，IV型过敏原</w:t>
            </w:r>
          </w:p>
        </w:tc>
      </w:tr>
      <w:tr w:rsidR="00660AC6" w14:paraId="524E728D" w14:textId="77777777">
        <w:trPr>
          <w:trHeight w:val="567"/>
          <w:jc w:val="center"/>
        </w:trPr>
        <w:tc>
          <w:tcPr>
            <w:tcW w:w="970" w:type="dxa"/>
            <w:tcMar>
              <w:top w:w="147" w:type="dxa"/>
              <w:left w:w="0" w:type="dxa"/>
              <w:bottom w:w="147" w:type="dxa"/>
              <w:right w:w="240" w:type="dxa"/>
            </w:tcMar>
            <w:vAlign w:val="center"/>
          </w:tcPr>
          <w:p w14:paraId="524E7287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22</w:t>
            </w:r>
          </w:p>
        </w:tc>
        <w:tc>
          <w:tcPr>
            <w:tcW w:w="206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88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Methyl-2-octynoate</w:t>
            </w:r>
          </w:p>
        </w:tc>
        <w:tc>
          <w:tcPr>
            <w:tcW w:w="158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89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甲基-2-辛炔酸酯</w:t>
            </w:r>
          </w:p>
        </w:tc>
        <w:tc>
          <w:tcPr>
            <w:tcW w:w="1527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8A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111-12-6</w:t>
            </w:r>
          </w:p>
        </w:tc>
        <w:tc>
          <w:tcPr>
            <w:tcW w:w="1964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8B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紫罗兰叶，水生青香</w:t>
            </w:r>
          </w:p>
        </w:tc>
        <w:tc>
          <w:tcPr>
            <w:tcW w:w="1429" w:type="dxa"/>
            <w:tcMar>
              <w:top w:w="147" w:type="dxa"/>
              <w:left w:w="240" w:type="dxa"/>
              <w:bottom w:w="147" w:type="dxa"/>
              <w:right w:w="0" w:type="dxa"/>
            </w:tcMar>
            <w:vAlign w:val="center"/>
          </w:tcPr>
          <w:p w14:paraId="524E728C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使用量低</w:t>
            </w:r>
          </w:p>
        </w:tc>
      </w:tr>
      <w:tr w:rsidR="00660AC6" w14:paraId="524E7294" w14:textId="77777777">
        <w:trPr>
          <w:trHeight w:val="567"/>
          <w:jc w:val="center"/>
        </w:trPr>
        <w:tc>
          <w:tcPr>
            <w:tcW w:w="970" w:type="dxa"/>
            <w:tcMar>
              <w:top w:w="147" w:type="dxa"/>
              <w:left w:w="0" w:type="dxa"/>
              <w:bottom w:w="147" w:type="dxa"/>
              <w:right w:w="240" w:type="dxa"/>
            </w:tcMar>
            <w:vAlign w:val="center"/>
          </w:tcPr>
          <w:p w14:paraId="524E728E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23</w:t>
            </w:r>
          </w:p>
        </w:tc>
        <w:tc>
          <w:tcPr>
            <w:tcW w:w="206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8F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α-Isomethyl ionone</w:t>
            </w:r>
          </w:p>
        </w:tc>
        <w:tc>
          <w:tcPr>
            <w:tcW w:w="158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90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α-异甲基紫罗兰酮</w:t>
            </w:r>
          </w:p>
        </w:tc>
        <w:tc>
          <w:tcPr>
            <w:tcW w:w="1527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91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127-51-5</w:t>
            </w:r>
          </w:p>
        </w:tc>
        <w:tc>
          <w:tcPr>
            <w:tcW w:w="1964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92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紫罗兰香</w:t>
            </w:r>
          </w:p>
        </w:tc>
        <w:tc>
          <w:tcPr>
            <w:tcW w:w="1429" w:type="dxa"/>
            <w:tcMar>
              <w:top w:w="147" w:type="dxa"/>
              <w:left w:w="240" w:type="dxa"/>
              <w:bottom w:w="147" w:type="dxa"/>
              <w:right w:w="0" w:type="dxa"/>
            </w:tcMar>
            <w:vAlign w:val="center"/>
          </w:tcPr>
          <w:p w14:paraId="524E7293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香水高频</w:t>
            </w:r>
          </w:p>
        </w:tc>
      </w:tr>
      <w:tr w:rsidR="00660AC6" w14:paraId="524E729B" w14:textId="77777777">
        <w:trPr>
          <w:trHeight w:val="567"/>
          <w:jc w:val="center"/>
        </w:trPr>
        <w:tc>
          <w:tcPr>
            <w:tcW w:w="970" w:type="dxa"/>
            <w:tcMar>
              <w:top w:w="147" w:type="dxa"/>
              <w:left w:w="0" w:type="dxa"/>
              <w:bottom w:w="147" w:type="dxa"/>
              <w:right w:w="240" w:type="dxa"/>
            </w:tcMar>
            <w:vAlign w:val="center"/>
          </w:tcPr>
          <w:p w14:paraId="524E7295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24</w:t>
            </w:r>
          </w:p>
        </w:tc>
        <w:tc>
          <w:tcPr>
            <w:tcW w:w="206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96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Lilial</w:t>
            </w:r>
          </w:p>
        </w:tc>
        <w:tc>
          <w:tcPr>
            <w:tcW w:w="158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97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铃兰醛</w:t>
            </w:r>
          </w:p>
        </w:tc>
        <w:tc>
          <w:tcPr>
            <w:tcW w:w="1527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98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80-54-6</w:t>
            </w:r>
          </w:p>
        </w:tc>
        <w:tc>
          <w:tcPr>
            <w:tcW w:w="1964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99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铃兰</w:t>
            </w:r>
          </w:p>
        </w:tc>
        <w:tc>
          <w:tcPr>
            <w:tcW w:w="1429" w:type="dxa"/>
            <w:tcMar>
              <w:top w:w="147" w:type="dxa"/>
              <w:left w:w="240" w:type="dxa"/>
              <w:bottom w:w="147" w:type="dxa"/>
              <w:right w:w="0" w:type="dxa"/>
            </w:tcMar>
            <w:vAlign w:val="center"/>
          </w:tcPr>
          <w:p w14:paraId="524E729A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欧盟已禁用</w:t>
            </w:r>
          </w:p>
        </w:tc>
      </w:tr>
      <w:tr w:rsidR="00660AC6" w14:paraId="524E72A2" w14:textId="77777777">
        <w:trPr>
          <w:trHeight w:val="567"/>
          <w:jc w:val="center"/>
        </w:trPr>
        <w:tc>
          <w:tcPr>
            <w:tcW w:w="970" w:type="dxa"/>
            <w:tcMar>
              <w:top w:w="147" w:type="dxa"/>
              <w:left w:w="0" w:type="dxa"/>
              <w:bottom w:w="147" w:type="dxa"/>
              <w:right w:w="240" w:type="dxa"/>
            </w:tcMar>
            <w:vAlign w:val="center"/>
          </w:tcPr>
          <w:p w14:paraId="524E729C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25</w:t>
            </w:r>
          </w:p>
        </w:tc>
        <w:tc>
          <w:tcPr>
            <w:tcW w:w="206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9D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Oakmoss extract</w:t>
            </w:r>
          </w:p>
        </w:tc>
        <w:tc>
          <w:tcPr>
            <w:tcW w:w="158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9E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橡苔提取物</w:t>
            </w:r>
          </w:p>
        </w:tc>
        <w:tc>
          <w:tcPr>
            <w:tcW w:w="1527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9F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90028-68-5</w:t>
            </w:r>
          </w:p>
        </w:tc>
        <w:tc>
          <w:tcPr>
            <w:tcW w:w="1964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A0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西普/馥奇调</w:t>
            </w:r>
          </w:p>
        </w:tc>
        <w:tc>
          <w:tcPr>
            <w:tcW w:w="1429" w:type="dxa"/>
            <w:tcMar>
              <w:top w:w="147" w:type="dxa"/>
              <w:left w:w="240" w:type="dxa"/>
              <w:bottom w:w="147" w:type="dxa"/>
              <w:right w:w="0" w:type="dxa"/>
            </w:tcMar>
            <w:vAlign w:val="center"/>
          </w:tcPr>
          <w:p w14:paraId="524E72A1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天然混合物，强致敏，IFRA大幅限用</w:t>
            </w:r>
          </w:p>
        </w:tc>
      </w:tr>
      <w:tr w:rsidR="00660AC6" w14:paraId="524E72A9" w14:textId="77777777">
        <w:trPr>
          <w:trHeight w:val="567"/>
          <w:jc w:val="center"/>
        </w:trPr>
        <w:tc>
          <w:tcPr>
            <w:tcW w:w="970" w:type="dxa"/>
            <w:tcMar>
              <w:top w:w="147" w:type="dxa"/>
              <w:left w:w="0" w:type="dxa"/>
              <w:bottom w:w="147" w:type="dxa"/>
              <w:right w:w="240" w:type="dxa"/>
            </w:tcMar>
            <w:vAlign w:val="center"/>
          </w:tcPr>
          <w:p w14:paraId="524E72A3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26</w:t>
            </w:r>
          </w:p>
        </w:tc>
        <w:tc>
          <w:tcPr>
            <w:tcW w:w="206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A4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Treemoss extract</w:t>
            </w:r>
          </w:p>
        </w:tc>
        <w:tc>
          <w:tcPr>
            <w:tcW w:w="1582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A5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树苔提取物</w:t>
            </w:r>
          </w:p>
        </w:tc>
        <w:tc>
          <w:tcPr>
            <w:tcW w:w="1527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A6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  <w:sz w:val="22"/>
                <w:szCs w:val="22"/>
              </w:rPr>
            </w:pPr>
            <w:r>
              <w:rPr>
                <w:rFonts w:ascii="Times New Roman" w:eastAsia="楷体" w:hAnsi="Times New Roman" w:cs="Times New Roman"/>
                <w:kern w:val="0"/>
                <w:sz w:val="22"/>
                <w:szCs w:val="22"/>
                <w:lang w:bidi="ar"/>
              </w:rPr>
              <w:t>90028-67-4</w:t>
            </w:r>
          </w:p>
        </w:tc>
        <w:tc>
          <w:tcPr>
            <w:tcW w:w="1964" w:type="dxa"/>
            <w:tcMar>
              <w:top w:w="147" w:type="dxa"/>
              <w:left w:w="240" w:type="dxa"/>
              <w:bottom w:w="147" w:type="dxa"/>
              <w:right w:w="240" w:type="dxa"/>
            </w:tcMar>
            <w:vAlign w:val="center"/>
          </w:tcPr>
          <w:p w14:paraId="524E72A7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同橡苔，天然树脂苔藓混合物</w:t>
            </w:r>
          </w:p>
        </w:tc>
        <w:tc>
          <w:tcPr>
            <w:tcW w:w="1429" w:type="dxa"/>
            <w:tcMar>
              <w:top w:w="147" w:type="dxa"/>
              <w:left w:w="240" w:type="dxa"/>
              <w:bottom w:w="147" w:type="dxa"/>
              <w:right w:w="0" w:type="dxa"/>
            </w:tcMar>
            <w:vAlign w:val="center"/>
          </w:tcPr>
          <w:p w14:paraId="524E72A8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kern w:val="0"/>
                <w:sz w:val="22"/>
                <w:szCs w:val="22"/>
                <w:lang w:bidi="ar"/>
              </w:rPr>
              <w:t>高致敏</w:t>
            </w:r>
          </w:p>
        </w:tc>
      </w:tr>
    </w:tbl>
    <w:p w14:paraId="524E72AA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b/>
          <w:bCs/>
          <w:color w:val="0F1115"/>
          <w:shd w:val="clear" w:color="auto" w:fill="FFFFFF"/>
        </w:rPr>
      </w:pPr>
      <w:r>
        <w:rPr>
          <w:rFonts w:ascii="楷体" w:eastAsia="楷体" w:hAnsi="楷体" w:cs="楷体"/>
          <w:b/>
          <w:bCs/>
          <w:color w:val="0F1115"/>
          <w:shd w:val="clear" w:color="auto" w:fill="FFFFFF"/>
        </w:rPr>
        <w:t xml:space="preserve">⑶ </w:t>
      </w:r>
      <w:r>
        <w:rPr>
          <w:rFonts w:ascii="Times New Roman" w:eastAsia="楷体" w:hAnsi="Times New Roman" w:cs="Times New Roman"/>
          <w:b/>
          <w:bCs/>
          <w:color w:val="0F1115"/>
          <w:shd w:val="clear" w:color="auto" w:fill="FFFFFF"/>
        </w:rPr>
        <w:t>IgE</w:t>
      </w:r>
      <w:r>
        <w:rPr>
          <w:rFonts w:ascii="楷体" w:eastAsia="楷体" w:hAnsi="楷体" w:cs="楷体"/>
          <w:b/>
          <w:bCs/>
          <w:color w:val="0F1115"/>
          <w:shd w:val="clear" w:color="auto" w:fill="FFFFFF"/>
        </w:rPr>
        <w:t>介导速发型过敏（部分人群） </w:t>
      </w:r>
    </w:p>
    <w:p w14:paraId="524E72AB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/>
          <w:color w:val="0F1115"/>
          <w:shd w:val="clear" w:color="auto" w:fill="FFFFFF"/>
        </w:rPr>
        <w:lastRenderedPageBreak/>
        <w:t>初次接触香料，机体产生特异性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IgE</w:t>
      </w:r>
      <w:r>
        <w:rPr>
          <w:rFonts w:ascii="楷体" w:eastAsia="楷体" w:hAnsi="楷体" w:cs="楷体"/>
          <w:color w:val="0F1115"/>
          <w:shd w:val="clear" w:color="auto" w:fill="FFFFFF"/>
        </w:rPr>
        <w:t>，结合在肥大细胞、嗜碱性粒细胞表面。多见于呼吸道吸入过敏、鼻炎哮喘。症状：几分钟发作，风团/荨麻疹/嘴唇肿。致敏原：天然提取物中残留的植物大分子蛋白。</w:t>
      </w:r>
    </w:p>
    <w:p w14:paraId="524E72AC" w14:textId="77777777" w:rsidR="00660AC6" w:rsidRDefault="00660AC6">
      <w:pPr>
        <w:pStyle w:val="a3"/>
        <w:widowControl/>
        <w:shd w:val="clear" w:color="auto" w:fill="FFFFFF"/>
        <w:spacing w:line="4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</w:p>
    <w:p w14:paraId="524E72AD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b/>
          <w:bCs/>
          <w:color w:val="0F1115"/>
          <w:shd w:val="clear" w:color="auto" w:fill="FFFFFF"/>
        </w:rPr>
      </w:pPr>
      <w:r>
        <w:rPr>
          <w:rFonts w:ascii="Times New Roman" w:eastAsia="楷体" w:hAnsi="Times New Roman" w:cs="Times New Roman"/>
          <w:b/>
          <w:bCs/>
          <w:color w:val="0F1115"/>
          <w:shd w:val="clear" w:color="auto" w:fill="FFFFFF"/>
        </w:rPr>
        <w:t>IgE</w:t>
      </w:r>
      <w:r>
        <w:rPr>
          <w:rFonts w:ascii="楷体" w:eastAsia="楷体" w:hAnsi="楷体" w:cs="楷体"/>
          <w:b/>
          <w:bCs/>
          <w:color w:val="0F1115"/>
          <w:shd w:val="clear" w:color="auto" w:fill="FFFFFF"/>
        </w:rPr>
        <w:t>相关致敏原料清单：</w:t>
      </w:r>
    </w:p>
    <w:tbl>
      <w:tblPr>
        <w:tblW w:w="10083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1289"/>
        <w:gridCol w:w="1736"/>
        <w:gridCol w:w="1275"/>
        <w:gridCol w:w="1422"/>
        <w:gridCol w:w="1462"/>
        <w:gridCol w:w="1887"/>
      </w:tblGrid>
      <w:tr w:rsidR="00660AC6" w14:paraId="524E72B5" w14:textId="77777777">
        <w:trPr>
          <w:jc w:val="center"/>
        </w:trPr>
        <w:tc>
          <w:tcPr>
            <w:tcW w:w="101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2AE" w14:textId="77777777" w:rsidR="00660AC6" w:rsidRDefault="0023687C">
            <w:pPr>
              <w:widowControl/>
              <w:rPr>
                <w:rFonts w:ascii="楷体" w:eastAsia="楷体" w:hAnsi="楷体" w:cs="楷体" w:hint="eastAsia"/>
                <w:b/>
                <w:bCs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4"/>
                <w:lang w:bidi="ar"/>
              </w:rPr>
              <w:t>类别</w:t>
            </w:r>
          </w:p>
        </w:tc>
        <w:tc>
          <w:tcPr>
            <w:tcW w:w="128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AF" w14:textId="77777777" w:rsidR="00660AC6" w:rsidRDefault="0023687C">
            <w:pPr>
              <w:widowControl/>
              <w:rPr>
                <w:rFonts w:ascii="楷体" w:eastAsia="楷体" w:hAnsi="楷体" w:cs="楷体" w:hint="eastAsia"/>
                <w:b/>
                <w:bCs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4"/>
                <w:lang w:bidi="ar"/>
              </w:rPr>
              <w:t>原料中文名</w:t>
            </w:r>
          </w:p>
        </w:tc>
        <w:tc>
          <w:tcPr>
            <w:tcW w:w="173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B0" w14:textId="77777777" w:rsidR="00660AC6" w:rsidRDefault="0023687C">
            <w:pPr>
              <w:widowControl/>
              <w:rPr>
                <w:rFonts w:ascii="楷体" w:eastAsia="楷体" w:hAnsi="楷体" w:cs="楷体" w:hint="eastAsia"/>
                <w:b/>
                <w:bCs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4"/>
                <w:lang w:bidi="ar"/>
              </w:rPr>
              <w:t>英文名/</w:t>
            </w:r>
            <w:r>
              <w:rPr>
                <w:rFonts w:ascii="Times New Roman" w:eastAsia="楷体" w:hAnsi="Times New Roman" w:cs="Times New Roman"/>
                <w:b/>
                <w:bCs/>
                <w:kern w:val="0"/>
                <w:sz w:val="24"/>
                <w:lang w:bidi="ar"/>
              </w:rPr>
              <w:t>INCI</w:t>
            </w:r>
          </w:p>
        </w:tc>
        <w:tc>
          <w:tcPr>
            <w:tcW w:w="127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B1" w14:textId="77777777" w:rsidR="00660AC6" w:rsidRDefault="0023687C">
            <w:pPr>
              <w:widowControl/>
              <w:rPr>
                <w:rFonts w:ascii="楷体" w:eastAsia="楷体" w:hAnsi="楷体" w:cs="楷体" w:hint="eastAsia"/>
                <w:b/>
                <w:bCs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4"/>
                <w:lang w:bidi="ar"/>
              </w:rPr>
              <w:t>来源类型</w:t>
            </w:r>
          </w:p>
        </w:tc>
        <w:tc>
          <w:tcPr>
            <w:tcW w:w="142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B2" w14:textId="77777777" w:rsidR="00660AC6" w:rsidRDefault="0023687C">
            <w:pPr>
              <w:widowControl/>
              <w:rPr>
                <w:rFonts w:ascii="楷体" w:eastAsia="楷体" w:hAnsi="楷体" w:cs="楷体" w:hint="eastAsia"/>
                <w:b/>
                <w:bCs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4"/>
                <w:lang w:bidi="ar"/>
              </w:rPr>
              <w:t>常见香调</w:t>
            </w:r>
          </w:p>
        </w:tc>
        <w:tc>
          <w:tcPr>
            <w:tcW w:w="146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B3" w14:textId="77777777" w:rsidR="00660AC6" w:rsidRDefault="0023687C">
            <w:pPr>
              <w:widowControl/>
              <w:rPr>
                <w:rFonts w:ascii="楷体" w:eastAsia="楷体" w:hAnsi="楷体" w:cs="楷体" w:hint="eastAsia"/>
                <w:b/>
                <w:bCs/>
              </w:rPr>
            </w:pPr>
            <w:r>
              <w:rPr>
                <w:rFonts w:ascii="Times New Roman" w:eastAsia="楷体" w:hAnsi="Times New Roman" w:cs="Times New Roman"/>
                <w:b/>
                <w:bCs/>
                <w:kern w:val="0"/>
                <w:sz w:val="24"/>
                <w:lang w:bidi="ar"/>
              </w:rPr>
              <w:t>IgE</w:t>
            </w:r>
            <w:r>
              <w:rPr>
                <w:rFonts w:ascii="楷体" w:eastAsia="楷体" w:hAnsi="楷体" w:cs="楷体" w:hint="eastAsia"/>
                <w:b/>
                <w:bCs/>
                <w:kern w:val="0"/>
                <w:sz w:val="24"/>
                <w:lang w:bidi="ar"/>
              </w:rPr>
              <w:t>风险</w:t>
            </w:r>
          </w:p>
        </w:tc>
        <w:tc>
          <w:tcPr>
            <w:tcW w:w="188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B4" w14:textId="77777777" w:rsidR="00660AC6" w:rsidRDefault="0023687C">
            <w:pPr>
              <w:widowControl/>
              <w:rPr>
                <w:rFonts w:ascii="楷体" w:eastAsia="楷体" w:hAnsi="楷体" w:cs="楷体" w:hint="eastAsia"/>
                <w:b/>
                <w:bCs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4"/>
                <w:lang w:bidi="ar"/>
              </w:rPr>
              <w:t>备注</w:t>
            </w:r>
          </w:p>
        </w:tc>
      </w:tr>
      <w:tr w:rsidR="00660AC6" w14:paraId="524E72BD" w14:textId="77777777">
        <w:trPr>
          <w:jc w:val="center"/>
        </w:trPr>
        <w:tc>
          <w:tcPr>
            <w:tcW w:w="10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2B6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树脂类</w:t>
            </w:r>
          </w:p>
        </w:tc>
        <w:tc>
          <w:tcPr>
            <w:tcW w:w="12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B7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秘鲁香脂</w:t>
            </w:r>
          </w:p>
        </w:tc>
        <w:tc>
          <w:tcPr>
            <w:tcW w:w="17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B8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/>
                <w:kern w:val="0"/>
                <w:sz w:val="24"/>
                <w:lang w:bidi="ar"/>
              </w:rPr>
              <w:t>Balsam of Peru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B9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树脂</w:t>
            </w:r>
          </w:p>
        </w:tc>
        <w:tc>
          <w:tcPr>
            <w:tcW w:w="14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BA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东方调、西普调</w:t>
            </w:r>
          </w:p>
        </w:tc>
        <w:tc>
          <w:tcPr>
            <w:tcW w:w="14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BB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中（双重机制）</w:t>
            </w:r>
          </w:p>
        </w:tc>
        <w:tc>
          <w:tcPr>
            <w:tcW w:w="18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2BC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可同时诱发</w:t>
            </w:r>
            <w:r>
              <w:rPr>
                <w:rFonts w:ascii="Times New Roman" w:eastAsia="楷体" w:hAnsi="Times New Roman" w:cs="Times New Roman"/>
                <w:kern w:val="0"/>
                <w:sz w:val="24"/>
                <w:lang w:bidi="ar"/>
              </w:rPr>
              <w:t>IgE-I</w:t>
            </w: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型</w:t>
            </w:r>
            <w:r>
              <w:rPr>
                <w:rFonts w:ascii="Times New Roman" w:eastAsia="楷体" w:hAnsi="Times New Roman" w:cs="Times New Roman"/>
                <w:kern w:val="0"/>
                <w:sz w:val="24"/>
                <w:lang w:bidi="ar"/>
              </w:rPr>
              <w:t>+IV</w:t>
            </w: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型迟发，临床报告最多</w:t>
            </w:r>
          </w:p>
        </w:tc>
      </w:tr>
      <w:tr w:rsidR="00660AC6" w14:paraId="524E72C5" w14:textId="77777777">
        <w:trPr>
          <w:jc w:val="center"/>
        </w:trPr>
        <w:tc>
          <w:tcPr>
            <w:tcW w:w="10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2BE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树脂类</w:t>
            </w:r>
          </w:p>
        </w:tc>
        <w:tc>
          <w:tcPr>
            <w:tcW w:w="12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BF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安息香树脂</w:t>
            </w:r>
          </w:p>
        </w:tc>
        <w:tc>
          <w:tcPr>
            <w:tcW w:w="17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C0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/>
                <w:kern w:val="0"/>
                <w:sz w:val="24"/>
                <w:lang w:bidi="ar"/>
              </w:rPr>
              <w:t>Benzoin resin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C1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树脂/净油</w:t>
            </w:r>
          </w:p>
        </w:tc>
        <w:tc>
          <w:tcPr>
            <w:tcW w:w="14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C2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东方调、美食调</w:t>
            </w:r>
          </w:p>
        </w:tc>
        <w:tc>
          <w:tcPr>
            <w:tcW w:w="14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C3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中-低</w:t>
            </w:r>
          </w:p>
        </w:tc>
        <w:tc>
          <w:tcPr>
            <w:tcW w:w="18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2C4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树脂蛋白可诱发速发荨麻疹、呼吸道过敏</w:t>
            </w:r>
          </w:p>
        </w:tc>
      </w:tr>
      <w:tr w:rsidR="00660AC6" w14:paraId="524E72CD" w14:textId="77777777">
        <w:trPr>
          <w:jc w:val="center"/>
        </w:trPr>
        <w:tc>
          <w:tcPr>
            <w:tcW w:w="10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2C6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树脂类</w:t>
            </w:r>
          </w:p>
        </w:tc>
        <w:tc>
          <w:tcPr>
            <w:tcW w:w="12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C7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苏合香</w:t>
            </w:r>
          </w:p>
        </w:tc>
        <w:tc>
          <w:tcPr>
            <w:tcW w:w="17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C8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/>
                <w:kern w:val="0"/>
                <w:sz w:val="24"/>
                <w:lang w:bidi="ar"/>
              </w:rPr>
              <w:t>Storax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C9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树脂</w:t>
            </w:r>
          </w:p>
        </w:tc>
        <w:tc>
          <w:tcPr>
            <w:tcW w:w="14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CA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西普调、东方调</w:t>
            </w:r>
          </w:p>
        </w:tc>
        <w:tc>
          <w:tcPr>
            <w:tcW w:w="14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CB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低</w:t>
            </w:r>
          </w:p>
        </w:tc>
        <w:tc>
          <w:tcPr>
            <w:tcW w:w="18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2CC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树脂蛋白杂质，个案报道</w:t>
            </w:r>
          </w:p>
        </w:tc>
      </w:tr>
      <w:tr w:rsidR="00660AC6" w14:paraId="524E72D5" w14:textId="77777777">
        <w:trPr>
          <w:jc w:val="center"/>
        </w:trPr>
        <w:tc>
          <w:tcPr>
            <w:tcW w:w="10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2CE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树脂类</w:t>
            </w:r>
          </w:p>
        </w:tc>
        <w:tc>
          <w:tcPr>
            <w:tcW w:w="12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CF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没药</w:t>
            </w:r>
          </w:p>
        </w:tc>
        <w:tc>
          <w:tcPr>
            <w:tcW w:w="17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D0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/>
                <w:kern w:val="0"/>
                <w:sz w:val="24"/>
                <w:lang w:bidi="ar"/>
              </w:rPr>
              <w:t>Myrrh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D1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树脂</w:t>
            </w:r>
          </w:p>
        </w:tc>
        <w:tc>
          <w:tcPr>
            <w:tcW w:w="14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D2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焚香、木质东方调</w:t>
            </w:r>
          </w:p>
        </w:tc>
        <w:tc>
          <w:tcPr>
            <w:tcW w:w="14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D3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低（罕见）</w:t>
            </w:r>
          </w:p>
        </w:tc>
        <w:tc>
          <w:tcPr>
            <w:tcW w:w="18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2D4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个案IgE速发报道</w:t>
            </w:r>
          </w:p>
        </w:tc>
      </w:tr>
      <w:tr w:rsidR="00660AC6" w14:paraId="524E72DD" w14:textId="77777777">
        <w:trPr>
          <w:jc w:val="center"/>
        </w:trPr>
        <w:tc>
          <w:tcPr>
            <w:tcW w:w="10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2D6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树脂类</w:t>
            </w:r>
          </w:p>
        </w:tc>
        <w:tc>
          <w:tcPr>
            <w:tcW w:w="12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D7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乳香</w:t>
            </w:r>
          </w:p>
        </w:tc>
        <w:tc>
          <w:tcPr>
            <w:tcW w:w="17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D8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/>
                <w:kern w:val="0"/>
                <w:sz w:val="24"/>
                <w:lang w:bidi="ar"/>
              </w:rPr>
              <w:t>Frankincense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D9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树脂</w:t>
            </w:r>
          </w:p>
        </w:tc>
        <w:tc>
          <w:tcPr>
            <w:tcW w:w="14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DA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焚香、木质调</w:t>
            </w:r>
          </w:p>
        </w:tc>
        <w:tc>
          <w:tcPr>
            <w:tcW w:w="14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DB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低（罕见）</w:t>
            </w:r>
          </w:p>
        </w:tc>
        <w:tc>
          <w:tcPr>
            <w:tcW w:w="18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2DC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个案IgE速发报道</w:t>
            </w:r>
          </w:p>
        </w:tc>
      </w:tr>
      <w:tr w:rsidR="00660AC6" w14:paraId="524E72E5" w14:textId="77777777">
        <w:trPr>
          <w:jc w:val="center"/>
        </w:trPr>
        <w:tc>
          <w:tcPr>
            <w:tcW w:w="10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2DE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净油类</w:t>
            </w:r>
          </w:p>
        </w:tc>
        <w:tc>
          <w:tcPr>
            <w:tcW w:w="12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DF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茉莉净油</w:t>
            </w:r>
          </w:p>
        </w:tc>
        <w:tc>
          <w:tcPr>
            <w:tcW w:w="17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E0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/>
                <w:kern w:val="0"/>
                <w:sz w:val="24"/>
                <w:lang w:bidi="ar"/>
              </w:rPr>
              <w:t>Jasmine absolute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E1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溶剂萃取净油</w:t>
            </w:r>
          </w:p>
        </w:tc>
        <w:tc>
          <w:tcPr>
            <w:tcW w:w="14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E2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白花、花香调</w:t>
            </w:r>
          </w:p>
        </w:tc>
        <w:tc>
          <w:tcPr>
            <w:tcW w:w="14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E3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低（罕见）</w:t>
            </w:r>
          </w:p>
        </w:tc>
        <w:tc>
          <w:tcPr>
            <w:tcW w:w="18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2E4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蒸馏茉莉油蛋白残留极低</w:t>
            </w:r>
          </w:p>
        </w:tc>
      </w:tr>
      <w:tr w:rsidR="00660AC6" w14:paraId="524E72ED" w14:textId="77777777">
        <w:trPr>
          <w:jc w:val="center"/>
        </w:trPr>
        <w:tc>
          <w:tcPr>
            <w:tcW w:w="10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2E6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净油类</w:t>
            </w:r>
          </w:p>
        </w:tc>
        <w:tc>
          <w:tcPr>
            <w:tcW w:w="12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E7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玫瑰净油</w:t>
            </w:r>
          </w:p>
        </w:tc>
        <w:tc>
          <w:tcPr>
            <w:tcW w:w="17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E8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/>
                <w:kern w:val="0"/>
                <w:sz w:val="24"/>
                <w:lang w:bidi="ar"/>
              </w:rPr>
              <w:t>Rose absolute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E9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溶剂萃取净油</w:t>
            </w:r>
          </w:p>
        </w:tc>
        <w:tc>
          <w:tcPr>
            <w:tcW w:w="14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EA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花香调</w:t>
            </w:r>
          </w:p>
        </w:tc>
        <w:tc>
          <w:tcPr>
            <w:tcW w:w="14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EB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低（罕见）</w:t>
            </w:r>
          </w:p>
        </w:tc>
        <w:tc>
          <w:tcPr>
            <w:tcW w:w="18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2EC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同上，蒸馏玫瑰油风险低</w:t>
            </w:r>
          </w:p>
        </w:tc>
      </w:tr>
      <w:tr w:rsidR="00660AC6" w14:paraId="524E72F5" w14:textId="77777777">
        <w:trPr>
          <w:jc w:val="center"/>
        </w:trPr>
        <w:tc>
          <w:tcPr>
            <w:tcW w:w="10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2EE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净油类</w:t>
            </w:r>
          </w:p>
        </w:tc>
        <w:tc>
          <w:tcPr>
            <w:tcW w:w="12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EF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晚香玉净油</w:t>
            </w:r>
          </w:p>
        </w:tc>
        <w:tc>
          <w:tcPr>
            <w:tcW w:w="17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F0" w14:textId="77777777" w:rsidR="00660AC6" w:rsidRDefault="0023687C">
            <w:pPr>
              <w:widowControl/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/>
                <w:kern w:val="0"/>
                <w:sz w:val="24"/>
                <w:lang w:bidi="ar"/>
              </w:rPr>
              <w:t>Tuberose absolute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F1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溶剂萃取净油</w:t>
            </w:r>
          </w:p>
        </w:tc>
        <w:tc>
          <w:tcPr>
            <w:tcW w:w="14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F2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白花、东方调</w:t>
            </w:r>
          </w:p>
        </w:tc>
        <w:tc>
          <w:tcPr>
            <w:tcW w:w="14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F3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低（罕见）</w:t>
            </w:r>
          </w:p>
        </w:tc>
        <w:tc>
          <w:tcPr>
            <w:tcW w:w="18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2F4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蛋白杂质诱发</w:t>
            </w:r>
          </w:p>
        </w:tc>
      </w:tr>
      <w:tr w:rsidR="00660AC6" w14:paraId="524E72FD" w14:textId="77777777">
        <w:trPr>
          <w:jc w:val="center"/>
        </w:trPr>
        <w:tc>
          <w:tcPr>
            <w:tcW w:w="10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2F6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净油类</w:t>
            </w:r>
          </w:p>
        </w:tc>
        <w:tc>
          <w:tcPr>
            <w:tcW w:w="12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F7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依兰依兰净油</w:t>
            </w:r>
          </w:p>
        </w:tc>
        <w:tc>
          <w:tcPr>
            <w:tcW w:w="17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F8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Ylang-ylang absolute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F9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溶剂萃取净油</w:t>
            </w:r>
          </w:p>
        </w:tc>
        <w:tc>
          <w:tcPr>
            <w:tcW w:w="14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FA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白花、东方调</w:t>
            </w:r>
          </w:p>
        </w:tc>
        <w:tc>
          <w:tcPr>
            <w:tcW w:w="14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FB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低（罕见）</w:t>
            </w:r>
          </w:p>
        </w:tc>
        <w:tc>
          <w:tcPr>
            <w:tcW w:w="18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2FC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蛋白杂质诱发</w:t>
            </w:r>
          </w:p>
        </w:tc>
      </w:tr>
      <w:tr w:rsidR="00660AC6" w14:paraId="524E7305" w14:textId="77777777">
        <w:trPr>
          <w:jc w:val="center"/>
        </w:trPr>
        <w:tc>
          <w:tcPr>
            <w:tcW w:w="10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2FE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lastRenderedPageBreak/>
              <w:t>花粉类</w:t>
            </w:r>
          </w:p>
        </w:tc>
        <w:tc>
          <w:tcPr>
            <w:tcW w:w="12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2FF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薰衣草、洋甘菊、金合欢等</w:t>
            </w:r>
          </w:p>
        </w:tc>
        <w:tc>
          <w:tcPr>
            <w:tcW w:w="17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00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-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01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植物提取物</w:t>
            </w:r>
          </w:p>
        </w:tc>
        <w:tc>
          <w:tcPr>
            <w:tcW w:w="14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02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-</w:t>
            </w:r>
          </w:p>
        </w:tc>
        <w:tc>
          <w:tcPr>
            <w:tcW w:w="14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03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-</w:t>
            </w:r>
          </w:p>
        </w:tc>
        <w:tc>
          <w:tcPr>
            <w:tcW w:w="18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304" w14:textId="77777777" w:rsidR="00660AC6" w:rsidRDefault="0023687C">
            <w:pPr>
              <w:widowControl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原料带入微量花粉蛋白，与花粉过敏人群交叉反应</w:t>
            </w:r>
          </w:p>
        </w:tc>
      </w:tr>
    </w:tbl>
    <w:p w14:paraId="524E7306" w14:textId="77777777" w:rsidR="00660AC6" w:rsidRDefault="00660AC6">
      <w:pPr>
        <w:pStyle w:val="3"/>
        <w:widowControl/>
        <w:shd w:val="clear" w:color="auto" w:fill="FFFFFF"/>
        <w:spacing w:before="384" w:beforeAutospacing="0" w:after="192" w:afterAutospacing="0"/>
        <w:rPr>
          <w:rFonts w:ascii="楷体" w:eastAsia="楷体" w:hAnsi="楷体" w:cs="楷体"/>
          <w:color w:val="0F1115"/>
          <w:kern w:val="2"/>
          <w:sz w:val="24"/>
          <w:szCs w:val="24"/>
          <w:shd w:val="clear" w:color="auto" w:fill="FFFFFF"/>
        </w:rPr>
      </w:pPr>
    </w:p>
    <w:p w14:paraId="524E7307" w14:textId="77777777" w:rsidR="00660AC6" w:rsidRDefault="00660AC6">
      <w:pPr>
        <w:pStyle w:val="3"/>
        <w:widowControl/>
        <w:shd w:val="clear" w:color="auto" w:fill="FFFFFF"/>
        <w:spacing w:before="384" w:beforeAutospacing="0" w:after="192" w:afterAutospacing="0"/>
        <w:rPr>
          <w:rFonts w:ascii="楷体" w:eastAsia="楷体" w:hAnsi="楷体" w:cs="楷体"/>
          <w:color w:val="0F1115"/>
          <w:kern w:val="2"/>
          <w:sz w:val="24"/>
          <w:szCs w:val="24"/>
          <w:shd w:val="clear" w:color="auto" w:fill="FFFFFF"/>
        </w:rPr>
      </w:pPr>
    </w:p>
    <w:p w14:paraId="524E7308" w14:textId="77777777" w:rsidR="00660AC6" w:rsidRDefault="0023687C">
      <w:pPr>
        <w:pStyle w:val="3"/>
        <w:widowControl/>
        <w:shd w:val="clear" w:color="auto" w:fill="FFFFFF"/>
        <w:spacing w:before="384" w:beforeAutospacing="0" w:after="192" w:afterAutospacing="0"/>
        <w:rPr>
          <w:rFonts w:ascii="楷体" w:eastAsia="楷体" w:hAnsi="楷体" w:cs="楷体"/>
          <w:color w:val="0F1115"/>
          <w:kern w:val="2"/>
          <w:sz w:val="24"/>
          <w:szCs w:val="24"/>
          <w:shd w:val="clear" w:color="auto" w:fill="FFFFFF"/>
        </w:rPr>
      </w:pPr>
      <w:r>
        <w:rPr>
          <w:rFonts w:ascii="楷体" w:eastAsia="楷体" w:hAnsi="楷体" w:cs="楷体" w:hint="default"/>
          <w:color w:val="0F1115"/>
          <w:kern w:val="2"/>
          <w:sz w:val="24"/>
          <w:szCs w:val="24"/>
          <w:shd w:val="clear" w:color="auto" w:fill="FFFFFF"/>
        </w:rPr>
        <w:t>模块二：香味可视化系统（核心差异化亮点）</w:t>
      </w:r>
    </w:p>
    <w:p w14:paraId="524E7309" w14:textId="77777777" w:rsidR="00660AC6" w:rsidRDefault="0023687C">
      <w:pPr>
        <w:pStyle w:val="a3"/>
        <w:widowControl/>
        <w:shd w:val="clear" w:color="auto" w:fill="FFFFFF"/>
        <w:spacing w:before="192" w:after="192"/>
        <w:rPr>
          <w:rFonts w:ascii="楷体" w:eastAsia="楷体" w:hAnsi="楷体" w:cs="楷体" w:hint="eastAsia"/>
          <w:color w:val="0F1115"/>
        </w:rPr>
      </w:pPr>
      <w:r>
        <w:rPr>
          <w:rFonts w:ascii="楷体" w:eastAsia="楷体" w:hAnsi="楷体" w:cs="楷体" w:hint="eastAsia"/>
          <w:b/>
          <w:bCs/>
          <w:color w:val="0F1115"/>
          <w:shd w:val="clear" w:color="auto" w:fill="FFFFFF"/>
        </w:rPr>
        <w:t>目标</w:t>
      </w:r>
      <w:r>
        <w:rPr>
          <w:rFonts w:ascii="楷体" w:eastAsia="楷体" w:hAnsi="楷体" w:cs="楷体" w:hint="eastAsia"/>
          <w:color w:val="0F1115"/>
          <w:shd w:val="clear" w:color="auto" w:fill="FFFFFF"/>
        </w:rPr>
        <w:t>：让失嗅人群“看见”香味，让所有人“读懂”香味。</w:t>
      </w:r>
    </w:p>
    <w:p w14:paraId="524E730A" w14:textId="77777777" w:rsidR="00660AC6" w:rsidRDefault="0023687C">
      <w:pPr>
        <w:pStyle w:val="4"/>
        <w:widowControl/>
        <w:shd w:val="clear" w:color="auto" w:fill="FFFFFF"/>
        <w:spacing w:before="192" w:beforeAutospacing="0" w:after="192" w:afterAutospacing="0"/>
        <w:rPr>
          <w:rFonts w:ascii="楷体" w:eastAsia="楷体" w:hAnsi="楷体" w:cs="楷体"/>
          <w:color w:val="0F1115"/>
        </w:rPr>
      </w:pPr>
      <w:r>
        <w:rPr>
          <w:rFonts w:ascii="楷体" w:eastAsia="楷体" w:hAnsi="楷体" w:cs="楷体"/>
          <w:color w:val="0F1115"/>
          <w:shd w:val="clear" w:color="auto" w:fill="FFFFFF"/>
        </w:rPr>
        <w:t>3.2.1 香水可视化内容逻辑</w:t>
      </w:r>
    </w:p>
    <w:p w14:paraId="524E730B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 w:hint="eastAsia"/>
          <w:b/>
          <w:bCs/>
          <w:color w:val="0F1115"/>
          <w:shd w:val="clear" w:color="auto" w:fill="FFFFFF"/>
        </w:rPr>
        <w:t>核心逻辑：</w:t>
      </w:r>
      <w:r>
        <w:rPr>
          <w:rFonts w:ascii="楷体" w:eastAsia="楷体" w:hAnsi="楷体" w:cs="楷体" w:hint="eastAsia"/>
          <w:color w:val="0F1115"/>
          <w:shd w:val="clear" w:color="auto" w:fill="FFFFFF"/>
        </w:rPr>
        <w:t>嗅觉 → 参数映射 → 视觉编码 → 视觉呈现香水→文本解析 → 嗅觉特征编码 → 生成提示词 → AI文生图 → 结果展示</w:t>
      </w:r>
    </w:p>
    <w:p w14:paraId="524E730C" w14:textId="77777777" w:rsidR="00660AC6" w:rsidRDefault="0023687C">
      <w:pPr>
        <w:pStyle w:val="a3"/>
        <w:widowControl/>
        <w:shd w:val="clear" w:color="auto" w:fill="FFFFFF"/>
        <w:spacing w:before="192" w:after="192"/>
        <w:rPr>
          <w:rFonts w:ascii="楷体" w:eastAsia="楷体" w:hAnsi="楷体" w:cs="楷体" w:hint="eastAsia"/>
          <w:color w:val="0F1115"/>
        </w:rPr>
      </w:pPr>
      <w:r>
        <w:rPr>
          <w:rFonts w:ascii="楷体" w:eastAsia="楷体" w:hAnsi="楷体" w:cs="楷体" w:hint="eastAsia"/>
          <w:b/>
          <w:bCs/>
          <w:color w:val="0F1115"/>
          <w:shd w:val="clear" w:color="auto" w:fill="FFFFFF"/>
        </w:rPr>
        <w:t>简易流程</w:t>
      </w:r>
      <w:r>
        <w:rPr>
          <w:rFonts w:ascii="楷体" w:eastAsia="楷体" w:hAnsi="楷体" w:cs="楷体" w:hint="eastAsia"/>
          <w:color w:val="0F1115"/>
          <w:shd w:val="clear" w:color="auto" w:fill="FFFFFF"/>
        </w:rPr>
        <w:t>：</w:t>
      </w:r>
    </w:p>
    <w:p w14:paraId="524E730D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 w:hint="eastAsia"/>
          <w:color w:val="0F1115"/>
          <w:shd w:val="clear" w:color="auto" w:fill="FFFFFF"/>
        </w:rPr>
        <w:t>1.拆解香水：提取前/中/后调原料、香型、浓度、风格情绪</w:t>
      </w:r>
    </w:p>
    <w:p w14:paraId="524E730E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 w:hint="eastAsia"/>
          <w:color w:val="0F1115"/>
          <w:shd w:val="clear" w:color="auto" w:fill="FFFFFF"/>
        </w:rPr>
        <w:t>2.给每个原料分配：颜色 + 形状图标</w:t>
      </w:r>
    </w:p>
    <w:p w14:paraId="524E730F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 w:hint="eastAsia"/>
          <w:color w:val="0F1115"/>
          <w:shd w:val="clear" w:color="auto" w:fill="FFFFFF"/>
        </w:rPr>
        <w:t>3.选择模式：静态金字塔 OR 动态粒子流体</w:t>
      </w:r>
    </w:p>
    <w:p w14:paraId="524E7310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 w:hint="eastAsia"/>
          <w:color w:val="0F1115"/>
          <w:shd w:val="clear" w:color="auto" w:fill="FFFFFF"/>
        </w:rPr>
        <w:t>4.映射：权重→色块宽度/粒子数量；时序→图层顺序/动画时间；强度→透明度大小</w:t>
      </w:r>
    </w:p>
    <w:p w14:paraId="524E7311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  <w:color w:val="0F1115"/>
          <w:shd w:val="clear" w:color="auto" w:fill="FFFFFF"/>
        </w:rPr>
        <w:t>5.AI输出高级视觉画面</w:t>
      </w:r>
    </w:p>
    <w:p w14:paraId="524E7312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 w:hint="eastAsia"/>
          <w:color w:val="0F1115"/>
          <w:shd w:val="clear" w:color="auto" w:fill="FFFFFF"/>
        </w:rPr>
        <w:t>（模拟时间变化=香味随时间变化对应不同颜色；色块宽度=香气占比权重，越宽代表这个调占香水比重越高）</w:t>
      </w:r>
    </w:p>
    <w:p w14:paraId="524E7313" w14:textId="77777777" w:rsidR="00660AC6" w:rsidRDefault="00660AC6">
      <w:pPr>
        <w:pStyle w:val="a3"/>
        <w:widowControl/>
        <w:shd w:val="clear" w:color="auto" w:fill="FFFFFF"/>
        <w:spacing w:line="4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</w:p>
    <w:p w14:paraId="524E7314" w14:textId="77777777" w:rsidR="00660AC6" w:rsidRDefault="0023687C">
      <w:pPr>
        <w:pStyle w:val="4"/>
        <w:widowControl/>
        <w:shd w:val="clear" w:color="auto" w:fill="FFFFFF"/>
        <w:spacing w:before="192" w:beforeAutospacing="0" w:after="192" w:afterAutospacing="0"/>
        <w:rPr>
          <w:rFonts w:ascii="楷体" w:eastAsia="楷体" w:hAnsi="楷体" w:cs="楷体"/>
          <w:color w:val="0F1115"/>
          <w:shd w:val="clear" w:color="auto" w:fill="FFFFFF"/>
        </w:rPr>
      </w:pPr>
      <w:r>
        <w:rPr>
          <w:rFonts w:ascii="楷体" w:eastAsia="楷体" w:hAnsi="楷体" w:cs="楷体"/>
          <w:color w:val="0F1115"/>
          <w:shd w:val="clear" w:color="auto" w:fill="FFFFFF"/>
        </w:rPr>
        <w:t>3.2.2 跨模态映射理论基础</w:t>
      </w:r>
    </w:p>
    <w:p w14:paraId="524E7315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 w:hint="eastAsia"/>
          <w:color w:val="0F1115"/>
          <w:shd w:val="clear" w:color="auto" w:fill="FFFFFF"/>
        </w:rPr>
        <w:t>“气味→视觉”的映射并非主观臆造，而是有坚实的跨模态感知研究支撑：</w:t>
      </w:r>
    </w:p>
    <w:p w14:paraId="524E7316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Times New Roman" w:eastAsia="楷体" w:hAnsi="Times New Roman" w:cs="Times New Roman"/>
          <w:color w:val="0F1115"/>
          <w:shd w:val="clear" w:color="auto" w:fill="FFFFFF"/>
        </w:rPr>
        <w:t>Gilbert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、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Martin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与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Kemp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（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1996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）</w:t>
      </w:r>
      <w:r>
        <w:rPr>
          <w:rFonts w:ascii="楷体" w:eastAsia="楷体" w:hAnsi="楷体" w:cs="楷体" w:hint="eastAsia"/>
          <w:color w:val="0F1115"/>
          <w:shd w:val="clear" w:color="auto" w:fill="FFFFFF"/>
        </w:rPr>
        <w:t> 在《</w:t>
      </w:r>
      <w:r>
        <w:rPr>
          <w:rFonts w:ascii="Times New Roman" w:eastAsia="楷体" w:hAnsi="Times New Roman" w:cs="Times New Roman" w:hint="eastAsia"/>
          <w:color w:val="0F1115"/>
          <w:shd w:val="clear" w:color="auto" w:fill="FFFFFF"/>
        </w:rPr>
        <w:t>American Journal of Psychology</w:t>
      </w:r>
      <w:r>
        <w:rPr>
          <w:rFonts w:ascii="楷体" w:eastAsia="楷体" w:hAnsi="楷体" w:cs="楷体" w:hint="eastAsia"/>
          <w:color w:val="0F1115"/>
          <w:shd w:val="clear" w:color="auto" w:fill="FFFFFF"/>
        </w:rPr>
        <w:t>》发表的开创性研究证明：对于20种测试气味，受试者能产生一致的、非随机的颜色联想，且2年后的重测相关性显示这种映射具有高度稳定性。</w:t>
      </w:r>
    </w:p>
    <w:p w14:paraId="524E7317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 w:hint="eastAsia"/>
          <w:color w:val="0F1115"/>
          <w:shd w:val="clear" w:color="auto" w:fill="FFFFFF"/>
        </w:rPr>
        <w:lastRenderedPageBreak/>
        <w:t>牛津大学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Charles Spence</w:t>
      </w:r>
      <w:r>
        <w:rPr>
          <w:rFonts w:ascii="楷体" w:eastAsia="楷体" w:hAnsi="楷体" w:cs="楷体" w:hint="eastAsia"/>
          <w:color w:val="0F1115"/>
          <w:shd w:val="clear" w:color="auto" w:fill="FFFFFF"/>
        </w:rPr>
        <w:t>教授（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2020</w:t>
      </w:r>
      <w:r>
        <w:rPr>
          <w:rFonts w:ascii="楷体" w:eastAsia="楷体" w:hAnsi="楷体" w:cs="楷体" w:hint="eastAsia"/>
          <w:color w:val="0F1115"/>
          <w:shd w:val="clear" w:color="auto" w:fill="FFFFFF"/>
        </w:rPr>
        <w:t>） 在《</w:t>
      </w:r>
      <w:r>
        <w:rPr>
          <w:rFonts w:ascii="Times New Roman" w:eastAsia="楷体" w:hAnsi="Times New Roman" w:cs="Times New Roman" w:hint="eastAsia"/>
          <w:color w:val="0F1115"/>
          <w:shd w:val="clear" w:color="auto" w:fill="FFFFFF"/>
        </w:rPr>
        <w:t>Cognitive Research: Principles and Implications</w:t>
      </w:r>
      <w:r>
        <w:rPr>
          <w:rFonts w:ascii="楷体" w:eastAsia="楷体" w:hAnsi="楷体" w:cs="楷体" w:hint="eastAsia"/>
          <w:color w:val="0F1115"/>
          <w:shd w:val="clear" w:color="auto" w:fill="FFFFFF"/>
        </w:rPr>
        <w:t>》发表的综述梳理了过去25年间至少20篇同行评审研究，确认了普通人群（非联觉者）中气味-颜色映射的稳健性，并提出四种解释框架：</w:t>
      </w:r>
    </w:p>
    <w:p w14:paraId="524E7318" w14:textId="77777777" w:rsidR="00660AC6" w:rsidRDefault="00660AC6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</w:p>
    <w:tbl>
      <w:tblPr>
        <w:tblW w:w="907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3893"/>
        <w:gridCol w:w="4219"/>
      </w:tblGrid>
      <w:tr w:rsidR="00660AC6" w14:paraId="524E731C" w14:textId="77777777">
        <w:tc>
          <w:tcPr>
            <w:tcW w:w="95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319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4"/>
                <w:lang w:bidi="ar"/>
              </w:rPr>
              <w:t>解释理论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1A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4"/>
                <w:lang w:bidi="ar"/>
              </w:rPr>
              <w:t>核心观点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1B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4"/>
                <w:lang w:bidi="ar"/>
              </w:rPr>
              <w:t>对本方案的指导意义</w:t>
            </w:r>
          </w:p>
        </w:tc>
      </w:tr>
      <w:tr w:rsidR="00660AC6" w14:paraId="524E7320" w14:textId="77777777">
        <w:tc>
          <w:tcPr>
            <w:tcW w:w="9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31D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统计学习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1E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映射源于后天习得的统计关联（橙子→橙色）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31F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可利用香调来源物的自然色彩</w:t>
            </w:r>
          </w:p>
        </w:tc>
      </w:tr>
      <w:tr w:rsidR="00660AC6" w14:paraId="524E7324" w14:textId="77777777">
        <w:tc>
          <w:tcPr>
            <w:tcW w:w="9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321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语义中介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22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通过气味来源物的名称/语义标签建立关联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323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香调命名（“花香调”“木质调”）本身即映射锚点</w:t>
            </w:r>
          </w:p>
        </w:tc>
      </w:tr>
      <w:tr w:rsidR="00660AC6" w14:paraId="524E7328" w14:textId="77777777">
        <w:tc>
          <w:tcPr>
            <w:tcW w:w="9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325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结构对应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26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基于感官维度的结构相似性（暖/冷、明/暗）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327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气味“温暖度”→“色彩”暖/冷调</w:t>
            </w:r>
          </w:p>
        </w:tc>
      </w:tr>
      <w:tr w:rsidR="00660AC6" w14:paraId="524E732C" w14:textId="77777777">
        <w:tc>
          <w:tcPr>
            <w:tcW w:w="9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329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情绪中介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2A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气味与颜色共享效价（愉悦/不悦）维度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32B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情绪效价可作为映射的辅助轴</w:t>
            </w:r>
          </w:p>
        </w:tc>
      </w:tr>
    </w:tbl>
    <w:p w14:paraId="524E732D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Times New Roman" w:eastAsia="楷体" w:hAnsi="Times New Roman" w:cs="Times New Roman"/>
          <w:color w:val="0F1115"/>
          <w:shd w:val="clear" w:color="auto" w:fill="FFFFFF"/>
        </w:rPr>
        <w:t>Russell</w:t>
      </w:r>
      <w:r>
        <w:rPr>
          <w:rFonts w:ascii="楷体" w:eastAsia="楷体" w:hAnsi="楷体" w:cs="楷体" w:hint="eastAsia"/>
          <w:color w:val="0F1115"/>
          <w:shd w:val="clear" w:color="auto" w:fill="FFFFFF"/>
        </w:rPr>
        <w:t>等人（</w:t>
      </w:r>
      <w:r>
        <w:rPr>
          <w:rFonts w:ascii="Times New Roman" w:eastAsia="楷体" w:hAnsi="Times New Roman" w:cs="Times New Roman" w:hint="eastAsia"/>
          <w:color w:val="0F1115"/>
          <w:shd w:val="clear" w:color="auto" w:fill="FFFFFF"/>
        </w:rPr>
        <w:t>2015</w:t>
      </w:r>
      <w:r>
        <w:rPr>
          <w:rFonts w:ascii="楷体" w:eastAsia="楷体" w:hAnsi="楷体" w:cs="楷体" w:hint="eastAsia"/>
          <w:color w:val="0F1115"/>
          <w:shd w:val="clear" w:color="auto" w:fill="FFFFFF"/>
        </w:rPr>
        <w:t>） 对嗅觉-视觉联觉者的研究发现，气味的视觉化不仅涉及颜色，还包括形状与图案（如“巧克力闻起来是粉色且带条纹的”），这为本方案的“动态图形”维度提供了直接依据。</w:t>
      </w:r>
    </w:p>
    <w:p w14:paraId="524E732E" w14:textId="77777777" w:rsidR="00660AC6" w:rsidRDefault="00660AC6">
      <w:pPr>
        <w:pStyle w:val="a3"/>
        <w:widowControl/>
        <w:shd w:val="clear" w:color="auto" w:fill="FFFFFF"/>
        <w:spacing w:line="4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</w:p>
    <w:p w14:paraId="524E732F" w14:textId="77777777" w:rsidR="00660AC6" w:rsidRDefault="0023687C">
      <w:pPr>
        <w:pStyle w:val="4"/>
        <w:widowControl/>
        <w:shd w:val="clear" w:color="auto" w:fill="FFFFFF"/>
        <w:spacing w:before="192" w:beforeAutospacing="0" w:after="192" w:afterAutospacing="0"/>
        <w:rPr>
          <w:rFonts w:ascii="楷体" w:eastAsia="楷体" w:hAnsi="楷体" w:cs="楷体"/>
          <w:color w:val="0F1115"/>
        </w:rPr>
      </w:pPr>
      <w:r>
        <w:rPr>
          <w:rFonts w:ascii="楷体" w:eastAsia="楷体" w:hAnsi="楷体" w:cs="楷体"/>
          <w:color w:val="0F1115"/>
          <w:shd w:val="clear" w:color="auto" w:fill="FFFFFF"/>
        </w:rPr>
        <w:t>3.2.3 气味→视觉的映射规则设计</w:t>
      </w:r>
    </w:p>
    <w:p w14:paraId="524E7330" w14:textId="77777777" w:rsidR="00660AC6" w:rsidRDefault="0023687C">
      <w:pPr>
        <w:pStyle w:val="a3"/>
        <w:widowControl/>
        <w:shd w:val="clear" w:color="auto" w:fill="FFFFFF"/>
        <w:spacing w:before="192" w:after="192"/>
        <w:rPr>
          <w:rFonts w:ascii="楷体" w:eastAsia="楷体" w:hAnsi="楷体" w:cs="楷体" w:hint="eastAsia"/>
          <w:color w:val="0F1115"/>
        </w:rPr>
      </w:pPr>
      <w:r>
        <w:rPr>
          <w:rFonts w:ascii="楷体" w:eastAsia="楷体" w:hAnsi="楷体" w:cs="楷体" w:hint="eastAsia"/>
          <w:color w:val="0F1115"/>
          <w:shd w:val="clear" w:color="auto" w:fill="FFFFFF"/>
        </w:rPr>
        <w:t>基于上述理论，本方案设计了“香调类型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→</w:t>
      </w:r>
      <w:r>
        <w:rPr>
          <w:rFonts w:ascii="楷体" w:eastAsia="楷体" w:hAnsi="楷体" w:cs="楷体" w:hint="eastAsia"/>
          <w:color w:val="0F1115"/>
          <w:shd w:val="clear" w:color="auto" w:fill="FFFFFF"/>
        </w:rPr>
        <w:t>视觉三要素”的映射规则库：</w:t>
      </w:r>
    </w:p>
    <w:tbl>
      <w:tblPr>
        <w:tblW w:w="87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1374"/>
        <w:gridCol w:w="1561"/>
        <w:gridCol w:w="1625"/>
        <w:gridCol w:w="2913"/>
      </w:tblGrid>
      <w:tr w:rsidR="00660AC6" w14:paraId="524E7336" w14:textId="77777777">
        <w:trPr>
          <w:tblHeader/>
        </w:trPr>
        <w:tc>
          <w:tcPr>
            <w:tcW w:w="129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331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4"/>
                <w:lang w:bidi="ar"/>
              </w:rPr>
              <w:t>香调类型</w:t>
            </w:r>
          </w:p>
        </w:tc>
        <w:tc>
          <w:tcPr>
            <w:tcW w:w="137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32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b/>
                <w:bCs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4"/>
                <w:lang w:bidi="ar"/>
              </w:rPr>
              <w:t>主色系</w:t>
            </w:r>
          </w:p>
        </w:tc>
        <w:tc>
          <w:tcPr>
            <w:tcW w:w="156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33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b/>
                <w:bCs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4"/>
                <w:lang w:bidi="ar"/>
              </w:rPr>
              <w:t>动态图形</w:t>
            </w:r>
          </w:p>
        </w:tc>
        <w:tc>
          <w:tcPr>
            <w:tcW w:w="162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34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b/>
                <w:bCs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4"/>
                <w:lang w:bidi="ar"/>
              </w:rPr>
              <w:t>情绪效价</w:t>
            </w:r>
          </w:p>
        </w:tc>
        <w:tc>
          <w:tcPr>
            <w:tcW w:w="291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35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4"/>
                <w:lang w:bidi="ar"/>
              </w:rPr>
              <w:t>理论依据</w:t>
            </w:r>
          </w:p>
        </w:tc>
      </w:tr>
      <w:tr w:rsidR="00660AC6" w14:paraId="524E733C" w14:textId="77777777">
        <w:tc>
          <w:tcPr>
            <w:tcW w:w="12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337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花香调</w:t>
            </w:r>
          </w:p>
        </w:tc>
        <w:tc>
          <w:tcPr>
            <w:tcW w:w="13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38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粉/紫</w:t>
            </w:r>
          </w:p>
        </w:tc>
        <w:tc>
          <w:tcPr>
            <w:tcW w:w="15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39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花瓣飘落</w:t>
            </w:r>
          </w:p>
        </w:tc>
        <w:tc>
          <w:tcPr>
            <w:tcW w:w="16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3A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温柔、浪漫</w:t>
            </w:r>
          </w:p>
        </w:tc>
        <w:tc>
          <w:tcPr>
            <w:tcW w:w="29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33B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统计学习（花朵→粉/紫）</w:t>
            </w:r>
          </w:p>
        </w:tc>
      </w:tr>
      <w:tr w:rsidR="00660AC6" w14:paraId="524E7342" w14:textId="77777777">
        <w:tc>
          <w:tcPr>
            <w:tcW w:w="12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33D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木质调</w:t>
            </w:r>
          </w:p>
        </w:tc>
        <w:tc>
          <w:tcPr>
            <w:tcW w:w="13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3E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棕/墨绿</w:t>
            </w:r>
          </w:p>
        </w:tc>
        <w:tc>
          <w:tcPr>
            <w:tcW w:w="15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3F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树干纹理</w:t>
            </w:r>
          </w:p>
        </w:tc>
        <w:tc>
          <w:tcPr>
            <w:tcW w:w="16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40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沉稳、温暖</w:t>
            </w:r>
          </w:p>
        </w:tc>
        <w:tc>
          <w:tcPr>
            <w:tcW w:w="29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341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语义中介（木材→棕色）</w:t>
            </w:r>
          </w:p>
        </w:tc>
      </w:tr>
      <w:tr w:rsidR="00660AC6" w14:paraId="524E7348" w14:textId="77777777">
        <w:tc>
          <w:tcPr>
            <w:tcW w:w="12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343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柑橘调</w:t>
            </w:r>
          </w:p>
        </w:tc>
        <w:tc>
          <w:tcPr>
            <w:tcW w:w="13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44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黄/橙</w:t>
            </w:r>
          </w:p>
        </w:tc>
        <w:tc>
          <w:tcPr>
            <w:tcW w:w="15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45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光线跃动</w:t>
            </w:r>
          </w:p>
        </w:tc>
        <w:tc>
          <w:tcPr>
            <w:tcW w:w="16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46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清新、活力</w:t>
            </w:r>
          </w:p>
        </w:tc>
        <w:tc>
          <w:tcPr>
            <w:tcW w:w="29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347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统计学习（柑橘→黄/橙）</w:t>
            </w:r>
          </w:p>
        </w:tc>
      </w:tr>
      <w:tr w:rsidR="00660AC6" w14:paraId="524E734E" w14:textId="77777777">
        <w:tc>
          <w:tcPr>
            <w:tcW w:w="12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349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lastRenderedPageBreak/>
              <w:t>东方调</w:t>
            </w:r>
          </w:p>
        </w:tc>
        <w:tc>
          <w:tcPr>
            <w:tcW w:w="13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4A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深红/金</w:t>
            </w:r>
          </w:p>
        </w:tc>
        <w:tc>
          <w:tcPr>
            <w:tcW w:w="15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4B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香料旋涡</w:t>
            </w:r>
          </w:p>
        </w:tc>
        <w:tc>
          <w:tcPr>
            <w:tcW w:w="16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4C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浓郁、神秘</w:t>
            </w:r>
          </w:p>
        </w:tc>
        <w:tc>
          <w:tcPr>
            <w:tcW w:w="29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34D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情绪中介（浓郁→深色）</w:t>
            </w:r>
          </w:p>
        </w:tc>
      </w:tr>
      <w:tr w:rsidR="00660AC6" w14:paraId="524E7354" w14:textId="77777777">
        <w:tc>
          <w:tcPr>
            <w:tcW w:w="12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34F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馥奇调</w:t>
            </w:r>
          </w:p>
        </w:tc>
        <w:tc>
          <w:tcPr>
            <w:tcW w:w="13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50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翠绿/青</w:t>
            </w:r>
          </w:p>
        </w:tc>
        <w:tc>
          <w:tcPr>
            <w:tcW w:w="15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51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蕨类摇曳</w:t>
            </w:r>
          </w:p>
        </w:tc>
        <w:tc>
          <w:tcPr>
            <w:tcW w:w="16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52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自然、清新</w:t>
            </w:r>
          </w:p>
        </w:tc>
        <w:tc>
          <w:tcPr>
            <w:tcW w:w="29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353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结构对应（清凉→冷色）</w:t>
            </w:r>
          </w:p>
        </w:tc>
      </w:tr>
      <w:tr w:rsidR="00660AC6" w14:paraId="524E735A" w14:textId="77777777">
        <w:tc>
          <w:tcPr>
            <w:tcW w:w="12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355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美食调</w:t>
            </w:r>
          </w:p>
        </w:tc>
        <w:tc>
          <w:tcPr>
            <w:tcW w:w="13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56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暖棕/奶白</w:t>
            </w:r>
          </w:p>
        </w:tc>
        <w:tc>
          <w:tcPr>
            <w:tcW w:w="15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57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蒸汽升腾</w:t>
            </w:r>
          </w:p>
        </w:tc>
        <w:tc>
          <w:tcPr>
            <w:tcW w:w="16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58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甜蜜、舒适</w:t>
            </w:r>
          </w:p>
        </w:tc>
        <w:tc>
          <w:tcPr>
            <w:tcW w:w="29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359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统计学习（食物→暖色）</w:t>
            </w:r>
          </w:p>
        </w:tc>
      </w:tr>
      <w:tr w:rsidR="00660AC6" w14:paraId="524E7360" w14:textId="77777777">
        <w:tc>
          <w:tcPr>
            <w:tcW w:w="12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35B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西普调</w:t>
            </w:r>
          </w:p>
        </w:tc>
        <w:tc>
          <w:tcPr>
            <w:tcW w:w="13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5C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苔绿/琥珀</w:t>
            </w:r>
          </w:p>
        </w:tc>
        <w:tc>
          <w:tcPr>
            <w:tcW w:w="15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5D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树影斑驳</w:t>
            </w:r>
          </w:p>
        </w:tc>
        <w:tc>
          <w:tcPr>
            <w:tcW w:w="16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5E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优雅、深邃</w:t>
            </w:r>
          </w:p>
        </w:tc>
        <w:tc>
          <w:tcPr>
            <w:tcW w:w="29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35F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语义中介（草本+木质）</w:t>
            </w:r>
          </w:p>
        </w:tc>
      </w:tr>
    </w:tbl>
    <w:p w14:paraId="524E7361" w14:textId="77777777" w:rsidR="00660AC6" w:rsidRDefault="00660AC6">
      <w:pPr>
        <w:pStyle w:val="4"/>
        <w:widowControl/>
        <w:shd w:val="clear" w:color="auto" w:fill="FFFFFF"/>
        <w:spacing w:beforeAutospacing="0" w:afterAutospacing="0" w:line="400" w:lineRule="exact"/>
        <w:rPr>
          <w:rFonts w:ascii="楷体" w:eastAsia="楷体" w:hAnsi="楷体" w:cs="楷体"/>
          <w:color w:val="0F1115"/>
          <w:shd w:val="clear" w:color="auto" w:fill="FFFFFF"/>
        </w:rPr>
      </w:pPr>
    </w:p>
    <w:p w14:paraId="524E7362" w14:textId="77777777" w:rsidR="00660AC6" w:rsidRDefault="0023687C">
      <w:pPr>
        <w:pStyle w:val="4"/>
        <w:widowControl/>
        <w:shd w:val="clear" w:color="auto" w:fill="FFFFFF"/>
        <w:spacing w:before="192" w:beforeAutospacing="0" w:after="192" w:afterAutospacing="0"/>
        <w:rPr>
          <w:rFonts w:ascii="楷体" w:eastAsia="楷体" w:hAnsi="楷体" w:cs="楷体"/>
          <w:color w:val="0F1115"/>
          <w:shd w:val="clear" w:color="auto" w:fill="FFFFFF"/>
        </w:rPr>
      </w:pPr>
      <w:r>
        <w:rPr>
          <w:rFonts w:ascii="楷体" w:eastAsia="楷体" w:hAnsi="楷体" w:cs="楷体"/>
          <w:color w:val="0F1115"/>
          <w:shd w:val="clear" w:color="auto" w:fill="FFFFFF"/>
        </w:rPr>
        <w:t>3.2.4 可视化呈现形式</w:t>
      </w:r>
    </w:p>
    <w:p w14:paraId="524E7363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 w:hint="eastAsia"/>
          <w:color w:val="0F1115"/>
          <w:shd w:val="clear" w:color="auto" w:fill="FFFFFF"/>
        </w:rPr>
        <w:t>系统输出“四维可视化”呈现：</w:t>
      </w:r>
    </w:p>
    <w:p w14:paraId="524E7364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 w:hint="eastAsia"/>
          <w:b/>
          <w:bCs/>
          <w:color w:val="0F1115"/>
          <w:shd w:val="clear" w:color="auto" w:fill="FFFFFF"/>
        </w:rPr>
        <w:t>色彩方案：</w:t>
      </w:r>
      <w:r>
        <w:rPr>
          <w:rFonts w:ascii="楷体" w:eastAsia="楷体" w:hAnsi="楷体" w:cs="楷体" w:hint="eastAsia"/>
          <w:color w:val="0F1115"/>
          <w:shd w:val="clear" w:color="auto" w:fill="FFFFFF"/>
        </w:rPr>
        <w:t>主色 + 辅色 + 背景渐变，基于香调金字塔（前调/中调/后调）生成色彩层次</w:t>
      </w:r>
    </w:p>
    <w:p w14:paraId="524E7365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 w:hint="eastAsia"/>
          <w:b/>
          <w:bCs/>
          <w:color w:val="0F1115"/>
          <w:shd w:val="clear" w:color="auto" w:fill="FFFFFF"/>
        </w:rPr>
        <w:t>动态图形：</w:t>
      </w:r>
      <w:r>
        <w:rPr>
          <w:rFonts w:ascii="Times New Roman" w:eastAsia="楷体" w:hAnsi="Times New Roman" w:cs="Times New Roman"/>
          <w:color w:val="0F1115"/>
          <w:shd w:val="clear" w:color="auto" w:fill="FFFFFF"/>
        </w:rPr>
        <w:t>Lottie/Canvas</w:t>
      </w:r>
      <w:r>
        <w:rPr>
          <w:rFonts w:ascii="楷体" w:eastAsia="楷体" w:hAnsi="楷体" w:cs="楷体" w:hint="eastAsia"/>
          <w:color w:val="0F1115"/>
          <w:shd w:val="clear" w:color="auto" w:fill="FFFFFF"/>
        </w:rPr>
        <w:t>粒子动画，对应香调的视觉意象</w:t>
      </w:r>
    </w:p>
    <w:p w14:paraId="524E7366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 w:hint="eastAsia"/>
          <w:b/>
          <w:bCs/>
          <w:color w:val="0F1115"/>
          <w:shd w:val="clear" w:color="auto" w:fill="FFFFFF"/>
        </w:rPr>
        <w:t>雷达图：</w:t>
      </w:r>
      <w:r>
        <w:rPr>
          <w:rFonts w:ascii="Times New Roman" w:eastAsia="楷体" w:hAnsi="Times New Roman" w:cs="Times New Roman" w:hint="eastAsia"/>
          <w:color w:val="0F1115"/>
          <w:shd w:val="clear" w:color="auto" w:fill="FFFFFF"/>
        </w:rPr>
        <w:t>ECharts</w:t>
      </w:r>
      <w:r>
        <w:rPr>
          <w:rFonts w:ascii="楷体" w:eastAsia="楷体" w:hAnsi="楷体" w:cs="楷体" w:hint="eastAsia"/>
          <w:color w:val="0F1115"/>
          <w:shd w:val="clear" w:color="auto" w:fill="FFFFFF"/>
        </w:rPr>
        <w:t>渲染，维度包括“清新度、甜度、浓郁度、温暖度、持久度”</w:t>
      </w:r>
    </w:p>
    <w:p w14:paraId="524E7367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  <w:r>
        <w:rPr>
          <w:rFonts w:ascii="楷体" w:eastAsia="楷体" w:hAnsi="楷体" w:cs="楷体" w:hint="eastAsia"/>
          <w:b/>
          <w:bCs/>
          <w:color w:val="0F1115"/>
          <w:shd w:val="clear" w:color="auto" w:fill="FFFFFF"/>
        </w:rPr>
        <w:t>文字描述：</w:t>
      </w:r>
      <w:r>
        <w:rPr>
          <w:rFonts w:ascii="Times New Roman" w:eastAsia="楷体" w:hAnsi="Times New Roman" w:cs="Times New Roman" w:hint="eastAsia"/>
          <w:color w:val="0F1115"/>
          <w:shd w:val="clear" w:color="auto" w:fill="FFFFFF"/>
        </w:rPr>
        <w:t>LLM</w:t>
      </w:r>
      <w:r>
        <w:rPr>
          <w:rFonts w:ascii="楷体" w:eastAsia="楷体" w:hAnsi="楷体" w:cs="楷体" w:hint="eastAsia"/>
          <w:color w:val="0F1115"/>
          <w:shd w:val="clear" w:color="auto" w:fill="FFFFFF"/>
        </w:rPr>
        <w:t>生成通感化文字描述（如“仿佛走进雨后柑橘园，晨光透过枝叶”），辅助视觉理解</w:t>
      </w:r>
    </w:p>
    <w:p w14:paraId="524E7368" w14:textId="77777777" w:rsidR="00660AC6" w:rsidRDefault="00660AC6">
      <w:pPr>
        <w:pStyle w:val="a3"/>
        <w:widowControl/>
        <w:shd w:val="clear" w:color="auto" w:fill="FFFFFF"/>
        <w:spacing w:line="4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</w:p>
    <w:p w14:paraId="524E7369" w14:textId="77777777" w:rsidR="00660AC6" w:rsidRDefault="0023687C">
      <w:pPr>
        <w:pStyle w:val="4"/>
        <w:widowControl/>
        <w:shd w:val="clear" w:color="auto" w:fill="FFFFFF"/>
        <w:spacing w:before="192" w:beforeAutospacing="0" w:after="192" w:afterAutospacing="0"/>
        <w:rPr>
          <w:rFonts w:ascii="楷体" w:eastAsia="楷体" w:hAnsi="楷体" w:cs="楷体"/>
          <w:color w:val="0F1115"/>
        </w:rPr>
      </w:pPr>
      <w:r>
        <w:rPr>
          <w:rFonts w:ascii="楷体" w:eastAsia="楷体" w:hAnsi="楷体" w:cs="楷体"/>
          <w:color w:val="0F1115"/>
          <w:shd w:val="clear" w:color="auto" w:fill="FFFFFF"/>
        </w:rPr>
        <w:t>3.2.5 无障碍适配</w:t>
      </w:r>
    </w:p>
    <w:tbl>
      <w:tblPr>
        <w:tblW w:w="86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2789"/>
        <w:gridCol w:w="3486"/>
        <w:gridCol w:w="1482"/>
      </w:tblGrid>
      <w:tr w:rsidR="00660AC6" w14:paraId="524E736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36A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4"/>
                <w:lang w:bidi="ar"/>
              </w:rPr>
              <w:t>模式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6B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b/>
                <w:bCs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4"/>
                <w:lang w:bidi="ar"/>
              </w:rPr>
              <w:t>视觉呈现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6C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b/>
                <w:bCs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4"/>
                <w:lang w:bidi="ar"/>
              </w:rPr>
              <w:t>文字呈现</w:t>
            </w:r>
          </w:p>
        </w:tc>
        <w:tc>
          <w:tcPr>
            <w:tcW w:w="148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6D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  <w:b/>
                <w:bCs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4"/>
                <w:lang w:bidi="ar"/>
              </w:rPr>
              <w:t>适用人群</w:t>
            </w:r>
          </w:p>
        </w:tc>
      </w:tr>
      <w:tr w:rsidR="00660AC6" w14:paraId="524E73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36F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4"/>
                <w:lang w:bidi="ar"/>
              </w:rPr>
              <w:t>失嗅模式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70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强化色彩对比+动态图形+雷达图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71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详细通感化描述（“雨后柑橘园晨光”）</w:t>
            </w:r>
          </w:p>
        </w:tc>
        <w:tc>
          <w:tcPr>
            <w:tcW w:w="14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372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嗅觉障碍人群</w:t>
            </w:r>
          </w:p>
        </w:tc>
      </w:tr>
      <w:tr w:rsidR="00660AC6" w14:paraId="524E73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374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4"/>
                <w:lang w:bidi="ar"/>
              </w:rPr>
              <w:t>普通模式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75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视觉辅助+嗅觉引导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76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简要香调说明</w:t>
            </w:r>
          </w:p>
        </w:tc>
        <w:tc>
          <w:tcPr>
            <w:tcW w:w="14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377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健康人群</w:t>
            </w:r>
          </w:p>
        </w:tc>
      </w:tr>
      <w:tr w:rsidR="00660AC6" w14:paraId="524E73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379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4"/>
                <w:lang w:bidi="ar"/>
              </w:rPr>
              <w:t>敏感模式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7A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风险色标（红/黄/绿）突出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7B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侧重风险与成分说明</w:t>
            </w:r>
          </w:p>
        </w:tc>
        <w:tc>
          <w:tcPr>
            <w:tcW w:w="14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37C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敏感肌/孕妇</w:t>
            </w:r>
          </w:p>
        </w:tc>
      </w:tr>
    </w:tbl>
    <w:p w14:paraId="524E737E" w14:textId="77777777" w:rsidR="00660AC6" w:rsidRDefault="00660AC6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</w:p>
    <w:p w14:paraId="524E737F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b/>
          <w:bCs/>
          <w:color w:val="0F1115"/>
          <w:shd w:val="clear" w:color="auto" w:fill="FFFFFF"/>
        </w:rPr>
      </w:pPr>
      <w:r>
        <w:rPr>
          <w:rFonts w:ascii="楷体" w:eastAsia="楷体" w:hAnsi="楷体" w:cs="楷体" w:hint="eastAsia"/>
          <w:b/>
          <w:bCs/>
          <w:color w:val="0F1115"/>
          <w:shd w:val="clear" w:color="auto" w:fill="FFFFFF"/>
        </w:rPr>
        <w:lastRenderedPageBreak/>
        <w:t>模块三：瓶身AI识别与成分解析</w:t>
      </w:r>
    </w:p>
    <w:p w14:paraId="524E7380" w14:textId="77777777" w:rsidR="00660AC6" w:rsidRDefault="0023687C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b/>
          <w:bCs/>
          <w:color w:val="0F1115"/>
          <w:shd w:val="clear" w:color="auto" w:fill="FFFFFF"/>
        </w:rPr>
      </w:pPr>
      <w:r>
        <w:rPr>
          <w:rFonts w:ascii="楷体" w:eastAsia="楷体" w:hAnsi="楷体" w:cs="楷体" w:hint="eastAsia"/>
          <w:b/>
          <w:bCs/>
          <w:color w:val="0F1115"/>
          <w:shd w:val="clear" w:color="auto" w:fill="FFFFFF"/>
        </w:rPr>
        <w:t>3.3.1 多模态识别技术路线</w:t>
      </w:r>
    </w:p>
    <w:p w14:paraId="524E7381" w14:textId="77777777" w:rsidR="00660AC6" w:rsidRDefault="0023687C">
      <w:pPr>
        <w:pStyle w:val="a3"/>
        <w:widowControl/>
        <w:shd w:val="clear" w:color="auto" w:fill="FFFFFF"/>
        <w:spacing w:before="192" w:after="192"/>
        <w:rPr>
          <w:rFonts w:ascii="楷体" w:eastAsia="楷体" w:hAnsi="楷体" w:cs="楷体" w:hint="eastAsia"/>
          <w:color w:val="0F1115"/>
        </w:rPr>
      </w:pPr>
      <w:r>
        <w:rPr>
          <w:rFonts w:ascii="楷体" w:eastAsia="楷体" w:hAnsi="楷体" w:cs="楷体" w:hint="eastAsia"/>
          <w:color w:val="0F1115"/>
          <w:shd w:val="clear" w:color="auto" w:fill="FFFFFF"/>
        </w:rPr>
        <w:t>采用“</w:t>
      </w:r>
      <w:r>
        <w:rPr>
          <w:rFonts w:ascii="楷体" w:eastAsia="楷体" w:hAnsi="楷体" w:cs="楷体" w:hint="eastAsia"/>
          <w:b/>
          <w:bCs/>
          <w:color w:val="0F1115"/>
          <w:shd w:val="clear" w:color="auto" w:fill="FFFFFF"/>
        </w:rPr>
        <w:t>双通道</w:t>
      </w:r>
      <w:r>
        <w:rPr>
          <w:rFonts w:ascii="楷体" w:eastAsia="楷体" w:hAnsi="楷体" w:cs="楷体" w:hint="eastAsia"/>
          <w:color w:val="0F1115"/>
          <w:shd w:val="clear" w:color="auto" w:fill="FFFFFF"/>
        </w:rPr>
        <w:t>”识别策略以提高准确率与覆盖面：</w:t>
      </w:r>
    </w:p>
    <w:tbl>
      <w:tblPr>
        <w:tblW w:w="88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2200"/>
        <w:gridCol w:w="2921"/>
        <w:gridCol w:w="2130"/>
      </w:tblGrid>
      <w:tr w:rsidR="00660AC6" w14:paraId="524E7386" w14:textId="77777777"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382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4"/>
                <w:lang w:bidi="ar"/>
              </w:rPr>
              <w:t>通道</w:t>
            </w:r>
          </w:p>
        </w:tc>
        <w:tc>
          <w:tcPr>
            <w:tcW w:w="22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83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4"/>
                <w:lang w:bidi="ar"/>
              </w:rPr>
              <w:t>输入</w:t>
            </w:r>
          </w:p>
        </w:tc>
        <w:tc>
          <w:tcPr>
            <w:tcW w:w="292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84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4"/>
                <w:lang w:bidi="ar"/>
              </w:rPr>
              <w:t>技术方案</w:t>
            </w:r>
          </w:p>
        </w:tc>
        <w:tc>
          <w:tcPr>
            <w:tcW w:w="213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85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4"/>
                <w:lang w:bidi="ar"/>
              </w:rPr>
              <w:t>输出</w:t>
            </w:r>
          </w:p>
        </w:tc>
      </w:tr>
      <w:tr w:rsidR="00660AC6" w14:paraId="524E73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387" w14:textId="77777777" w:rsidR="00660AC6" w:rsidRDefault="0023687C">
            <w:pPr>
              <w:widowControl/>
              <w:ind w:leftChars="114" w:left="239"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通道A：瓶身拍照</w:t>
            </w:r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88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香水瓶身图像</w:t>
            </w:r>
          </w:p>
        </w:tc>
        <w:tc>
          <w:tcPr>
            <w:tcW w:w="29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89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多模态大模型（通义千问</w:t>
            </w:r>
            <w:r>
              <w:rPr>
                <w:rFonts w:ascii="Times New Roman" w:eastAsia="楷体" w:hAnsi="Times New Roman" w:cs="Times New Roman"/>
                <w:kern w:val="0"/>
                <w:sz w:val="24"/>
                <w:lang w:bidi="ar"/>
              </w:rPr>
              <w:t>VL/GPT-4o</w:t>
            </w: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）→ 香水</w:t>
            </w:r>
            <w:r>
              <w:rPr>
                <w:rFonts w:ascii="Times New Roman" w:eastAsia="楷体" w:hAnsi="Times New Roman" w:cs="Times New Roman"/>
                <w:kern w:val="0"/>
                <w:sz w:val="24"/>
                <w:lang w:bidi="ar"/>
              </w:rPr>
              <w:t>ID</w:t>
            </w:r>
          </w:p>
        </w:tc>
        <w:tc>
          <w:tcPr>
            <w:tcW w:w="21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38A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品牌+品名 → 数据库精确匹配</w:t>
            </w:r>
          </w:p>
        </w:tc>
      </w:tr>
      <w:tr w:rsidR="00660AC6" w14:paraId="524E73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38C" w14:textId="77777777" w:rsidR="00660AC6" w:rsidRDefault="0023687C">
            <w:pPr>
              <w:widowControl/>
              <w:ind w:leftChars="114" w:left="239"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通道B：条形码扫码</w:t>
            </w:r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8D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Times New Roman" w:eastAsia="楷体" w:hAnsi="Times New Roman" w:cs="Times New Roman"/>
                <w:kern w:val="0"/>
                <w:sz w:val="24"/>
                <w:lang w:bidi="ar"/>
              </w:rPr>
              <w:t>GTIN/EAN</w:t>
            </w:r>
          </w:p>
        </w:tc>
        <w:tc>
          <w:tcPr>
            <w:tcW w:w="29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8E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条码识别API → 香水</w:t>
            </w:r>
            <w:r>
              <w:rPr>
                <w:rFonts w:ascii="Times New Roman" w:eastAsia="楷体" w:hAnsi="Times New Roman" w:cs="Times New Roman" w:hint="eastAsia"/>
                <w:kern w:val="0"/>
                <w:sz w:val="24"/>
                <w:lang w:bidi="ar"/>
              </w:rPr>
              <w:t>ID</w:t>
            </w:r>
          </w:p>
        </w:tc>
        <w:tc>
          <w:tcPr>
            <w:tcW w:w="21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38F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精确匹配检索</w:t>
            </w:r>
          </w:p>
        </w:tc>
      </w:tr>
      <w:tr w:rsidR="00660AC6" w14:paraId="524E73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391" w14:textId="77777777" w:rsidR="00660AC6" w:rsidRDefault="0023687C">
            <w:pPr>
              <w:widowControl/>
              <w:ind w:leftChars="114" w:left="239"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通道C：文字输入</w:t>
            </w:r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92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品名模糊搜索</w:t>
            </w:r>
          </w:p>
        </w:tc>
        <w:tc>
          <w:tcPr>
            <w:tcW w:w="29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93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</w:rPr>
            </w:pPr>
            <w:r>
              <w:rPr>
                <w:rFonts w:ascii="Times New Roman" w:eastAsia="楷体" w:hAnsi="Times New Roman" w:cs="Times New Roman"/>
                <w:kern w:val="0"/>
                <w:sz w:val="24"/>
                <w:lang w:bidi="ar"/>
              </w:rPr>
              <w:t>Elasticsearch</w:t>
            </w:r>
          </w:p>
        </w:tc>
        <w:tc>
          <w:tcPr>
            <w:tcW w:w="21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394" w14:textId="77777777" w:rsidR="00660AC6" w:rsidRDefault="0023687C">
            <w:pPr>
              <w:widowControl/>
              <w:jc w:val="center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候选列表</w:t>
            </w:r>
          </w:p>
        </w:tc>
      </w:tr>
      <w:tr w:rsidR="00660AC6" w14:paraId="524E73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E7396" w14:textId="77777777" w:rsidR="00660AC6" w:rsidRDefault="0023687C">
            <w:pPr>
              <w:widowControl/>
              <w:ind w:leftChars="114" w:left="239"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4"/>
                <w:lang w:bidi="ar"/>
              </w:rPr>
              <w:t>补充通道</w:t>
            </w: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：拍成分表</w:t>
            </w:r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97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成分列表图像</w:t>
            </w:r>
          </w:p>
        </w:tc>
        <w:tc>
          <w:tcPr>
            <w:tcW w:w="29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E7398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Times New Roman" w:eastAsia="楷体" w:hAnsi="Times New Roman" w:cs="Times New Roman"/>
                <w:kern w:val="0"/>
                <w:sz w:val="24"/>
                <w:lang w:bidi="ar"/>
              </w:rPr>
              <w:t>PaddleOCR</w:t>
            </w: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/云</w:t>
            </w:r>
            <w:r>
              <w:rPr>
                <w:rFonts w:ascii="Times New Roman" w:eastAsia="楷体" w:hAnsi="Times New Roman" w:cs="Times New Roman"/>
                <w:kern w:val="0"/>
                <w:sz w:val="24"/>
                <w:lang w:bidi="ar"/>
              </w:rPr>
              <w:t xml:space="preserve">OCR API </w:t>
            </w: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→ 成分文本</w:t>
            </w:r>
          </w:p>
        </w:tc>
        <w:tc>
          <w:tcPr>
            <w:tcW w:w="21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E7399" w14:textId="77777777" w:rsidR="00660AC6" w:rsidRDefault="0023687C">
            <w:pPr>
              <w:widowControl/>
              <w:jc w:val="left"/>
              <w:rPr>
                <w:rFonts w:ascii="楷体" w:eastAsia="楷体" w:hAnsi="楷体" w:cs="楷体" w:hint="eastAsia"/>
              </w:rPr>
            </w:pPr>
            <w:r>
              <w:rPr>
                <w:rFonts w:ascii="楷体" w:eastAsia="楷体" w:hAnsi="楷体" w:cs="楷体" w:hint="eastAsia"/>
                <w:kern w:val="0"/>
                <w:sz w:val="24"/>
                <w:lang w:bidi="ar"/>
              </w:rPr>
              <w:t>成分文本提取</w:t>
            </w:r>
          </w:p>
        </w:tc>
      </w:tr>
    </w:tbl>
    <w:p w14:paraId="524E739B" w14:textId="77777777" w:rsidR="00660AC6" w:rsidRDefault="00660AC6">
      <w:pPr>
        <w:pStyle w:val="a3"/>
        <w:widowControl/>
        <w:shd w:val="clear" w:color="auto" w:fill="FFFFFF"/>
        <w:spacing w:line="500" w:lineRule="exact"/>
        <w:rPr>
          <w:rFonts w:ascii="楷体" w:eastAsia="楷体" w:hAnsi="楷体" w:cs="楷体" w:hint="eastAsia"/>
          <w:color w:val="0F1115"/>
          <w:shd w:val="clear" w:color="auto" w:fill="FFFFFF"/>
        </w:rPr>
      </w:pPr>
    </w:p>
    <w:p w14:paraId="524E739C" w14:textId="77777777" w:rsidR="00660AC6" w:rsidRDefault="00660AC6">
      <w:pPr>
        <w:spacing w:line="500" w:lineRule="exact"/>
        <w:rPr>
          <w:rFonts w:ascii="楷体" w:eastAsia="楷体" w:hAnsi="楷体" w:cs="楷体" w:hint="eastAsia"/>
          <w:color w:val="0F1115"/>
          <w:sz w:val="24"/>
          <w:shd w:val="clear" w:color="auto" w:fill="FFFFFF"/>
        </w:rPr>
      </w:pPr>
    </w:p>
    <w:sectPr w:rsidR="00660A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var(--dsw-font-markdown-table)">
    <w:altName w:val="Calibri"/>
    <w:charset w:val="00"/>
    <w:family w:val="auto"/>
    <w:pitch w:val="default"/>
  </w:font>
  <w:font w:name="var(--dsw-font-markdown-table-h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68035"/>
    <w:multiLevelType w:val="singleLevel"/>
    <w:tmpl w:val="1F06803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6A17A8ED"/>
    <w:multiLevelType w:val="singleLevel"/>
    <w:tmpl w:val="6A17A8ED"/>
    <w:lvl w:ilvl="0">
      <w:start w:val="3"/>
      <w:numFmt w:val="decimal"/>
      <w:suff w:val="nothing"/>
      <w:lvlText w:val="（%1）"/>
      <w:lvlJc w:val="left"/>
    </w:lvl>
  </w:abstractNum>
  <w:num w:numId="1" w16cid:durableId="314997907">
    <w:abstractNumId w:val="0"/>
  </w:num>
  <w:num w:numId="2" w16cid:durableId="459610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37B1008"/>
    <w:rsid w:val="0023687C"/>
    <w:rsid w:val="003356DA"/>
    <w:rsid w:val="00495EAA"/>
    <w:rsid w:val="00660AC6"/>
    <w:rsid w:val="009C1025"/>
    <w:rsid w:val="00CB47A1"/>
    <w:rsid w:val="00E23082"/>
    <w:rsid w:val="00E30716"/>
    <w:rsid w:val="437B1008"/>
    <w:rsid w:val="55155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4E7093"/>
  <w15:docId w15:val="{BB92EDAF-096E-4281-AAE9-F01EB60BF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4582</Words>
  <Characters>5820</Characters>
  <Application>Microsoft Office Word</Application>
  <DocSecurity>0</DocSecurity>
  <Lines>582</Lines>
  <Paragraphs>693</Paragraphs>
  <ScaleCrop>false</ScaleCrop>
  <Company/>
  <LinksUpToDate>false</LinksUpToDate>
  <CharactersWithSpaces>9709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</dc:creator>
  <cp:lastModifiedBy>雨豪 瞿</cp:lastModifiedBy>
  <cp:revision>5</cp:revision>
  <dcterms:created xsi:type="dcterms:W3CDTF">2026-09-18T02:56:00Z</dcterms:created>
  <dcterms:modified xsi:type="dcterms:W3CDTF">2026-09-18T02:59:00Z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6C0AFBAB69AF4FD495CC6BEAA623898A_13</vt:lpwstr>
  </property>
  <property fmtid="{D5CDD505-2E9C-101B-9397-08002B2CF9AE}" pid="4" name="KSOTemplateDocerSaveRecord">
    <vt:lpwstr>eyJoZGlkIjoiM2ZlMmEwNThmN2E1ZTQzMDY5NmYyMzU0NTZhYWE2NGMiLCJ1c2VySWQiOiI0MjkzOTE3MDIifQ==</vt:lpwstr>
  </property>
</Properties>
</file>