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pBdr>
          <w:bottom w:val="single" w:color="79C600" w:sz="6"/>
        </w:pBdr>
        <w:spacing w:after="200"/>
        <w:jc w:val="center"/>
      </w:pPr>
      <w:r>
        <w:rPr>
          <w:rFonts w:ascii="Arial" w:cs="Arial" w:eastAsia="Arial" w:hAnsi="Arial"/>
          <w:b/>
          <w:bCs/>
          <w:color w:val="001647"/>
          <w:sz w:val="72"/>
          <w:szCs w:val="72"/>
        </w:rPr>
        <w:t xml:space="preserve">DevOps AI</w:t>
      </w:r>
    </w:p>
    <w:p>
      <w:pPr>
        <w:spacing w:after="100"/>
        <w:jc w:val="center"/>
      </w:pPr>
      <w:r>
        <w:rPr>
          <w:rFonts w:ascii="Arial" w:cs="Arial" w:eastAsia="Arial" w:hAnsi="Arial"/>
          <w:b/>
          <w:bCs/>
          <w:color w:val="001647"/>
          <w:sz w:val="36"/>
          <w:szCs w:val="36"/>
        </w:rPr>
        <w:t xml:space="preserve">Canonical Journey &amp; Workflow Taxonomy Specification</w:t>
      </w:r>
    </w:p>
    <w:p>
      <w:pPr>
        <w:spacing w:after="300"/>
        <w:jc w:val="center"/>
      </w:pPr>
      <w:r>
        <w:rPr>
          <w:rFonts w:ascii="Arial" w:cs="Arial" w:eastAsia="Arial" w:hAnsi="Arial"/>
          <w:i/>
          <w:iCs/>
          <w:color w:val="444444"/>
          <w:sz w:val="26"/>
          <w:szCs w:val="26"/>
        </w:rPr>
        <w:t xml:space="preserve">Strict Taxonomy, Canonicalized Definitions &amp; Integration Architecture</w:t>
      </w:r>
    </w:p>
    <w:p>
      <w:pPr>
        <w:pBdr>
          <w:bottom w:val="single" w:color="79C600" w:sz="3"/>
        </w:pBdr>
        <w:spacing w:after="120"/>
      </w:pPr>
    </w:p>
    <w:p>
      <w:pPr>
        <w:spacing w:before="600"/>
        <w:jc w:val="center"/>
      </w:pPr>
      <w:r>
        <w:rPr>
          <w:rFonts w:ascii="Arial" w:cs="Arial" w:eastAsia="Arial" w:hAnsi="Arial"/>
          <w:b/>
          <w:bCs/>
          <w:color w:val="001647"/>
          <w:sz w:val="28"/>
          <w:szCs w:val="28"/>
        </w:rPr>
        <w:t xml:space="preserve">Version 1.0</w:t>
      </w:r>
    </w:p>
    <w:p>
      <w:pPr>
        <w:spacing w:after="100"/>
        <w:jc w:val="center"/>
      </w:pPr>
      <w:r>
        <w:rPr>
          <w:rFonts w:ascii="Arial" w:cs="Arial" w:eastAsia="Arial" w:hAnsi="Arial"/>
          <w:color w:val="444444"/>
          <w:sz w:val="24"/>
          <w:szCs w:val="24"/>
        </w:rPr>
        <w:t xml:space="preserve">March 16, 2026</w:t>
      </w:r>
    </w:p>
    <w:p>
      <w:pPr>
        <w:spacing w:after="100"/>
        <w:jc w:val="center"/>
      </w:pPr>
      <w:r>
        <w:rPr>
          <w:rFonts w:ascii="Arial" w:cs="Arial" w:eastAsia="Arial" w:hAnsi="Arial"/>
          <w:color w:val="444444"/>
          <w:sz w:val="24"/>
          <w:szCs w:val="24"/>
        </w:rPr>
        <w:t xml:space="preserve">Prepared by: RainTech</w:t>
      </w:r>
    </w:p>
    <w:p>
      <w:pPr>
        <w:spacing w:after="100"/>
        <w:jc w:val="center"/>
      </w:pPr>
      <w:r>
        <w:rPr>
          <w:rFonts w:ascii="Arial" w:cs="Arial" w:eastAsia="Arial" w:hAnsi="Arial"/>
          <w:i/>
          <w:iCs/>
          <w:color w:val="888888"/>
          <w:sz w:val="22"/>
          <w:szCs w:val="22"/>
        </w:rPr>
        <w:t xml:space="preserve">Classification: 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01647"/>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rPr>
          <w:rFonts w:ascii="Arial" w:cs="Arial" w:eastAsia="Arial" w:hAnsi="Arial"/>
          <w:b/>
          <w:bCs/>
          <w:color w:val="001647"/>
          <w:sz w:val="36"/>
          <w:szCs w:val="36"/>
        </w:rPr>
        <w:t xml:space="preserve">1. Executive Summary</w:t>
      </w:r>
    </w:p>
    <w:p>
      <w:pPr>
        <w:pBdr>
          <w:bottom w:val="single" w:color="79C600" w:sz="3"/>
        </w:pBdr>
        <w:spacing w:after="120"/>
      </w:pPr>
    </w:p>
    <w:p>
      <w:pPr>
        <w:spacing w:after="120"/>
      </w:pPr>
      <w:r>
        <w:rPr>
          <w:rFonts w:ascii="Arial" w:cs="Arial" w:eastAsia="Arial" w:hAnsi="Arial"/>
          <w:sz w:val="24"/>
          <w:szCs w:val="24"/>
        </w:rPr>
        <w:t xml:space="preserve">This document establishes a strict, canonicalized taxonomy for all customer journeys and operational workflows within the DevOps AI platform. It is designed as an authoritative specification that tightly integrates with the existing 12-zone architecture documented in the Unified Workflow Taxonomy (compiled March 10, 2026).</w:t>
      </w:r>
    </w:p>
    <w:p>
      <w:pPr>
        <w:spacing w:after="120"/>
      </w:pPr>
      <w:r>
        <w:rPr>
          <w:rFonts w:ascii="Arial" w:cs="Arial" w:eastAsia="Arial" w:hAnsi="Arial"/>
          <w:sz w:val="24"/>
          <w:szCs w:val="24"/>
        </w:rPr>
        <w:t xml:space="preserve">The taxonomy serves five strategic purposes:</w:t>
      </w:r>
    </w:p>
    <w:p>
      <w:pPr>
        <w:pStyle w:val="ListParagraph"/>
        <w:numPr>
          <w:ilvl w:val="0"/>
          <w:numId w:val="2"/>
        </w:numPr>
        <w:spacing w:after="60"/>
      </w:pPr>
      <w:r>
        <w:rPr>
          <w:rFonts w:ascii="Arial" w:cs="Arial" w:eastAsia="Arial" w:hAnsi="Arial"/>
          <w:sz w:val="24"/>
          <w:szCs w:val="24"/>
        </w:rPr>
        <w:t xml:space="preserve">Define canonical identifiers, schemas, and lifecycle rules for every journey and workflow entity in the platform, ensuring machine-readable consistency and eliminating ambiguity.</w:t>
      </w:r>
    </w:p>
    <w:p>
      <w:pPr>
        <w:pStyle w:val="ListParagraph"/>
        <w:numPr>
          <w:ilvl w:val="0"/>
          <w:numId w:val="2"/>
        </w:numPr>
        <w:spacing w:after="60"/>
      </w:pPr>
      <w:r>
        <w:rPr>
          <w:rFonts w:ascii="Arial" w:cs="Arial" w:eastAsia="Arial" w:hAnsi="Arial"/>
          <w:sz w:val="24"/>
          <w:szCs w:val="24"/>
        </w:rPr>
        <w:t xml:space="preserve">Map all journeys and workflows as first-class taxonomy entities alongside zones, process areas, and roles — enabling programmatic cross-referencing, dependency tracking, and impact analysis.</w:t>
      </w:r>
    </w:p>
    <w:p>
      <w:pPr>
        <w:pStyle w:val="ListParagraph"/>
        <w:numPr>
          <w:ilvl w:val="0"/>
          <w:numId w:val="2"/>
        </w:numPr>
        <w:spacing w:after="60"/>
      </w:pPr>
      <w:r>
        <w:rPr>
          <w:rFonts w:ascii="Arial" w:cs="Arial" w:eastAsia="Arial" w:hAnsi="Arial"/>
          <w:sz w:val="24"/>
          <w:szCs w:val="24"/>
        </w:rPr>
        <w:t xml:space="preserve">Establish a composable workflow architecture based on Canonical Workflow Building Blocks (CWBBs), aligned with BPMN 2.0 modeling constructs, enabling reuse across migration, management, and offboarding scenarios.</w:t>
      </w:r>
    </w:p>
    <w:p>
      <w:pPr>
        <w:pStyle w:val="ListParagraph"/>
        <w:numPr>
          <w:ilvl w:val="0"/>
          <w:numId w:val="2"/>
        </w:numPr>
        <w:spacing w:after="60"/>
      </w:pPr>
      <w:r>
        <w:rPr>
          <w:rFonts w:ascii="Arial" w:cs="Arial" w:eastAsia="Arial" w:hAnsi="Arial"/>
          <w:sz w:val="24"/>
          <w:szCs w:val="24"/>
        </w:rPr>
        <w:t xml:space="preserve">Enable one-click journey and workflow activation from the Business Development zone's new Journey &amp; Workflow Orchestrator sub-entry point, providing MSP operators with immediate value from a curated starter library.</w:t>
      </w:r>
    </w:p>
    <w:p>
      <w:pPr>
        <w:pStyle w:val="ListParagraph"/>
        <w:numPr>
          <w:ilvl w:val="0"/>
          <w:numId w:val="2"/>
        </w:numPr>
        <w:spacing w:after="60"/>
      </w:pPr>
      <w:r>
        <w:rPr>
          <w:rFonts w:ascii="Arial" w:cs="Arial" w:eastAsia="Arial" w:hAnsi="Arial"/>
          <w:sz w:val="24"/>
          <w:szCs w:val="24"/>
        </w:rPr>
        <w:t xml:space="preserve">Ensure compliance-by-design with EU Data Act data portability requirements, ITIL 4 Service Value System alignment, and NIST CSF 2.0 mapping across all lifecycle phases.</w:t>
      </w:r>
    </w:p>
    <w:p>
      <w:pPr>
        <w:spacing w:after="120"/>
      </w:pPr>
      <w:r>
        <w:rPr>
          <w:rFonts w:ascii="Arial" w:cs="Arial" w:eastAsia="Arial" w:hAnsi="Arial"/>
          <w:sz w:val="24"/>
          <w:szCs w:val="24"/>
        </w:rPr>
        <w:t xml:space="preserve">The document defines three journey types (Website, In-App, and Lifecycle), a canonical starter workflow library spanning four phases (Preparation, Migration, Management, and Offboarding), and a detailed integration architecture connecting the Journey &amp; Workflow Orchestrator to all 12 platform zones.</w:t>
      </w:r>
    </w:p>
    <w:p>
      <w:pPr>
        <w:spacing w:after="120"/>
      </w:pPr>
      <w:r>
        <w:rPr>
          <w:rFonts w:ascii="Arial" w:cs="Arial" w:eastAsia="Arial" w:hAnsi="Arial"/>
          <w:sz w:val="24"/>
          <w:szCs w:val="24"/>
        </w:rPr>
        <w:t xml:space="preserve">All workflow definitions follow an automation-first philosophy: every step carries an AI automation classification (Autonomous, AI-Assisted, or Human-Required), consistent with the platform's four-layer AI model established in the Unified Taxonomy.</w:t>
      </w:r>
    </w:p>
    <w:p>
      <w:r>
        <w:br w:type="page"/>
      </w:r>
    </w:p>
    <w:p>
      <w:pPr>
        <w:pStyle w:val="Heading1"/>
      </w:pPr>
      <w:r>
        <w:rPr>
          <w:rFonts w:ascii="Arial" w:cs="Arial" w:eastAsia="Arial" w:hAnsi="Arial"/>
          <w:b/>
          <w:bCs/>
          <w:color w:val="001647"/>
          <w:sz w:val="36"/>
          <w:szCs w:val="36"/>
        </w:rPr>
        <w:t xml:space="preserve">2. Taxonomy Architecture</w:t>
      </w:r>
    </w:p>
    <w:p>
      <w:pPr>
        <w:pBdr>
          <w:bottom w:val="single" w:color="79C600" w:sz="3"/>
        </w:pBdr>
        <w:spacing w:after="120"/>
      </w:pPr>
    </w:p>
    <w:p>
      <w:pPr>
        <w:pStyle w:val="Heading2"/>
      </w:pPr>
      <w:r>
        <w:rPr>
          <w:rFonts w:ascii="Arial" w:cs="Arial" w:eastAsia="Arial" w:hAnsi="Arial"/>
          <w:b/>
          <w:bCs/>
          <w:color w:val="001647"/>
          <w:sz w:val="30"/>
          <w:szCs w:val="30"/>
        </w:rPr>
        <w:t xml:space="preserve">2.1 Design Principles</w:t>
      </w:r>
    </w:p>
    <w:p>
      <w:pPr>
        <w:spacing w:after="120"/>
      </w:pPr>
      <w:r>
        <w:rPr>
          <w:rFonts w:ascii="Arial" w:cs="Arial" w:eastAsia="Arial" w:hAnsi="Arial"/>
          <w:sz w:val="24"/>
          <w:szCs w:val="24"/>
        </w:rPr>
        <w:t xml:space="preserve">The Journey &amp; Workflow Taxonomy is governed by seven foundational design principles that ensure consistency, interoperability, and long-term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Principle</w:t>
            </w:r>
          </w:p>
        </w:tc>
        <w:tc>
          <w:tcPr>
            <w:tcW w:type="dxa" w:w="67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Description</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Strict Canonicalization</w:t>
            </w:r>
          </w:p>
        </w:tc>
        <w:tc>
          <w:tcPr>
            <w:tcW w:type="dxa" w:w="6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Every journey and workflow has exactly one canonical ID, name, description, zone assignment, and schema. No aliases, no duplicates. The canonical ID is the immutable system-of-record identifier used across all APIs, databases, and UI references.</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 Integration</w:t>
            </w:r>
          </w:p>
        </w:tc>
        <w:tc>
          <w:tcPr>
            <w:tcW w:type="dxa" w:w="6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Journeys and workflows are first-class taxonomy entities alongside zones, process areas, and roles. They inherit the zone hierarchy and participate in the cross-zone link matrix. A workflow's primary zone determines its default role visibility; cross-zone IDs extend visibility as needed.</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BPMN 2.0 Alignment</w:t>
            </w:r>
          </w:p>
        </w:tc>
        <w:tc>
          <w:tcPr>
            <w:tcW w:type="dxa" w:w="6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Workflow definitions use BPMN-compatible constructs: start/end events, user tasks, service tasks, exclusive/parallel/inclusive gateways, swimlanes, and message flows. This enables export to any BPMN-compliant workflow engine and ensures interoperability with enterprise BPM platforms.</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Composability via CWBBs</w:t>
            </w:r>
          </w:p>
        </w:tc>
        <w:tc>
          <w:tcPr>
            <w:tcW w:type="dxa" w:w="6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Workflows are assembled from Canonical Workflow Building Blocks (CWBBs) — reusable, versionable, independently testable units of work. CWBBs follow the MIT Press methodology for wrapping computational tools with metadata, identifiers, and operations, ensuring FAIR (Findable, Accessible, Interoperable, Reusable) compliance.</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Automation-First Classification</w:t>
            </w:r>
          </w:p>
        </w:tc>
        <w:tc>
          <w:tcPr>
            <w:tcW w:type="dxa" w:w="6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Every workflow step carries an AI automation classification: AI_AUTONOMOUS (no human involvement), AI_ASSISTED (AI performs work, human approves), or HUMAN_REQUIRED (human performs work, AI provides context). This classification drives the platform's human-in-the-loop (HITL) decision framework.</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EU Data Act Compliance</w:t>
            </w:r>
          </w:p>
        </w:tc>
        <w:tc>
          <w:tcPr>
            <w:tcW w:type="dxa" w:w="6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journeys include data portability and interoperability by design. Export workflows produce data in open, machine-readable formats (CSV, JSON, XML). Switching assistance is built into offboarding workflows. No vendor lock-in fees or proprietary data formats.</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ITIL 4 SVS Alignment</w:t>
            </w:r>
          </w:p>
        </w:tc>
        <w:tc>
          <w:tcPr>
            <w:tcW w:type="dxa" w:w="6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Journeys map to ITIL 4 Service Value Chain activities (Plan, Improve, Engage, Design &amp; Transition, Obtain/Build, Deliver &amp; Support). This alignment ensures that every workflow contributes to a recognized service management value stream.</w:t>
            </w:r>
          </w:p>
        </w:tc>
      </w:tr>
    </w:tbl>
    <w:p>
      <w:pPr>
        <w:spacing w:after="80"/>
      </w:pPr>
    </w:p>
    <w:p>
      <w:pPr>
        <w:pStyle w:val="Heading2"/>
      </w:pPr>
      <w:r>
        <w:rPr>
          <w:rFonts w:ascii="Arial" w:cs="Arial" w:eastAsia="Arial" w:hAnsi="Arial"/>
          <w:b/>
          <w:bCs/>
          <w:color w:val="001647"/>
          <w:sz w:val="30"/>
          <w:szCs w:val="30"/>
        </w:rPr>
        <w:t xml:space="preserve">2.2 Taxonomy Hierarchy</w:t>
      </w:r>
    </w:p>
    <w:p>
      <w:pPr>
        <w:spacing w:after="120"/>
      </w:pPr>
      <w:r>
        <w:rPr>
          <w:rFonts w:ascii="Arial" w:cs="Arial" w:eastAsia="Arial" w:hAnsi="Arial"/>
          <w:sz w:val="24"/>
          <w:szCs w:val="24"/>
        </w:rPr>
        <w:t xml:space="preserve">The canonical taxonomy hierarchy defines the containment and reference relationships between all entity types in the platform:</w:t>
      </w:r>
    </w:p>
    <w:p>
      <w:pPr>
        <w:spacing w:after="20"/>
        <w:ind w:left="400"/>
      </w:pPr>
      <w:r>
        <w:rPr>
          <w:rFonts w:ascii="Courier New" w:cs="Courier New" w:eastAsia="Courier New" w:hAnsi="Courier New"/>
          <w:color w:val="001647"/>
          <w:sz w:val="20"/>
          <w:szCs w:val="20"/>
        </w:rPr>
        <w:t xml:space="preserve">Platform</w:t>
      </w:r>
    </w:p>
    <w:p>
      <w:pPr>
        <w:spacing w:after="20"/>
        <w:ind w:left="400"/>
      </w:pPr>
      <w:r>
        <w:rPr>
          <w:rFonts w:ascii="Courier New" w:cs="Courier New" w:eastAsia="Courier New" w:hAnsi="Courier New"/>
          <w:color w:val="001647"/>
          <w:sz w:val="20"/>
          <w:szCs w:val="20"/>
        </w:rPr>
        <w:t xml:space="preserve">  ├── Zones (12)</w:t>
      </w:r>
    </w:p>
    <w:p>
      <w:pPr>
        <w:spacing w:after="20"/>
        <w:ind w:left="400"/>
      </w:pPr>
      <w:r>
        <w:rPr>
          <w:rFonts w:ascii="Courier New" w:cs="Courier New" w:eastAsia="Courier New" w:hAnsi="Courier New"/>
          <w:color w:val="001647"/>
          <w:sz w:val="20"/>
          <w:szCs w:val="20"/>
        </w:rPr>
        <w:t xml:space="preserve">  │   ├── Process Areas (~60)</w:t>
      </w:r>
    </w:p>
    <w:p>
      <w:pPr>
        <w:spacing w:after="20"/>
        <w:ind w:left="400"/>
      </w:pPr>
      <w:r>
        <w:rPr>
          <w:rFonts w:ascii="Courier New" w:cs="Courier New" w:eastAsia="Courier New" w:hAnsi="Courier New"/>
          <w:color w:val="001647"/>
          <w:sz w:val="20"/>
          <w:szCs w:val="20"/>
        </w:rPr>
        <w:t xml:space="preserve">  │   │   ├── Workflows (~200+)</w:t>
      </w:r>
    </w:p>
    <w:p>
      <w:pPr>
        <w:spacing w:after="20"/>
        <w:ind w:left="400"/>
      </w:pPr>
      <w:r>
        <w:rPr>
          <w:rFonts w:ascii="Courier New" w:cs="Courier New" w:eastAsia="Courier New" w:hAnsi="Courier New"/>
          <w:color w:val="001647"/>
          <w:sz w:val="20"/>
          <w:szCs w:val="20"/>
        </w:rPr>
        <w:t xml:space="preserve">  │   │   │   ├── Steps (N per workflow)</w:t>
      </w:r>
    </w:p>
    <w:p>
      <w:pPr>
        <w:spacing w:after="20"/>
        <w:ind w:left="400"/>
      </w:pPr>
      <w:r>
        <w:rPr>
          <w:rFonts w:ascii="Courier New" w:cs="Courier New" w:eastAsia="Courier New" w:hAnsi="Courier New"/>
          <w:color w:val="001647"/>
          <w:sz w:val="20"/>
          <w:szCs w:val="20"/>
        </w:rPr>
        <w:t xml:space="preserve">  │   │   │   │   ├── Actions (atomic units)</w:t>
      </w:r>
    </w:p>
    <w:p>
      <w:pPr>
        <w:spacing w:after="20"/>
        <w:ind w:left="400"/>
      </w:pPr>
      <w:r>
        <w:rPr>
          <w:rFonts w:ascii="Courier New" w:cs="Courier New" w:eastAsia="Courier New" w:hAnsi="Courier New"/>
          <w:color w:val="001647"/>
          <w:sz w:val="20"/>
          <w:szCs w:val="20"/>
        </w:rPr>
        <w:t xml:space="preserve">  │   │   │   │   └── Decision Gates</w:t>
      </w:r>
    </w:p>
    <w:p>
      <w:pPr>
        <w:spacing w:after="20"/>
        <w:ind w:left="400"/>
      </w:pPr>
      <w:r>
        <w:rPr>
          <w:rFonts w:ascii="Courier New" w:cs="Courier New" w:eastAsia="Courier New" w:hAnsi="Courier New"/>
          <w:color w:val="001647"/>
          <w:sz w:val="20"/>
          <w:szCs w:val="20"/>
        </w:rPr>
        <w:t xml:space="preserve">  │   │   │   └── Canonical Workflow Building Blocks (CWBBs)</w:t>
      </w:r>
    </w:p>
    <w:p>
      <w:pPr>
        <w:spacing w:after="20"/>
        <w:ind w:left="400"/>
      </w:pPr>
      <w:r>
        <w:rPr>
          <w:rFonts w:ascii="Courier New" w:cs="Courier New" w:eastAsia="Courier New" w:hAnsi="Courier New"/>
          <w:color w:val="001647"/>
          <w:sz w:val="20"/>
          <w:szCs w:val="20"/>
        </w:rPr>
        <w:t xml:space="preserve">  │   ├── Cross-Zone Links (35 documented)</w:t>
      </w:r>
    </w:p>
    <w:p>
      <w:pPr>
        <w:spacing w:after="20"/>
        <w:ind w:left="400"/>
      </w:pPr>
      <w:r>
        <w:rPr>
          <w:rFonts w:ascii="Courier New" w:cs="Courier New" w:eastAsia="Courier New" w:hAnsi="Courier New"/>
          <w:color w:val="001647"/>
          <w:sz w:val="20"/>
          <w:szCs w:val="20"/>
        </w:rPr>
        <w:t xml:space="preserve">  │   └── Role Visibility Rules</w:t>
      </w:r>
    </w:p>
    <w:p>
      <w:pPr>
        <w:spacing w:after="20"/>
        <w:ind w:left="400"/>
      </w:pPr>
      <w:r>
        <w:rPr>
          <w:rFonts w:ascii="Courier New" w:cs="Courier New" w:eastAsia="Courier New" w:hAnsi="Courier New"/>
          <w:color w:val="001647"/>
          <w:sz w:val="20"/>
          <w:szCs w:val="20"/>
        </w:rPr>
        <w:t xml:space="preserve">  ├── Journeys (3 types)</w:t>
      </w:r>
    </w:p>
    <w:p>
      <w:pPr>
        <w:spacing w:after="20"/>
        <w:ind w:left="400"/>
      </w:pPr>
      <w:r>
        <w:rPr>
          <w:rFonts w:ascii="Courier New" w:cs="Courier New" w:eastAsia="Courier New" w:hAnsi="Courier New"/>
          <w:color w:val="001647"/>
          <w:sz w:val="20"/>
          <w:szCs w:val="20"/>
        </w:rPr>
        <w:t xml:space="preserve">  │   ├── Website Journeys (10 role-specific)</w:t>
      </w:r>
    </w:p>
    <w:p>
      <w:pPr>
        <w:spacing w:after="20"/>
        <w:ind w:left="400"/>
      </w:pPr>
      <w:r>
        <w:rPr>
          <w:rFonts w:ascii="Courier New" w:cs="Courier New" w:eastAsia="Courier New" w:hAnsi="Courier New"/>
          <w:color w:val="001647"/>
          <w:sz w:val="20"/>
          <w:szCs w:val="20"/>
        </w:rPr>
        <w:t xml:space="preserve">  │   ├── In-App Journeys (welcome, walkthrough, activation, discovery)</w:t>
      </w:r>
    </w:p>
    <w:p>
      <w:pPr>
        <w:spacing w:after="20"/>
        <w:ind w:left="400"/>
      </w:pPr>
      <w:r>
        <w:rPr>
          <w:rFonts w:ascii="Courier New" w:cs="Courier New" w:eastAsia="Courier New" w:hAnsi="Courier New"/>
          <w:color w:val="001647"/>
          <w:sz w:val="20"/>
          <w:szCs w:val="20"/>
        </w:rPr>
        <w:t xml:space="preserve">  │   └── Lifecycle Journeys (4 phases)</w:t>
      </w:r>
    </w:p>
    <w:p>
      <w:pPr>
        <w:spacing w:after="20"/>
        <w:ind w:left="400"/>
      </w:pPr>
      <w:r>
        <w:rPr>
          <w:rFonts w:ascii="Courier New" w:cs="Courier New" w:eastAsia="Courier New" w:hAnsi="Courier New"/>
          <w:color w:val="001647"/>
          <w:sz w:val="20"/>
          <w:szCs w:val="20"/>
        </w:rPr>
        <w:t xml:space="preserve">  └── Roles (10+)</w:t>
      </w:r>
    </w:p>
    <w:p>
      <w:pPr>
        <w:spacing w:after="20"/>
        <w:ind w:left="400"/>
      </w:pPr>
      <w:r>
        <w:rPr>
          <w:rFonts w:ascii="Courier New" w:cs="Courier New" w:eastAsia="Courier New" w:hAnsi="Courier New"/>
          <w:color w:val="001647"/>
          <w:sz w:val="20"/>
          <w:szCs w:val="20"/>
        </w:rPr>
        <w:t xml:space="preserve">      └── Role-Journey Mappings</w:t>
      </w:r>
    </w:p>
    <w:p>
      <w:pPr>
        <w:spacing w:after="80"/>
      </w:pPr>
    </w:p>
    <w:p>
      <w:pPr>
        <w:spacing w:after="120"/>
      </w:pPr>
      <w:r>
        <w:rPr>
          <w:rFonts w:ascii="Arial" w:cs="Arial" w:eastAsia="Arial" w:hAnsi="Arial"/>
          <w:sz w:val="24"/>
          <w:szCs w:val="24"/>
        </w:rPr>
        <w:t xml:space="preserve">Each entity type has a canonical schema that defines its required and optional fields. The hierarchy supports both containment (a workflow belongs to a zone) and reference (a workflow references CWBBs from other workflows) relationships.</w:t>
      </w:r>
    </w:p>
    <w:p>
      <w:pPr>
        <w:pStyle w:val="Heading2"/>
      </w:pPr>
      <w:r>
        <w:rPr>
          <w:rFonts w:ascii="Arial" w:cs="Arial" w:eastAsia="Arial" w:hAnsi="Arial"/>
          <w:b/>
          <w:bCs/>
          <w:color w:val="001647"/>
          <w:sz w:val="30"/>
          <w:szCs w:val="30"/>
        </w:rPr>
        <w:t xml:space="preserve">2.3 Canonical Entity Schemas</w:t>
      </w:r>
    </w:p>
    <w:p>
      <w:pPr>
        <w:spacing w:after="120"/>
      </w:pPr>
      <w:r>
        <w:rPr>
          <w:rFonts w:ascii="Arial" w:cs="Arial" w:eastAsia="Arial" w:hAnsi="Arial"/>
          <w:sz w:val="24"/>
          <w:szCs w:val="24"/>
        </w:rPr>
        <w:t xml:space="preserve">The following schemas define the structure of each entity type in the taxonomy. All fields are mandatory unless marked as optional.</w:t>
      </w:r>
    </w:p>
    <w:p>
      <w:pPr>
        <w:pStyle w:val="Heading3"/>
      </w:pPr>
      <w:r>
        <w:rPr>
          <w:rFonts w:ascii="Arial" w:cs="Arial" w:eastAsia="Arial" w:hAnsi="Arial"/>
          <w:b/>
          <w:bCs/>
          <w:color w:val="001647"/>
          <w:sz w:val="26"/>
          <w:szCs w:val="26"/>
        </w:rPr>
        <w:t xml:space="preserve">2.3.1 Journey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Field</w:t>
            </w:r>
          </w:p>
        </w:tc>
        <w:tc>
          <w:tcPr>
            <w:tcW w:type="dxa" w:w="1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Type</w:t>
            </w:r>
          </w:p>
        </w:tc>
        <w:tc>
          <w:tcPr>
            <w:tcW w:type="dxa" w:w="57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Description</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journey_id</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string</w:t>
            </w:r>
          </w:p>
        </w:tc>
        <w:tc>
          <w:tcPr>
            <w:tcW w:type="dxa" w:w="5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Canonical ID (e.g., JRN-WEB-MSP-OWNER-001)</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journey_type</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enum</w:t>
            </w:r>
          </w:p>
        </w:tc>
        <w:tc>
          <w:tcPr>
            <w:tcW w:type="dxa" w:w="5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 | IN_APP | LIFECYCLE</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name</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string</w:t>
            </w:r>
          </w:p>
        </w:tc>
        <w:tc>
          <w:tcPr>
            <w:tcW w:type="dxa" w:w="5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Human-readable name</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description</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text</w:t>
            </w:r>
          </w:p>
        </w:tc>
        <w:tc>
          <w:tcPr>
            <w:tcW w:type="dxa" w:w="5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Purpose and expected outcome</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target_roles</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array[role_id]</w:t>
            </w:r>
          </w:p>
        </w:tc>
        <w:tc>
          <w:tcPr>
            <w:tcW w:type="dxa" w:w="5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Which roles this journey serves</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entry_zone</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zone_id</w:t>
            </w:r>
          </w:p>
        </w:tc>
        <w:tc>
          <w:tcPr>
            <w:tcW w:type="dxa" w:w="5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Primary zone entry point</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touchpoints</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array[touchpoint]</w:t>
            </w:r>
          </w:p>
        </w:tc>
        <w:tc>
          <w:tcPr>
            <w:tcW w:type="dxa" w:w="5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Ordered sequence of interactions</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success_criteria</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array[metric]</w:t>
            </w:r>
          </w:p>
        </w:tc>
        <w:tc>
          <w:tcPr>
            <w:tcW w:type="dxa" w:w="5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Measurable outcomes (KPIs, conversion rates)</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activation_method</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enum</w:t>
            </w:r>
          </w:p>
        </w:tc>
        <w:tc>
          <w:tcPr>
            <w:tcW w:type="dxa" w:w="5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ONE_CLICK | SCHEDULED | EVENT_TRIGGERED</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status</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enum</w:t>
            </w:r>
          </w:p>
        </w:tc>
        <w:tc>
          <w:tcPr>
            <w:tcW w:type="dxa" w:w="5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DRAFT | ACTIVE | DEPRECATED</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version</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semver</w:t>
            </w:r>
          </w:p>
        </w:tc>
        <w:tc>
          <w:tcPr>
            <w:tcW w:type="dxa" w:w="5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Semantic version number (e.g., 1.0.0)</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created_at</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timestamp</w:t>
            </w:r>
          </w:p>
        </w:tc>
        <w:tc>
          <w:tcPr>
            <w:tcW w:type="dxa" w:w="5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Creation timestamp (ISO 8601)</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updated_at</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timestamp</w:t>
            </w:r>
          </w:p>
        </w:tc>
        <w:tc>
          <w:tcPr>
            <w:tcW w:type="dxa" w:w="5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Last modification timestamp</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owner</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role_id</w:t>
            </w:r>
          </w:p>
        </w:tc>
        <w:tc>
          <w:tcPr>
            <w:tcW w:type="dxa" w:w="5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Responsible role for journey maintenance</w:t>
            </w:r>
          </w:p>
        </w:tc>
      </w:tr>
    </w:tbl>
    <w:p>
      <w:pPr>
        <w:spacing w:after="80"/>
      </w:pPr>
    </w:p>
    <w:p>
      <w:pPr>
        <w:pStyle w:val="Heading3"/>
      </w:pPr>
      <w:r>
        <w:rPr>
          <w:rFonts w:ascii="Arial" w:cs="Arial" w:eastAsia="Arial" w:hAnsi="Arial"/>
          <w:b/>
          <w:bCs/>
          <w:color w:val="001647"/>
          <w:sz w:val="26"/>
          <w:szCs w:val="26"/>
        </w:rPr>
        <w:t xml:space="preserve">2.3.2 Workflow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Field</w:t>
            </w:r>
          </w:p>
        </w:tc>
        <w:tc>
          <w:tcPr>
            <w:tcW w:type="dxa" w:w="16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Type</w:t>
            </w:r>
          </w:p>
        </w:tc>
        <w:tc>
          <w:tcPr>
            <w:tcW w:type="dxa" w:w="55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Description</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workflow_id</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string</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Canonical ID (e.g., WF-PREP-001)</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name</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string</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Human-readable name</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description</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text</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Purpose and expected outcome</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category</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enum</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PREPARATION | MIGRATION | MANAGEMENT | OFFBOARDING</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zone_id</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zone_id</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Primary zone this belongs to</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cross_zone_ids</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array[zone_id]</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Additional zones involved</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steps</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array[step]</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Ordered workflow steps</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cwbb_refs</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array[cwbb_id]</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Referenced Canonical Workflow Building Blocks</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ai_auto_pct</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integer</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Estimated AI automation percentage (0–100)</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standards_refs</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array[string]</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Applicable standards (ITIL 4, BPMN 2.0, etc.)</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estimated_duration</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duration</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Typical completion time (ISO 8601 duration)</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prerequisites</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array[workflow_id]</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Workflows that must complete first</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triggers</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array[event]</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Events that initiate this workflow</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status</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enum</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DRAFT | ACTIVE | DEPRECATED</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version</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semver</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Semantic version number</w:t>
            </w:r>
          </w:p>
        </w:tc>
      </w:tr>
    </w:tbl>
    <w:p>
      <w:pPr>
        <w:spacing w:after="80"/>
      </w:pPr>
    </w:p>
    <w:p>
      <w:pPr>
        <w:pStyle w:val="Heading3"/>
      </w:pPr>
      <w:r>
        <w:rPr>
          <w:rFonts w:ascii="Arial" w:cs="Arial" w:eastAsia="Arial" w:hAnsi="Arial"/>
          <w:b/>
          <w:bCs/>
          <w:color w:val="001647"/>
          <w:sz w:val="26"/>
          <w:szCs w:val="26"/>
        </w:rPr>
        <w:t xml:space="preserve">2.3.3 Step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Field</w:t>
            </w:r>
          </w:p>
        </w:tc>
        <w:tc>
          <w:tcPr>
            <w:tcW w:type="dxa" w:w="18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Type</w:t>
            </w:r>
          </w:p>
        </w:tc>
        <w:tc>
          <w:tcPr>
            <w:tcW w:type="dxa" w:w="53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Description</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step_id</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string</w:t>
            </w:r>
          </w:p>
        </w:tc>
        <w:tc>
          <w:tcPr>
            <w:tcW w:type="dxa" w:w="53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Canonical step ID (e.g., WF-PREP-001-S01)</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name</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string</w:t>
            </w:r>
          </w:p>
        </w:tc>
        <w:tc>
          <w:tcPr>
            <w:tcW w:type="dxa" w:w="53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Step name</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description</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text</w:t>
            </w:r>
          </w:p>
        </w:tc>
        <w:tc>
          <w:tcPr>
            <w:tcW w:type="dxa" w:w="53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What happens in this step</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actor</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enum</w:t>
            </w:r>
          </w:p>
        </w:tc>
        <w:tc>
          <w:tcPr>
            <w:tcW w:type="dxa" w:w="53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AI_AUTONOMOUS | AI_ASSISTED | HUMAN_REQUIRED</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zone_id</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zone_id</w:t>
            </w:r>
          </w:p>
        </w:tc>
        <w:tc>
          <w:tcPr>
            <w:tcW w:type="dxa" w:w="53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Zone where this step executes</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inputs</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array[data_object]</w:t>
            </w:r>
          </w:p>
        </w:tc>
        <w:tc>
          <w:tcPr>
            <w:tcW w:type="dxa" w:w="53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Required inputs (data, configs, approvals)</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outputs</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array[data_object]</w:t>
            </w:r>
          </w:p>
        </w:tc>
        <w:tc>
          <w:tcPr>
            <w:tcW w:type="dxa" w:w="53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Produced outputs (reports, records, artifacts)</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gateway_type</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enum</w:t>
            </w:r>
          </w:p>
        </w:tc>
        <w:tc>
          <w:tcPr>
            <w:tcW w:type="dxa" w:w="53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NONE | EXCLUSIVE | PARALLEL | INCLUSIVE</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timeout</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duration</w:t>
            </w:r>
          </w:p>
        </w:tc>
        <w:tc>
          <w:tcPr>
            <w:tcW w:type="dxa" w:w="53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Maximum allowed time before escalation</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escalation</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escalation_rule</w:t>
            </w:r>
          </w:p>
        </w:tc>
        <w:tc>
          <w:tcPr>
            <w:tcW w:type="dxa" w:w="53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What happens on timeout/failure</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retry_policy</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object</w:t>
            </w:r>
          </w:p>
        </w:tc>
        <w:tc>
          <w:tcPr>
            <w:tcW w:type="dxa" w:w="53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Retry count, backoff strategy, max attempts</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sla_target</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duration</w:t>
            </w:r>
          </w:p>
        </w:tc>
        <w:tc>
          <w:tcPr>
            <w:tcW w:type="dxa" w:w="53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Target completion time for SLA tracking</w:t>
            </w:r>
          </w:p>
        </w:tc>
      </w:tr>
    </w:tbl>
    <w:p>
      <w:pPr>
        <w:spacing w:after="80"/>
      </w:pPr>
    </w:p>
    <w:p>
      <w:pPr>
        <w:pStyle w:val="Heading3"/>
      </w:pPr>
      <w:r>
        <w:rPr>
          <w:rFonts w:ascii="Arial" w:cs="Arial" w:eastAsia="Arial" w:hAnsi="Arial"/>
          <w:b/>
          <w:bCs/>
          <w:color w:val="001647"/>
          <w:sz w:val="26"/>
          <w:szCs w:val="26"/>
        </w:rPr>
        <w:t xml:space="preserve">2.3.4 Canonical Workflow Building Block (CWBB)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Field</w:t>
            </w:r>
          </w:p>
        </w:tc>
        <w:tc>
          <w:tcPr>
            <w:tcW w:type="dxa" w:w="16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Type</w:t>
            </w:r>
          </w:p>
        </w:tc>
        <w:tc>
          <w:tcPr>
            <w:tcW w:type="dxa" w:w="55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Description</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cwbb_id</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string</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Canonical ID (e.g., CWBB-DATA-EXPORT-001)</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name</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string</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Human-readable name</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description</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text</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Reusable capability this block provides</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category</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enum</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DATA_TRANSFER | VALIDATION | NOTIFICATION | APPROVAL | INTEGRATION | REPORTING</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inputs</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array[data_object]</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Required inputs</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outputs</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array[data_object]</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Produced outputs</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ai_classification</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enum</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AI_AUTONOMOUS | AI_ASSISTED | HUMAN_REQUIRED</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version</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semver</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Block version</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dependencies</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array[cwbb_id]</w:t>
            </w:r>
          </w:p>
        </w:tc>
        <w:tc>
          <w:tcPr>
            <w:tcW w:type="dxa" w:w="5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Other CWBBs this block depends on</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test_coverage</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float</w:t>
            </w:r>
          </w:p>
        </w:tc>
        <w:tc>
          <w:tcPr>
            <w:tcW w:type="dxa" w:w="5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Unit test coverage percentage</w:t>
            </w:r>
          </w:p>
        </w:tc>
      </w:tr>
    </w:tbl>
    <w:p>
      <w:pPr>
        <w:spacing w:after="80"/>
      </w:pPr>
    </w:p>
    <w:p>
      <w:r>
        <w:br w:type="page"/>
      </w:r>
    </w:p>
    <w:p>
      <w:pPr>
        <w:pStyle w:val="Heading1"/>
      </w:pPr>
      <w:r>
        <w:rPr>
          <w:rFonts w:ascii="Arial" w:cs="Arial" w:eastAsia="Arial" w:hAnsi="Arial"/>
          <w:b/>
          <w:bCs/>
          <w:color w:val="001647"/>
          <w:sz w:val="36"/>
          <w:szCs w:val="36"/>
        </w:rPr>
        <w:t xml:space="preserve">3. Journey Types</w:t>
      </w:r>
    </w:p>
    <w:p>
      <w:pPr>
        <w:pBdr>
          <w:bottom w:val="single" w:color="79C600" w:sz="3"/>
        </w:pBdr>
        <w:spacing w:after="120"/>
      </w:pPr>
    </w:p>
    <w:p>
      <w:pPr>
        <w:spacing w:after="120"/>
      </w:pPr>
      <w:r>
        <w:rPr>
          <w:rFonts w:ascii="Arial" w:cs="Arial" w:eastAsia="Arial" w:hAnsi="Arial"/>
          <w:sz w:val="24"/>
          <w:szCs w:val="24"/>
        </w:rPr>
        <w:t xml:space="preserve">The taxonomy defines three distinct journey types, each serving a different audience and operating on a different timescale. Website Journeys span minutes (marketing conversion), In-App Journeys span hours to days (product adoption), and Lifecycle Journeys span weeks to months (platform relationship).</w:t>
      </w:r>
    </w:p>
    <w:p>
      <w:pPr>
        <w:pStyle w:val="Heading2"/>
      </w:pPr>
      <w:r>
        <w:rPr>
          <w:rFonts w:ascii="Arial" w:cs="Arial" w:eastAsia="Arial" w:hAnsi="Arial"/>
          <w:b/>
          <w:bCs/>
          <w:color w:val="001647"/>
          <w:sz w:val="30"/>
          <w:szCs w:val="30"/>
        </w:rPr>
        <w:t xml:space="preserve">3.1 Website Journeys</w:t>
      </w:r>
    </w:p>
    <w:p>
      <w:pPr>
        <w:spacing w:after="120"/>
      </w:pPr>
      <w:r>
        <w:rPr>
          <w:rFonts w:ascii="Arial" w:cs="Arial" w:eastAsia="Arial" w:hAnsi="Arial"/>
          <w:sz w:val="24"/>
          <w:szCs w:val="24"/>
        </w:rPr>
        <w:t xml:space="preserve">Website Journeys are the marketing and conversion journeys experienced on the DevOps AI public website. Each of the 10 defined platform roles has a personalized website journey, optimized for that role's pain points, use cases, and decision criteria.</w:t>
      </w:r>
    </w:p>
    <w:p>
      <w:pPr>
        <w:spacing w:after="120"/>
      </w:pPr>
      <w:r>
        <w:rPr>
          <w:rFonts w:ascii="Arial" w:cs="Arial" w:eastAsia="Arial" w:hAnsi="Arial"/>
          <w:sz w:val="24"/>
          <w:szCs w:val="24"/>
        </w:rPr>
        <w:t xml:space="preserve">All Website Journeys follow a common touchpoint sequence pattern, personalized per role:</w:t>
      </w:r>
    </w:p>
    <w:p>
      <w:pPr>
        <w:pStyle w:val="ListParagraph"/>
        <w:numPr>
          <w:ilvl w:val="0"/>
          <w:numId w:val="2"/>
        </w:numPr>
        <w:spacing w:after="60"/>
      </w:pPr>
      <w:r>
        <w:rPr>
          <w:rFonts w:ascii="Arial" w:cs="Arial" w:eastAsia="Arial" w:hAnsi="Arial"/>
          <w:sz w:val="24"/>
          <w:szCs w:val="24"/>
        </w:rPr>
        <w:t xml:space="preserve">Entry Point: Role-specific landing page (SEO/SEM/referral targeting)</w:t>
      </w:r>
    </w:p>
    <w:p>
      <w:pPr>
        <w:pStyle w:val="ListParagraph"/>
        <w:numPr>
          <w:ilvl w:val="0"/>
          <w:numId w:val="2"/>
        </w:numPr>
        <w:spacing w:after="60"/>
      </w:pPr>
      <w:r>
        <w:rPr>
          <w:rFonts w:ascii="Arial" w:cs="Arial" w:eastAsia="Arial" w:hAnsi="Arial"/>
          <w:sz w:val="24"/>
          <w:szCs w:val="24"/>
        </w:rPr>
        <w:t xml:space="preserve">Zone Exploration: Guided tour of the 2–3 zones most relevant to the role</w:t>
      </w:r>
    </w:p>
    <w:p>
      <w:pPr>
        <w:pStyle w:val="ListParagraph"/>
        <w:numPr>
          <w:ilvl w:val="0"/>
          <w:numId w:val="2"/>
        </w:numPr>
        <w:spacing w:after="60"/>
      </w:pPr>
      <w:r>
        <w:rPr>
          <w:rFonts w:ascii="Arial" w:cs="Arial" w:eastAsia="Arial" w:hAnsi="Arial"/>
          <w:sz w:val="24"/>
          <w:szCs w:val="24"/>
        </w:rPr>
        <w:t xml:space="preserve">Value Demonstration: ROI calculator pre-populated with role-specific benchmarks</w:t>
      </w:r>
    </w:p>
    <w:p>
      <w:pPr>
        <w:pStyle w:val="ListParagraph"/>
        <w:numPr>
          <w:ilvl w:val="0"/>
          <w:numId w:val="2"/>
        </w:numPr>
        <w:spacing w:after="60"/>
      </w:pPr>
      <w:r>
        <w:rPr>
          <w:rFonts w:ascii="Arial" w:cs="Arial" w:eastAsia="Arial" w:hAnsi="Arial"/>
          <w:sz w:val="24"/>
          <w:szCs w:val="24"/>
        </w:rPr>
        <w:t xml:space="preserve">Social Proof: Case studies and testimonials filtered by role/industry</w:t>
      </w:r>
    </w:p>
    <w:p>
      <w:pPr>
        <w:pStyle w:val="ListParagraph"/>
        <w:numPr>
          <w:ilvl w:val="0"/>
          <w:numId w:val="2"/>
        </w:numPr>
        <w:spacing w:after="60"/>
      </w:pPr>
      <w:r>
        <w:rPr>
          <w:rFonts w:ascii="Arial" w:cs="Arial" w:eastAsia="Arial" w:hAnsi="Arial"/>
          <w:sz w:val="24"/>
          <w:szCs w:val="24"/>
        </w:rPr>
        <w:t xml:space="preserve">Conversion: Azure Marketplace CTA with role-specific messaging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1800"/>
        <w:gridCol w:w="1560"/>
      </w:tblGrid>
      <w:tr>
        <w:trPr>
          <w:tblHeader/>
        </w:trPr>
        <w:tc>
          <w:tcPr>
            <w:tcW w:type="dxa" w:w="20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Journey ID</w:t>
            </w:r>
          </w:p>
        </w:tc>
        <w:tc>
          <w:tcPr>
            <w:tcW w:type="dxa" w:w="1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Role</w:t>
            </w:r>
          </w:p>
        </w:tc>
        <w:tc>
          <w:tcPr>
            <w:tcW w:type="dxa" w:w="28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Touchpoint Sequence</w:t>
            </w:r>
          </w:p>
        </w:tc>
        <w:tc>
          <w:tcPr>
            <w:tcW w:type="dxa" w:w="18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Key Value Props</w:t>
            </w:r>
          </w:p>
        </w:tc>
        <w:tc>
          <w:tcPr>
            <w:tcW w:type="dxa" w:w="15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Conversion CTA</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JRN-WEB-MSP-OWNER-001</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MSP Owner/CEO</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Homepage → Platform Overview → Analytics Zone → ROI Calculator → Pricing → Azure Marketplace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ROI, competitive consolidation, EBITDA impact</w:t>
            </w:r>
          </w:p>
        </w:tc>
        <w:tc>
          <w:tcPr>
            <w:tcW w:type="dxa" w:w="1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Demo request or Azure Marketplace click</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JRN-WEB-VCIO-001</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vCIO/vCISO</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vCIO Role Page → vC-Suite Zone → QBR Demo → Security Posture → Case Study → Contact</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QBR time savings, client retention, strategic advisory capability</w:t>
            </w:r>
          </w:p>
        </w:tc>
        <w:tc>
          <w:tcPr>
            <w:tcW w:type="dxa" w:w="1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Guided demo booking</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JRN-WEB-SEC-ANALYST-001</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Analyst</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Role Page → Security Zone → SOC Command Demo → MITRE Coverage → Case Study → Trial</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Alert triage efficiency, MTTR reduction, SOAR capabilities</w:t>
            </w:r>
          </w:p>
        </w:tc>
        <w:tc>
          <w:tcPr>
            <w:tcW w:type="dxa" w:w="1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Free trial activation</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JRN-WEB-SDM-001</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Service Desk Manager</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SDM Role Page → Service Desk Zone → SLA Monitor Demo → AI Triage Demo → Pricing → Trial</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SLA compliance improvement, ticket resolution speed, dispatcher efficiency</w:t>
            </w:r>
          </w:p>
        </w:tc>
        <w:tc>
          <w:tcPr>
            <w:tcW w:type="dxa" w:w="1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Free trial activation</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JRN-WEB-GRC-001</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Compliance Officer</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GRC Role Page → GRC Zone → Framework Demo → CMMC Walkthrough → Case Study → Contact</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Multi-framework efficiency, evidence collection automation, audit readiness</w:t>
            </w:r>
          </w:p>
        </w:tc>
        <w:tc>
          <w:tcPr>
            <w:tcW w:type="dxa" w:w="1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Compliance assessment booking</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JRN-WEB-PM-001</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 Manager</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PM Role Page → Projects Zone → Migration Demo → Change Mgmt → Resource Planning → Trial</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 delivery velocity, migration success rate, resource utilization</w:t>
            </w:r>
          </w:p>
        </w:tc>
        <w:tc>
          <w:tcPr>
            <w:tcW w:type="dxa" w:w="1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Free trial activation</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JRN-WEB-NETENG-001</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Engineer</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Role Page → Network Ops Zone → Topology Demo → Performance Monitoring → Trial</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visibility, anomaly detection speed, capacity forecasting</w:t>
            </w:r>
          </w:p>
        </w:tc>
        <w:tc>
          <w:tcPr>
            <w:tcW w:type="dxa" w:w="1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Free trial activation</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JRN-WEB-AM-001</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 Manager</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AM Role Page → Business Dev Zone → Pipeline Demo → Client Health → CPQ Demo → Contact</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Pipeline velocity, client retention, quoting efficiency</w:t>
            </w:r>
          </w:p>
        </w:tc>
        <w:tc>
          <w:tcPr>
            <w:tcW w:type="dxa" w:w="1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Demo request</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JRN-WEB-FIN-001</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Finance Coordinator</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Finance Role Page → Accounting Zone → Reconciliation Demo → Billing Demo → ROI Calc → Trial</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Billing accuracy, reconciliation time savings, revenue leakage recovery</w:t>
            </w:r>
          </w:p>
        </w:tc>
        <w:tc>
          <w:tcPr>
            <w:tcW w:type="dxa" w:w="1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Free trial activation</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JRN-WEB-ITD-001</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 Director</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 Director Page → Analytics Zone → Executive Dashboard → License Intelligence → Pricing → Contact</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Operational visibility, license optimization savings, vendor consolidation</w:t>
            </w:r>
          </w:p>
        </w:tc>
        <w:tc>
          <w:tcPr>
            <w:tcW w:type="dxa" w:w="1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Executive briefing booking</w:t>
            </w:r>
          </w:p>
        </w:tc>
      </w:tr>
    </w:tbl>
    <w:p>
      <w:pPr>
        <w:spacing w:after="80"/>
      </w:pPr>
    </w:p>
    <w:p>
      <w:pPr>
        <w:pStyle w:val="Heading3"/>
      </w:pPr>
      <w:r>
        <w:rPr>
          <w:rFonts w:ascii="Arial" w:cs="Arial" w:eastAsia="Arial" w:hAnsi="Arial"/>
          <w:b/>
          <w:bCs/>
          <w:color w:val="001647"/>
          <w:sz w:val="26"/>
          <w:szCs w:val="26"/>
        </w:rPr>
        <w:t xml:space="preserve">3.1.1 Personalization Logic</w:t>
      </w:r>
    </w:p>
    <w:p>
      <w:pPr>
        <w:spacing w:after="120"/>
      </w:pPr>
      <w:r>
        <w:rPr>
          <w:rFonts w:ascii="Arial" w:cs="Arial" w:eastAsia="Arial" w:hAnsi="Arial"/>
          <w:sz w:val="24"/>
          <w:szCs w:val="24"/>
        </w:rPr>
        <w:t xml:space="preserve">Each Website Journey implements the following personalization mechanisms:</w:t>
      </w:r>
    </w:p>
    <w:p>
      <w:pPr>
        <w:pStyle w:val="ListParagraph"/>
        <w:numPr>
          <w:ilvl w:val="0"/>
          <w:numId w:val="2"/>
        </w:numPr>
        <w:spacing w:after="60"/>
      </w:pPr>
      <w:r>
        <w:rPr>
          <w:rFonts w:ascii="Arial" w:cs="Arial" w:eastAsia="Arial" w:hAnsi="Arial"/>
          <w:sz w:val="24"/>
          <w:szCs w:val="24"/>
        </w:rPr>
        <w:t xml:space="preserve">Role Detection: UTM parameters, referral source, and behavioral signals (pages visited, time-on-zone-pages) determine role classification.</w:t>
      </w:r>
    </w:p>
    <w:p>
      <w:pPr>
        <w:pStyle w:val="ListParagraph"/>
        <w:numPr>
          <w:ilvl w:val="0"/>
          <w:numId w:val="2"/>
        </w:numPr>
        <w:spacing w:after="60"/>
      </w:pPr>
      <w:r>
        <w:rPr>
          <w:rFonts w:ascii="Arial" w:cs="Arial" w:eastAsia="Arial" w:hAnsi="Arial"/>
          <w:sz w:val="24"/>
          <w:szCs w:val="24"/>
        </w:rPr>
        <w:t xml:space="preserve">Content Adaptation: Headlines, feature highlights, ROI metrics, and case studies adapt to the detected role within 2 page loads.</w:t>
      </w:r>
    </w:p>
    <w:p>
      <w:pPr>
        <w:pStyle w:val="ListParagraph"/>
        <w:numPr>
          <w:ilvl w:val="0"/>
          <w:numId w:val="2"/>
        </w:numPr>
        <w:spacing w:after="60"/>
      </w:pPr>
      <w:r>
        <w:rPr>
          <w:rFonts w:ascii="Arial" w:cs="Arial" w:eastAsia="Arial" w:hAnsi="Arial"/>
          <w:sz w:val="24"/>
          <w:szCs w:val="24"/>
        </w:rPr>
        <w:t xml:space="preserve">Progressive Disclosure: Zone deep-dive content reveals based on engagement signals (scroll depth, click patterns).</w:t>
      </w:r>
    </w:p>
    <w:p>
      <w:pPr>
        <w:pStyle w:val="ListParagraph"/>
        <w:numPr>
          <w:ilvl w:val="0"/>
          <w:numId w:val="2"/>
        </w:numPr>
        <w:spacing w:after="60"/>
      </w:pPr>
      <w:r>
        <w:rPr>
          <w:rFonts w:ascii="Arial" w:cs="Arial" w:eastAsia="Arial" w:hAnsi="Arial"/>
          <w:sz w:val="24"/>
          <w:szCs w:val="24"/>
        </w:rPr>
        <w:t xml:space="preserve">A/B Testing: Each journey supports multivariate testing of headlines, CTAs, and touchpoint ordering via the DevOps zone's A/B testing infrastructure.</w:t>
      </w:r>
    </w:p>
    <w:p>
      <w:pPr>
        <w:pStyle w:val="Heading3"/>
      </w:pPr>
      <w:r>
        <w:rPr>
          <w:rFonts w:ascii="Arial" w:cs="Arial" w:eastAsia="Arial" w:hAnsi="Arial"/>
          <w:b/>
          <w:bCs/>
          <w:color w:val="001647"/>
          <w:sz w:val="26"/>
          <w:szCs w:val="26"/>
        </w:rPr>
        <w:t xml:space="preserve">3.1.2 Conversion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Metric</w:t>
            </w:r>
          </w:p>
        </w:tc>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Definition</w:t>
            </w:r>
          </w:p>
        </w:tc>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Target</w:t>
            </w:r>
          </w:p>
        </w:tc>
        <w:tc>
          <w:tcPr>
            <w:tcW w:type="dxa" w:w="21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Measurement</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Visitor-to-Lead</w:t>
            </w:r>
          </w:p>
        </w:tc>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 of unique visitors who submit a form</w:t>
            </w:r>
          </w:p>
        </w:tc>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3–5%</w:t>
            </w:r>
          </w:p>
        </w:tc>
        <w:tc>
          <w:tcPr>
            <w:tcW w:type="dxa" w:w="2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Form submission events</w:t>
            </w:r>
          </w:p>
        </w:tc>
      </w:tr>
      <w:tr>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Lead-to-Trial</w:t>
            </w:r>
          </w:p>
        </w:tc>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 of leads who activate a trial</w:t>
            </w:r>
          </w:p>
        </w:tc>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15–25%</w:t>
            </w:r>
          </w:p>
        </w:tc>
        <w:tc>
          <w:tcPr>
            <w:tcW w:type="dxa" w:w="2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Trial provisioning events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Trial-to-Paid</w:t>
            </w:r>
          </w:p>
        </w:tc>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 of trials converting to paid</w:t>
            </w:r>
          </w:p>
        </w:tc>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10–20%</w:t>
            </w:r>
          </w:p>
        </w:tc>
        <w:tc>
          <w:tcPr>
            <w:tcW w:type="dxa" w:w="2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Azure Marketplace transactions</w:t>
            </w:r>
          </w:p>
        </w:tc>
      </w:tr>
      <w:tr>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Time-to-Conversion</w:t>
            </w:r>
          </w:p>
        </w:tc>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Median days from first visit to paid</w:t>
            </w:r>
          </w:p>
        </w:tc>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&lt;30 days</w:t>
            </w:r>
          </w:p>
        </w:tc>
        <w:tc>
          <w:tcPr>
            <w:tcW w:type="dxa" w:w="2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Attribution tracking</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Zone Page Engagement</w:t>
            </w:r>
          </w:p>
        </w:tc>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Avg. time on zone deep-dive pages</w:t>
            </w:r>
          </w:p>
        </w:tc>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&gt;3 minutes</w:t>
            </w:r>
          </w:p>
        </w:tc>
        <w:tc>
          <w:tcPr>
            <w:tcW w:type="dxa" w:w="2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Analytics zone telemetry</w:t>
            </w:r>
          </w:p>
        </w:tc>
      </w:tr>
      <w:tr>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ROI Calculator Usage</w:t>
            </w:r>
          </w:p>
        </w:tc>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 of visitors who complete calculator</w:t>
            </w:r>
          </w:p>
        </w:tc>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&gt;20%</w:t>
            </w:r>
          </w:p>
        </w:tc>
        <w:tc>
          <w:tcPr>
            <w:tcW w:type="dxa" w:w="2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Calculator completion events</w:t>
            </w:r>
          </w:p>
        </w:tc>
      </w:tr>
    </w:tbl>
    <w:p>
      <w:pPr>
        <w:spacing w:after="80"/>
      </w:pPr>
    </w:p>
    <w:p>
      <w:r>
        <w:br w:type="page"/>
      </w:r>
    </w:p>
    <w:p>
      <w:pPr>
        <w:pStyle w:val="Heading2"/>
      </w:pPr>
      <w:r>
        <w:rPr>
          <w:rFonts w:ascii="Arial" w:cs="Arial" w:eastAsia="Arial" w:hAnsi="Arial"/>
          <w:b/>
          <w:bCs/>
          <w:color w:val="001647"/>
          <w:sz w:val="30"/>
          <w:szCs w:val="30"/>
        </w:rPr>
        <w:t xml:space="preserve">3.2 In-App Journeys</w:t>
      </w:r>
    </w:p>
    <w:p>
      <w:pPr>
        <w:spacing w:after="120"/>
      </w:pPr>
      <w:r>
        <w:rPr>
          <w:rFonts w:ascii="Arial" w:cs="Arial" w:eastAsia="Arial" w:hAnsi="Arial"/>
          <w:sz w:val="24"/>
          <w:szCs w:val="24"/>
        </w:rPr>
        <w:t xml:space="preserve">In-App Journeys are the product-led growth (PLG) journeys within the DevOps AI application itself. They guide users from first login to activated status, using progressive disclosure, contextual tooltips, interactive walkthroughs, and embedded checklists.</w:t>
      </w:r>
    </w:p>
    <w:p>
      <w:pPr>
        <w:pStyle w:val="Heading3"/>
      </w:pPr>
      <w:r>
        <w:rPr>
          <w:rFonts w:ascii="Arial" w:cs="Arial" w:eastAsia="Arial" w:hAnsi="Arial"/>
          <w:b/>
          <w:bCs/>
          <w:color w:val="001647"/>
          <w:sz w:val="26"/>
          <w:szCs w:val="26"/>
        </w:rPr>
        <w:t xml:space="preserve">3.2.1 Welcome Journey (JRN-APP-WELCOME-001)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Journey ID</w:t>
            </w:r>
          </w:p>
        </w:tc>
        <w:tc>
          <w:tcPr>
            <w:tcW w:type="dxa" w:w="69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JRN-APP-WELCOME-001</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Trigger</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First login after account provisioning</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Pattern</w:t>
            </w:r>
          </w:p>
        </w:tc>
        <w:tc>
          <w:tcPr>
            <w:tcW w:type="dxa" w:w="69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Progressive disclosure with contextual tooltips</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Duration</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5–10 minutes</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Success Metric</w:t>
            </w:r>
          </w:p>
        </w:tc>
        <w:tc>
          <w:tcPr>
            <w:tcW w:type="dxa" w:w="69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User completes first meaningful action within session</w:t>
            </w:r>
          </w:p>
        </w:tc>
      </w:tr>
    </w:tbl>
    <w:p>
      <w:pPr>
        <w:spacing w:after="80"/>
      </w:pPr>
    </w:p>
    <w:p>
      <w:pPr>
        <w:spacing w:after="120"/>
      </w:pPr>
      <w:r>
        <w:rPr>
          <w:rFonts w:ascii="Arial" w:cs="Arial" w:eastAsia="Arial" w:hAnsi="Arial"/>
          <w:sz w:val="24"/>
          <w:szCs w:val="24"/>
        </w:rPr>
        <w:t xml:space="preserve">Steps:</w:t>
      </w:r>
    </w:p>
    <w:p>
      <w:pPr>
        <w:pStyle w:val="ListParagraph"/>
        <w:numPr>
          <w:ilvl w:val="0"/>
          <w:numId w:val="2"/>
        </w:numPr>
        <w:spacing w:after="60"/>
      </w:pPr>
      <w:r>
        <w:rPr>
          <w:rFonts w:ascii="Arial" w:cs="Arial" w:eastAsia="Arial" w:hAnsi="Arial"/>
          <w:sz w:val="24"/>
          <w:szCs w:val="24"/>
        </w:rPr>
        <w:t xml:space="preserve">Step 1 — Role Selection: User confirms or selects their primary role. The platform uses this to configure dashboard layout, zone ordering, and navigation shortcuts.</w:t>
      </w:r>
    </w:p>
    <w:p>
      <w:pPr>
        <w:pStyle w:val="ListParagraph"/>
        <w:numPr>
          <w:ilvl w:val="0"/>
          <w:numId w:val="2"/>
        </w:numPr>
        <w:spacing w:after="60"/>
      </w:pPr>
      <w:r>
        <w:rPr>
          <w:rFonts w:ascii="Arial" w:cs="Arial" w:eastAsia="Arial" w:hAnsi="Arial"/>
          <w:sz w:val="24"/>
          <w:szCs w:val="24"/>
        </w:rPr>
        <w:t xml:space="preserve">Step 2 — Dashboard Orientation: Interactive overlay highlighting the main dashboard components: zone navigation, notification center, AI assistant, and quick-action bar.</w:t>
      </w:r>
    </w:p>
    <w:p>
      <w:pPr>
        <w:pStyle w:val="ListParagraph"/>
        <w:numPr>
          <w:ilvl w:val="0"/>
          <w:numId w:val="2"/>
        </w:numPr>
        <w:spacing w:after="60"/>
      </w:pPr>
      <w:r>
        <w:rPr>
          <w:rFonts w:ascii="Arial" w:cs="Arial" w:eastAsia="Arial" w:hAnsi="Arial"/>
          <w:sz w:val="24"/>
          <w:szCs w:val="24"/>
        </w:rPr>
        <w:t xml:space="preserve">Step 3 — Key Zone Introduction: Role-personalized tour of the user's primary 2–3 zones (e.g., SDM sees Service Desk → Projects → Analytics).</w:t>
      </w:r>
    </w:p>
    <w:p>
      <w:pPr>
        <w:pStyle w:val="ListParagraph"/>
        <w:numPr>
          <w:ilvl w:val="0"/>
          <w:numId w:val="2"/>
        </w:numPr>
        <w:spacing w:after="60"/>
      </w:pPr>
      <w:r>
        <w:rPr>
          <w:rFonts w:ascii="Arial" w:cs="Arial" w:eastAsia="Arial" w:hAnsi="Arial"/>
          <w:sz w:val="24"/>
          <w:szCs w:val="24"/>
        </w:rPr>
        <w:t xml:space="preserve">Step 4 — First-Action Prompt: Contextual prompt for the single most valuable first action (e.g., SDM: 'View your live ticket queue'; vCIO: 'Start your first QBR preparation').</w:t>
      </w:r>
    </w:p>
    <w:p>
      <w:pPr>
        <w:pStyle w:val="ListParagraph"/>
        <w:numPr>
          <w:ilvl w:val="0"/>
          <w:numId w:val="2"/>
        </w:numPr>
        <w:spacing w:after="60"/>
      </w:pPr>
      <w:r>
        <w:rPr>
          <w:rFonts w:ascii="Arial" w:cs="Arial" w:eastAsia="Arial" w:hAnsi="Arial"/>
          <w:sz w:val="24"/>
          <w:szCs w:val="24"/>
        </w:rPr>
        <w:t xml:space="preserve">Step 5 — Success Celebration: Micro-animation and confirmation when the user completes their first meaningful action, with a prompt to continue to the guided walkthrough.</w:t>
      </w:r>
    </w:p>
    <w:p>
      <w:pPr>
        <w:pStyle w:val="Heading3"/>
      </w:pPr>
      <w:r>
        <w:rPr>
          <w:rFonts w:ascii="Arial" w:cs="Arial" w:eastAsia="Arial" w:hAnsi="Arial"/>
          <w:b/>
          <w:bCs/>
          <w:color w:val="001647"/>
          <w:sz w:val="26"/>
          <w:szCs w:val="26"/>
        </w:rPr>
        <w:t xml:space="preserve">3.2.2 Guided Interactive Walkthrough (JRN-APP-WALKTHROUGH-001)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Journey ID</w:t>
            </w:r>
          </w:p>
        </w:tc>
        <w:tc>
          <w:tcPr>
            <w:tcW w:type="dxa" w:w="69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JRN-APP-WALKTHROUGH-001</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Trigger</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After welcome journey completion OR on-demand from help menu</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Pattern</w:t>
            </w:r>
          </w:p>
        </w:tc>
        <w:tc>
          <w:tcPr>
            <w:tcW w:type="dxa" w:w="69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Interactive product tour with real actions on sandbox/demo data</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Duration</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15–30 minutes per zone tour</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Success Metric</w:t>
            </w:r>
          </w:p>
        </w:tc>
        <w:tc>
          <w:tcPr>
            <w:tcW w:type="dxa" w:w="69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User independently completes a workflow within 24 hours</w:t>
            </w:r>
          </w:p>
        </w:tc>
      </w:tr>
    </w:tbl>
    <w:p>
      <w:pPr>
        <w:spacing w:after="80"/>
      </w:pPr>
    </w:p>
    <w:p>
      <w:pPr>
        <w:spacing w:after="120"/>
      </w:pPr>
      <w:r>
        <w:rPr>
          <w:rFonts w:ascii="Arial" w:cs="Arial" w:eastAsia="Arial" w:hAnsi="Arial"/>
          <w:sz w:val="24"/>
          <w:szCs w:val="24"/>
        </w:rPr>
        <w:t xml:space="preserve">Steps:</w:t>
      </w:r>
    </w:p>
    <w:p>
      <w:pPr>
        <w:pStyle w:val="ListParagraph"/>
        <w:numPr>
          <w:ilvl w:val="0"/>
          <w:numId w:val="2"/>
        </w:numPr>
        <w:spacing w:after="60"/>
      </w:pPr>
      <w:r>
        <w:rPr>
          <w:rFonts w:ascii="Arial" w:cs="Arial" w:eastAsia="Arial" w:hAnsi="Arial"/>
          <w:sz w:val="24"/>
          <w:szCs w:val="24"/>
        </w:rPr>
        <w:t xml:space="preserve">Step 1 — Role-specific guided tour of primary zones with interactive hotspots</w:t>
      </w:r>
    </w:p>
    <w:p>
      <w:pPr>
        <w:pStyle w:val="ListParagraph"/>
        <w:numPr>
          <w:ilvl w:val="0"/>
          <w:numId w:val="2"/>
        </w:numPr>
        <w:spacing w:after="60"/>
      </w:pPr>
      <w:r>
        <w:rPr>
          <w:rFonts w:ascii="Arial" w:cs="Arial" w:eastAsia="Arial" w:hAnsi="Arial"/>
          <w:sz w:val="24"/>
          <w:szCs w:val="24"/>
        </w:rPr>
        <w:t xml:space="preserve">Step 2 — Hands-on task completion using sandbox/demo data (non-destructive)</w:t>
      </w:r>
    </w:p>
    <w:p>
      <w:pPr>
        <w:pStyle w:val="ListParagraph"/>
        <w:numPr>
          <w:ilvl w:val="0"/>
          <w:numId w:val="2"/>
        </w:numPr>
        <w:spacing w:after="60"/>
      </w:pPr>
      <w:r>
        <w:rPr>
          <w:rFonts w:ascii="Arial" w:cs="Arial" w:eastAsia="Arial" w:hAnsi="Arial"/>
          <w:sz w:val="24"/>
          <w:szCs w:val="24"/>
        </w:rPr>
        <w:t xml:space="preserve">Step 3 — Cross-zone navigation exercise demonstrating cross-zone link usage</w:t>
      </w:r>
    </w:p>
    <w:p>
      <w:pPr>
        <w:pStyle w:val="ListParagraph"/>
        <w:numPr>
          <w:ilvl w:val="0"/>
          <w:numId w:val="2"/>
        </w:numPr>
        <w:spacing w:after="60"/>
      </w:pPr>
      <w:r>
        <w:rPr>
          <w:rFonts w:ascii="Arial" w:cs="Arial" w:eastAsia="Arial" w:hAnsi="Arial"/>
          <w:sz w:val="24"/>
          <w:szCs w:val="24"/>
        </w:rPr>
        <w:t xml:space="preserve">Step 4 — AI assistant introduction with 3 example queries relevant to the user's role</w:t>
      </w:r>
    </w:p>
    <w:p>
      <w:pPr>
        <w:pStyle w:val="ListParagraph"/>
        <w:numPr>
          <w:ilvl w:val="0"/>
          <w:numId w:val="2"/>
        </w:numPr>
        <w:spacing w:after="60"/>
      </w:pPr>
      <w:r>
        <w:rPr>
          <w:rFonts w:ascii="Arial" w:cs="Arial" w:eastAsia="Arial" w:hAnsi="Arial"/>
          <w:sz w:val="24"/>
          <w:szCs w:val="24"/>
        </w:rPr>
        <w:t xml:space="preserve">Step 5 — Workflow automation demo showing a complete automated workflow relevant to role</w:t>
      </w:r>
    </w:p>
    <w:p>
      <w:pPr>
        <w:pStyle w:val="Heading3"/>
      </w:pPr>
      <w:r>
        <w:rPr>
          <w:rFonts w:ascii="Arial" w:cs="Arial" w:eastAsia="Arial" w:hAnsi="Arial"/>
          <w:b/>
          <w:bCs/>
          <w:color w:val="001647"/>
          <w:sz w:val="26"/>
          <w:szCs w:val="26"/>
        </w:rPr>
        <w:t xml:space="preserve">3.2.3 Role-Specific Activation Journeys</w:t>
      </w:r>
    </w:p>
    <w:p>
      <w:pPr>
        <w:spacing w:after="120"/>
      </w:pPr>
      <w:r>
        <w:rPr>
          <w:rFonts w:ascii="Arial" w:cs="Arial" w:eastAsia="Arial" w:hAnsi="Arial"/>
          <w:sz w:val="24"/>
          <w:szCs w:val="24"/>
        </w:rPr>
        <w:t xml:space="preserve">For each platform role, a specific in-app journey defines the path from first login to 'activated' status. Activation criteria are role-specific measurable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Journey ID</w:t>
            </w:r>
          </w:p>
        </w:tc>
        <w:tc>
          <w:tcPr>
            <w:tcW w:type="dxa" w:w="18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Role</w:t>
            </w:r>
          </w:p>
        </w:tc>
        <w:tc>
          <w:tcPr>
            <w:tcW w:type="dxa" w:w="28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Activation Criteria</w:t>
            </w:r>
          </w:p>
        </w:tc>
        <w:tc>
          <w:tcPr>
            <w:tcW w:type="dxa" w:w="27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Zone Path</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JRN-APP-ACT-SDM-001</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Service Desk Manager</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Resolves first ticket via AI-assisted triage</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Service Desk → Projects → Analytics</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JRN-APP-ACT-VCIO-001</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vCIO/vCISO</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Generates first QBR report</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vC-Suite → Analytics → Security</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JRN-APP-ACT-SEC-001</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Analyst</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Triages first 5 security alerts</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 Service Desk → GRC</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JRN-APP-ACT-PM-001</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 Manager</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Creates and assigns first project</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Projects → Service Desk → Resource Planning</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JRN-APP-ACT-GRC-001</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Compliance Officer</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Completes first framework assessment</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GRC → Security → vC-Suite</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JRN-APP-ACT-NET-001</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Engineer</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Reviews first network topology scan</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Ops → Endpoints → Service Desk</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JRN-APP-ACT-AM-001</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 Manager</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Adds first opportunity to pipeline</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Business Dev → vC-Suite → Accounting</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JRN-APP-ACT-FIN-001</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Finance Coordinator</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Completes first billing reconciliation</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Accounting → Business Dev</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JRN-APP-ACT-ENG-001</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L1/L2 Engineer</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Resolves first ticket using runbook</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Service Desk → Learning → Endpoints</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JRN-APP-ACT-OWN-001</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MSP Owner/CEO</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Reviews executive dashboard and client health</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Analytics → vC-Suite → Business Dev</w:t>
            </w:r>
          </w:p>
        </w:tc>
      </w:tr>
    </w:tbl>
    <w:p>
      <w:pPr>
        <w:spacing w:after="80"/>
      </w:pPr>
    </w:p>
    <w:p>
      <w:pPr>
        <w:spacing w:after="120"/>
      </w:pPr>
      <w:r>
        <w:rPr>
          <w:rFonts w:ascii="Arial" w:cs="Arial" w:eastAsia="Arial" w:hAnsi="Arial"/>
          <w:sz w:val="24"/>
          <w:szCs w:val="24"/>
        </w:rPr>
        <w:t xml:space="preserve">Each activation journey includes: in-app checklist with progress bar, contextual tooltips at each decision point, AI-generated suggestions for next steps, and a completion celebration with prompt to explore advanced features.</w:t>
      </w:r>
    </w:p>
    <w:p>
      <w:pPr>
        <w:pStyle w:val="Heading3"/>
      </w:pPr>
      <w:r>
        <w:rPr>
          <w:rFonts w:ascii="Arial" w:cs="Arial" w:eastAsia="Arial" w:hAnsi="Arial"/>
          <w:b/>
          <w:bCs/>
          <w:color w:val="001647"/>
          <w:sz w:val="26"/>
          <w:szCs w:val="26"/>
        </w:rPr>
        <w:t xml:space="preserve">3.2.4 Feature Discovery Journeys</w:t>
      </w:r>
    </w:p>
    <w:p>
      <w:pPr>
        <w:spacing w:after="120"/>
      </w:pPr>
      <w:r>
        <w:rPr>
          <w:rFonts w:ascii="Arial" w:cs="Arial" w:eastAsia="Arial" w:hAnsi="Arial"/>
          <w:sz w:val="24"/>
          <w:szCs w:val="24"/>
        </w:rPr>
        <w:t xml:space="preserve">Feature Discovery Journeys are event-triggered micro-journeys that surface contextually:</w:t>
      </w:r>
    </w:p>
    <w:p>
      <w:pPr>
        <w:pStyle w:val="ListParagraph"/>
        <w:numPr>
          <w:ilvl w:val="0"/>
          <w:numId w:val="2"/>
        </w:numPr>
        <w:spacing w:after="60"/>
      </w:pPr>
      <w:r>
        <w:rPr>
          <w:rFonts w:ascii="Arial" w:cs="Arial" w:eastAsia="Arial" w:hAnsi="Arial"/>
          <w:sz w:val="24"/>
          <w:szCs w:val="24"/>
        </w:rPr>
        <w:t xml:space="preserve">Contextual Discovery: Triggered when a user enters a zone they have not previously explored. Presents a 60-second zone orientation with 3 key capabilities highlighted.</w:t>
      </w:r>
    </w:p>
    <w:p>
      <w:pPr>
        <w:pStyle w:val="ListParagraph"/>
        <w:numPr>
          <w:ilvl w:val="0"/>
          <w:numId w:val="2"/>
        </w:numPr>
        <w:spacing w:after="60"/>
      </w:pPr>
      <w:r>
        <w:rPr>
          <w:rFonts w:ascii="Arial" w:cs="Arial" w:eastAsia="Arial" w:hAnsi="Arial"/>
          <w:sz w:val="24"/>
          <w:szCs w:val="24"/>
        </w:rPr>
        <w:t xml:space="preserve">Announcement Discovery: Triggered when new features are released to the user's role. Uses contextual banners, hotspots on new UI elements, and an optional guided mini-tour.</w:t>
      </w:r>
    </w:p>
    <w:p>
      <w:pPr>
        <w:pStyle w:val="ListParagraph"/>
        <w:numPr>
          <w:ilvl w:val="0"/>
          <w:numId w:val="2"/>
        </w:numPr>
        <w:spacing w:after="60"/>
      </w:pPr>
      <w:r>
        <w:rPr>
          <w:rFonts w:ascii="Arial" w:cs="Arial" w:eastAsia="Arial" w:hAnsi="Arial"/>
          <w:sz w:val="24"/>
          <w:szCs w:val="24"/>
        </w:rPr>
        <w:t xml:space="preserve">Pattern: All feature discovery uses non-blocking UI elements (tooltips, banners, hotspots) that can be dismissed and revisited from the help menu.</w:t>
      </w:r>
    </w:p>
    <w:p>
      <w:r>
        <w:br w:type="page"/>
      </w:r>
    </w:p>
    <w:p>
      <w:pPr>
        <w:pStyle w:val="Heading2"/>
      </w:pPr>
      <w:r>
        <w:rPr>
          <w:rFonts w:ascii="Arial" w:cs="Arial" w:eastAsia="Arial" w:hAnsi="Arial"/>
          <w:b/>
          <w:bCs/>
          <w:color w:val="001647"/>
          <w:sz w:val="30"/>
          <w:szCs w:val="30"/>
        </w:rPr>
        <w:t xml:space="preserve">3.3 Lifecycle Journeys</w:t>
      </w:r>
    </w:p>
    <w:p>
      <w:pPr>
        <w:spacing w:after="120"/>
      </w:pPr>
      <w:r>
        <w:rPr>
          <w:rFonts w:ascii="Arial" w:cs="Arial" w:eastAsia="Arial" w:hAnsi="Arial"/>
          <w:sz w:val="24"/>
          <w:szCs w:val="24"/>
        </w:rPr>
        <w:t xml:space="preserve">Lifecycle Journeys span the entire customer relationship and map directly to the four workflow categories in the Canonical Starter Workflow Library. Each lifecycle journey orchestrates multiple workflows in sequence, with defined handoff points and success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Journey ID</w:t>
            </w:r>
          </w:p>
        </w:tc>
        <w:tc>
          <w:tcPr>
            <w:tcW w:type="dxa" w:w="16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Name</w:t>
            </w:r>
          </w:p>
        </w:tc>
        <w:tc>
          <w:tcPr>
            <w:tcW w:type="dxa" w:w="28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Description</w:t>
            </w:r>
          </w:p>
        </w:tc>
        <w:tc>
          <w:tcPr>
            <w:tcW w:type="dxa" w:w="27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Duration</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JRN-LIFE-PREP-001</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Preparation</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Pre-migration: assessment, planning, data audit, readiness scoring</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4–8 weeks</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JRN-LIFE-MIGRATE-001</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Migration</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Active migration: data transfer, validation, parallel running, cutover</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2–12 weeks</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JRN-LIFE-MANAGE-001</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Management</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Ongoing operations: adoption, optimization, expansion, renewal</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Continuous</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JRN-LIFE-OFFBOARD-001</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Offboarding</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Graceful exit: data export, access transfer, knowledge handover</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2–4 weeks</w:t>
            </w:r>
          </w:p>
        </w:tc>
      </w:tr>
    </w:tbl>
    <w:p>
      <w:pPr>
        <w:spacing w:after="80"/>
      </w:pPr>
    </w:p>
    <w:p>
      <w:pPr>
        <w:pStyle w:val="Heading3"/>
      </w:pPr>
      <w:r>
        <w:rPr>
          <w:rFonts w:ascii="Arial" w:cs="Arial" w:eastAsia="Arial" w:hAnsi="Arial"/>
          <w:b/>
          <w:bCs/>
          <w:color w:val="001647"/>
          <w:sz w:val="26"/>
          <w:szCs w:val="26"/>
        </w:rPr>
        <w:t xml:space="preserve">3.3.1 Platform Preparation Journey (JRN-LIFE-PREP-001)</w:t>
      </w:r>
    </w:p>
    <w:p>
      <w:pPr>
        <w:spacing w:after="120"/>
      </w:pPr>
      <w:r>
        <w:rPr>
          <w:rFonts w:ascii="Arial" w:cs="Arial" w:eastAsia="Arial" w:hAnsi="Arial"/>
          <w:sz w:val="24"/>
          <w:szCs w:val="24"/>
        </w:rPr>
        <w:t xml:space="preserve">The Preparation journey covers all pre-migration activities. It activates workflows WF-PREP-001 through WF-PREP-008 in a dependency-aware sequence. Key gates include: Readiness Assessment completion (WF-PREP-001), Data Audit sign-off (WF-PREP-002), Security baseline established (WF-PREP-005), and Environment provisioned (WF-PREP-008).</w:t>
      </w:r>
    </w:p>
    <w:p>
      <w:pPr>
        <w:spacing w:after="120"/>
      </w:pPr>
      <w:r>
        <w:rPr>
          <w:rFonts w:ascii="Arial" w:cs="Arial" w:eastAsia="Arial" w:hAnsi="Arial"/>
          <w:sz w:val="24"/>
          <w:szCs w:val="24"/>
        </w:rPr>
        <w:t xml:space="preserve">Success criteria: Readiness score ≥ 80%, all prerequisite workflows completed, stakeholder sign-off obtained, environment health check passed.</w:t>
      </w:r>
    </w:p>
    <w:p>
      <w:pPr>
        <w:pStyle w:val="Heading3"/>
      </w:pPr>
      <w:r>
        <w:rPr>
          <w:rFonts w:ascii="Arial" w:cs="Arial" w:eastAsia="Arial" w:hAnsi="Arial"/>
          <w:b/>
          <w:bCs/>
          <w:color w:val="001647"/>
          <w:sz w:val="26"/>
          <w:szCs w:val="26"/>
        </w:rPr>
        <w:t xml:space="preserve">3.3.2 Platform Migration Journey (JRN-LIFE-MIGRATE-001)</w:t>
      </w:r>
    </w:p>
    <w:p>
      <w:pPr>
        <w:spacing w:after="120"/>
      </w:pPr>
      <w:r>
        <w:rPr>
          <w:rFonts w:ascii="Arial" w:cs="Arial" w:eastAsia="Arial" w:hAnsi="Arial"/>
          <w:sz w:val="24"/>
          <w:szCs w:val="24"/>
        </w:rPr>
        <w:t xml:space="preserve">The Migration journey orchestrates the active migration workflows (WF-MIGRATE-001 through WF-MIGRATE-010). Migration workflows execute in parallel where possible (e.g., PSA data migration and RMM migration can run concurrently) with mandatory sequential gates (e.g., Cutover Execution requires all data migrations complete).</w:t>
      </w:r>
    </w:p>
    <w:p>
      <w:pPr>
        <w:spacing w:after="120"/>
      </w:pPr>
      <w:r>
        <w:rPr>
          <w:rFonts w:ascii="Arial" w:cs="Arial" w:eastAsia="Arial" w:hAnsi="Arial"/>
          <w:sz w:val="24"/>
          <w:szCs w:val="24"/>
        </w:rPr>
        <w:t xml:space="preserve">Success criteria: All data integrity validations pass (&gt;99.5% accuracy), post-migration functional testing complete, user acceptance testing signed off, legacy system deactivated.</w:t>
      </w:r>
    </w:p>
    <w:p>
      <w:pPr>
        <w:pStyle w:val="Heading3"/>
      </w:pPr>
      <w:r>
        <w:rPr>
          <w:rFonts w:ascii="Arial" w:cs="Arial" w:eastAsia="Arial" w:hAnsi="Arial"/>
          <w:b/>
          <w:bCs/>
          <w:color w:val="001647"/>
          <w:sz w:val="26"/>
          <w:szCs w:val="26"/>
        </w:rPr>
        <w:t xml:space="preserve">3.3.3 Platform Management Journey (JRN-LIFE-MANAGE-001)</w:t>
      </w:r>
    </w:p>
    <w:p>
      <w:pPr>
        <w:spacing w:after="120"/>
      </w:pPr>
      <w:r>
        <w:rPr>
          <w:rFonts w:ascii="Arial" w:cs="Arial" w:eastAsia="Arial" w:hAnsi="Arial"/>
          <w:sz w:val="24"/>
          <w:szCs w:val="24"/>
        </w:rPr>
        <w:t xml:space="preserve">The Management journey is continuous and event-driven, not sequential. It activates management workflows (WF-MANAGE-001 through WF-MANAGE-010) based on operational triggers: new client onboarding, security incidents, compliance assessment cycles, QBR schedules, and platform optimization opportunities.</w:t>
      </w:r>
    </w:p>
    <w:p>
      <w:pPr>
        <w:spacing w:after="120"/>
      </w:pPr>
      <w:r>
        <w:rPr>
          <w:rFonts w:ascii="Arial" w:cs="Arial" w:eastAsia="Arial" w:hAnsi="Arial"/>
          <w:sz w:val="24"/>
          <w:szCs w:val="24"/>
        </w:rPr>
        <w:t xml:space="preserve">Success criteria: Adoption rate &gt;80% of licensed users active monthly, workflow automation rate achieving target percentages, continuous improvement metrics trending positive.</w:t>
      </w:r>
    </w:p>
    <w:p>
      <w:pPr>
        <w:pStyle w:val="Heading3"/>
      </w:pPr>
      <w:r>
        <w:rPr>
          <w:rFonts w:ascii="Arial" w:cs="Arial" w:eastAsia="Arial" w:hAnsi="Arial"/>
          <w:b/>
          <w:bCs/>
          <w:color w:val="001647"/>
          <w:sz w:val="26"/>
          <w:szCs w:val="26"/>
        </w:rPr>
        <w:t xml:space="preserve">3.3.4 Platform Offboarding Journey (JRN-LIFE-OFFBOARD-001)</w:t>
      </w:r>
    </w:p>
    <w:p>
      <w:pPr>
        <w:spacing w:after="120"/>
      </w:pPr>
      <w:r>
        <w:rPr>
          <w:rFonts w:ascii="Arial" w:cs="Arial" w:eastAsia="Arial" w:hAnsi="Arial"/>
          <w:sz w:val="24"/>
          <w:szCs w:val="24"/>
        </w:rPr>
        <w:t xml:space="preserve">The Offboarding journey supports two scenarios: MSP-to-MSP transfer (client moves between DevOps AI instances) and Platform Exit (client leaves DevOps AI entirely). Both scenarios are governed by EU Data Act requirements for data portability and switching assistance.</w:t>
      </w:r>
    </w:p>
    <w:p>
      <w:pPr>
        <w:spacing w:after="120"/>
      </w:pPr>
      <w:r>
        <w:rPr>
          <w:rFonts w:ascii="Arial" w:cs="Arial" w:eastAsia="Arial" w:hAnsi="Arial"/>
          <w:sz w:val="24"/>
          <w:szCs w:val="24"/>
        </w:rPr>
        <w:t xml:space="preserve">Success criteria: All data exported in open formats, access transitions completed with zero downtime, compliance evidence archived, financial close documented, knowledge handover accepted by receiving party.</w:t>
      </w:r>
    </w:p>
    <w:p>
      <w:r>
        <w:br w:type="page"/>
      </w:r>
    </w:p>
    <w:p>
      <w:pPr>
        <w:pStyle w:val="Heading1"/>
      </w:pPr>
      <w:r>
        <w:rPr>
          <w:rFonts w:ascii="Arial" w:cs="Arial" w:eastAsia="Arial" w:hAnsi="Arial"/>
          <w:b/>
          <w:bCs/>
          <w:color w:val="001647"/>
          <w:sz w:val="36"/>
          <w:szCs w:val="36"/>
        </w:rPr>
        <w:t xml:space="preserve">4. Canonical Starter Workflow Library</w:t>
      </w:r>
    </w:p>
    <w:p>
      <w:pPr>
        <w:pBdr>
          <w:bottom w:val="single" w:color="79C600" w:sz="3"/>
        </w:pBdr>
        <w:spacing w:after="120"/>
      </w:pPr>
    </w:p>
    <w:p>
      <w:pPr>
        <w:spacing w:after="120"/>
      </w:pPr>
      <w:r>
        <w:rPr>
          <w:rFonts w:ascii="Arial" w:cs="Arial" w:eastAsia="Arial" w:hAnsi="Arial"/>
          <w:sz w:val="24"/>
          <w:szCs w:val="24"/>
        </w:rPr>
        <w:t xml:space="preserve">The Canonical Starter Workflow Library provides a curated set of production-ready workflows organized into four lifecycle phases. Each workflow is fully specified with canonical IDs, zone assignments, step sequences, AI automation percentages, and standards references. Workflows are activatable via one-click from the Business Development zone's Journey &amp; Workflow Orchestrator.</w:t>
      </w:r>
    </w:p>
    <w:p>
      <w:pPr>
        <w:pStyle w:val="Heading2"/>
      </w:pPr>
      <w:r>
        <w:rPr>
          <w:rFonts w:ascii="Arial" w:cs="Arial" w:eastAsia="Arial" w:hAnsi="Arial"/>
          <w:b/>
          <w:bCs/>
          <w:color w:val="001647"/>
          <w:sz w:val="30"/>
          <w:szCs w:val="30"/>
        </w:rPr>
        <w:t xml:space="preserve">4.1 Phase A: Preparation Workflows (PREPARE)</w:t>
      </w:r>
    </w:p>
    <w:p>
      <w:pPr>
        <w:spacing w:after="120"/>
      </w:pPr>
      <w:r>
        <w:rPr>
          <w:rFonts w:ascii="Arial" w:cs="Arial" w:eastAsia="Arial" w:hAnsi="Arial"/>
          <w:sz w:val="24"/>
          <w:szCs w:val="24"/>
        </w:rPr>
        <w:t xml:space="preserve">Preparation workflows cover all activities required before migrating from legacy platforms to DevOps AI. They establish baselines, audit data quality, plan integrations, and provision environments.</w:t>
      </w:r>
    </w:p>
    <w:p>
      <w:pPr>
        <w:spacing w:after="80"/>
      </w:pPr>
    </w:p>
    <w:p>
      <w:pPr>
        <w:pStyle w:val="Heading4"/>
      </w:pPr>
      <w:r>
        <w:rPr>
          <w:rFonts w:ascii="Arial" w:cs="Arial" w:eastAsia="Arial" w:hAnsi="Arial"/>
          <w:b/>
          <w:bCs/>
          <w:color w:val="001647"/>
          <w:sz w:val="24"/>
          <w:szCs w:val="24"/>
        </w:rPr>
        <w:t xml:space="preserve">WF-PREP-001: Platform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Business Development + Analytics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Current tool inventory → Data volume estimation → Integration mapping → Compliance requirement gathering → Readiness score calculation → Assessment report generation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Service Design, ITIL 4 Plan</w:t>
            </w:r>
          </w:p>
        </w:tc>
      </w:tr>
    </w:tbl>
    <w:p>
      <w:pPr>
        <w:spacing w:after="80"/>
      </w:pPr>
    </w:p>
    <w:p>
      <w:pPr>
        <w:pStyle w:val="Heading4"/>
      </w:pPr>
      <w:r>
        <w:rPr>
          <w:rFonts w:ascii="Arial" w:cs="Arial" w:eastAsia="Arial" w:hAnsi="Arial"/>
          <w:b/>
          <w:bCs/>
          <w:color w:val="001647"/>
          <w:sz w:val="24"/>
          <w:szCs w:val="24"/>
        </w:rPr>
        <w:t xml:space="preserve">WF-PREP-002: Data Audit &amp;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Analytics + DevOps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Data export from source systems → Quality analysis → Deduplication → Field mapping → Cleanup execution → Validation → Audit report</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EU Data Act, GDPR Art. 20, ITIL 4 Service Config Management</w:t>
            </w:r>
          </w:p>
        </w:tc>
      </w:tr>
    </w:tbl>
    <w:p>
      <w:pPr>
        <w:spacing w:after="80"/>
      </w:pPr>
    </w:p>
    <w:p>
      <w:pPr>
        <w:pStyle w:val="Heading4"/>
      </w:pPr>
      <w:r>
        <w:rPr>
          <w:rFonts w:ascii="Arial" w:cs="Arial" w:eastAsia="Arial" w:hAnsi="Arial"/>
          <w:b/>
          <w:bCs/>
          <w:color w:val="001647"/>
          <w:sz w:val="24"/>
          <w:szCs w:val="24"/>
        </w:rPr>
        <w:t xml:space="preserve">WF-PREP-003: Integration Architecture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Current integration inventory → API compatibility assessment → Connector configuration plan → Authentication planning → Testing plan → Architecture document</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Service Design, OpenAPI Specification</w:t>
            </w:r>
          </w:p>
        </w:tc>
      </w:tr>
    </w:tbl>
    <w:p>
      <w:pPr>
        <w:spacing w:after="80"/>
      </w:pPr>
    </w:p>
    <w:p>
      <w:pPr>
        <w:pStyle w:val="Heading4"/>
      </w:pPr>
      <w:r>
        <w:rPr>
          <w:rFonts w:ascii="Arial" w:cs="Arial" w:eastAsia="Arial" w:hAnsi="Arial"/>
          <w:b/>
          <w:bCs/>
          <w:color w:val="001647"/>
          <w:sz w:val="24"/>
          <w:szCs w:val="24"/>
        </w:rPr>
        <w:t xml:space="preserve">WF-PREP-004: Stakeholder 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Business Development + vC-Suite</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Stakeholder mapping → Communication schedule → Training plan → Change management preparation → Kick-off meeting preparation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50%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PMBOK 7 Stakeholder Engagement, ITIL 4 Relationship Management</w:t>
            </w:r>
          </w:p>
        </w:tc>
      </w:tr>
    </w:tbl>
    <w:p>
      <w:pPr>
        <w:spacing w:after="80"/>
      </w:pPr>
    </w:p>
    <w:p>
      <w:pPr>
        <w:pStyle w:val="Heading4"/>
      </w:pPr>
      <w:r>
        <w:rPr>
          <w:rFonts w:ascii="Arial" w:cs="Arial" w:eastAsia="Arial" w:hAnsi="Arial"/>
          <w:b/>
          <w:bCs/>
          <w:color w:val="001647"/>
          <w:sz w:val="24"/>
          <w:szCs w:val="24"/>
        </w:rPr>
        <w:t xml:space="preserve">WF-PREP-005: Security &amp; Compliance Pre-Migration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 GRC</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Current security posture baseline → Compliance framework mapping → Access control audit → Data sovereignty requirements → Risk register initialization → Gap analysis report</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NIST CSF 2.0, ISO 27001, CMMC 2.0</w:t>
            </w:r>
          </w:p>
        </w:tc>
      </w:tr>
    </w:tbl>
    <w:p>
      <w:pPr>
        <w:spacing w:after="80"/>
      </w:pPr>
    </w:p>
    <w:p>
      <w:pPr>
        <w:pStyle w:val="Heading4"/>
      </w:pPr>
      <w:r>
        <w:rPr>
          <w:rFonts w:ascii="Arial" w:cs="Arial" w:eastAsia="Arial" w:hAnsi="Arial"/>
          <w:b/>
          <w:bCs/>
          <w:color w:val="001647"/>
          <w:sz w:val="24"/>
          <w:szCs w:val="24"/>
        </w:rPr>
        <w:t xml:space="preserve">WF-PREP-006: Financial Planning &amp; ROI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Accounting + Analytics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Current tool cost audit → License optimization analysis → ROI model creation → Budget allocation → Billing transition plan → Financial baseline report</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ASC 606, GAAP</w:t>
            </w:r>
          </w:p>
        </w:tc>
      </w:tr>
    </w:tbl>
    <w:p>
      <w:pPr>
        <w:spacing w:after="80"/>
      </w:pPr>
    </w:p>
    <w:p>
      <w:pPr>
        <w:pStyle w:val="Heading4"/>
      </w:pPr>
      <w:r>
        <w:rPr>
          <w:rFonts w:ascii="Arial" w:cs="Arial" w:eastAsia="Arial" w:hAnsi="Arial"/>
          <w:b/>
          <w:bCs/>
          <w:color w:val="001647"/>
          <w:sz w:val="24"/>
          <w:szCs w:val="24"/>
        </w:rPr>
        <w:t xml:space="preserve">WF-PREP-007: Knowledge Base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Learning</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Existing documentation audit → Knowledge gap identification → Article migration plan → Training content preparation → KB structure mapping</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Knowledge Management</w:t>
            </w:r>
          </w:p>
        </w:tc>
      </w:tr>
    </w:tbl>
    <w:p>
      <w:pPr>
        <w:spacing w:after="80"/>
      </w:pPr>
    </w:p>
    <w:p>
      <w:pPr>
        <w:pStyle w:val="Heading4"/>
      </w:pPr>
      <w:r>
        <w:rPr>
          <w:rFonts w:ascii="Arial" w:cs="Arial" w:eastAsia="Arial" w:hAnsi="Arial"/>
          <w:b/>
          <w:bCs/>
          <w:color w:val="001647"/>
          <w:sz w:val="24"/>
          <w:szCs w:val="24"/>
        </w:rPr>
        <w:t xml:space="preserve">WF-PREP-008: Environment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Azure tenant configuration → DevOps AI instance provisioning → Connector pre-configuration → Sandbox setup → Health check → Provisioning validation report</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Release &amp; Deployment Management</w:t>
            </w:r>
          </w:p>
        </w:tc>
      </w:tr>
    </w:tbl>
    <w:p>
      <w:pPr>
        <w:spacing w:after="80"/>
      </w:pPr>
    </w:p>
    <w:p>
      <w:r>
        <w:br w:type="page"/>
      </w:r>
    </w:p>
    <w:p>
      <w:pPr>
        <w:pStyle w:val="Heading2"/>
      </w:pPr>
      <w:r>
        <w:rPr>
          <w:rFonts w:ascii="Arial" w:cs="Arial" w:eastAsia="Arial" w:hAnsi="Arial"/>
          <w:b/>
          <w:bCs/>
          <w:color w:val="001647"/>
          <w:sz w:val="30"/>
          <w:szCs w:val="30"/>
        </w:rPr>
        <w:t xml:space="preserve">4.2 Phase B: Migration Workflows (MIGRATE)</w:t>
      </w:r>
    </w:p>
    <w:p>
      <w:pPr>
        <w:spacing w:after="120"/>
      </w:pPr>
      <w:r>
        <w:rPr>
          <w:rFonts w:ascii="Arial" w:cs="Arial" w:eastAsia="Arial" w:hAnsi="Arial"/>
          <w:sz w:val="24"/>
          <w:szCs w:val="24"/>
        </w:rPr>
        <w:t xml:space="preserve">Migration workflows execute the active data transfer, system configuration, and cutover operations. They are designed for parallel execution where possible, with mandatory sequential gates for cutover and validation.</w:t>
      </w:r>
    </w:p>
    <w:p>
      <w:pPr>
        <w:spacing w:after="80"/>
      </w:pPr>
    </w:p>
    <w:p>
      <w:pPr>
        <w:pStyle w:val="Heading4"/>
      </w:pPr>
      <w:r>
        <w:rPr>
          <w:rFonts w:ascii="Arial" w:cs="Arial" w:eastAsia="Arial" w:hAnsi="Arial"/>
          <w:b/>
          <w:bCs/>
          <w:color w:val="001647"/>
          <w:sz w:val="24"/>
          <w:szCs w:val="24"/>
        </w:rPr>
        <w:t xml:space="preserve">WF-MIGRATE-001: PSA Data Migration (ConnectWise/Autotask → DevOps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Projects + Service Desk</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Schema mapping → Batch export → Transform → Load → Delta validation → Reconciliation → Hypercare activation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Release &amp; Deployment</w:t>
            </w:r>
          </w:p>
        </w:tc>
      </w:tr>
    </w:tbl>
    <w:p>
      <w:pPr>
        <w:spacing w:after="80"/>
      </w:pPr>
    </w:p>
    <w:p>
      <w:pPr>
        <w:pStyle w:val="Heading4"/>
      </w:pPr>
      <w:r>
        <w:rPr>
          <w:rFonts w:ascii="Arial" w:cs="Arial" w:eastAsia="Arial" w:hAnsi="Arial"/>
          <w:b/>
          <w:bCs/>
          <w:color w:val="001647"/>
          <w:sz w:val="24"/>
          <w:szCs w:val="24"/>
        </w:rPr>
        <w:t xml:space="preserve">WF-MIGRATE-002: RMM/Endpoint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Endpoint Management</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Agent deployment planning → Phased rollout → Monitoring baseline transfer → Alert rule migration → Validation → Parallel monitoring</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Service Config Management, CIS Controls</w:t>
            </w:r>
          </w:p>
        </w:tc>
      </w:tr>
    </w:tbl>
    <w:p>
      <w:pPr>
        <w:spacing w:after="80"/>
      </w:pPr>
    </w:p>
    <w:p>
      <w:pPr>
        <w:pStyle w:val="Heading4"/>
      </w:pPr>
      <w:r>
        <w:rPr>
          <w:rFonts w:ascii="Arial" w:cs="Arial" w:eastAsia="Arial" w:hAnsi="Arial"/>
          <w:b/>
          <w:bCs/>
          <w:color w:val="001647"/>
          <w:sz w:val="24"/>
          <w:szCs w:val="24"/>
        </w:rPr>
        <w:t xml:space="preserve">WF-MIGRATE-003: Security Stack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EDR/SIEM policy export → Rule translation → Playbook migration → Alert routing configuration → Parallel monitoring → Cutover → Validation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NIST SP 800-61, MITRE ATT&amp;CK</w:t>
            </w:r>
          </w:p>
        </w:tc>
      </w:tr>
    </w:tbl>
    <w:p>
      <w:pPr>
        <w:spacing w:after="80"/>
      </w:pPr>
    </w:p>
    <w:p>
      <w:pPr>
        <w:pStyle w:val="Heading4"/>
      </w:pPr>
      <w:r>
        <w:rPr>
          <w:rFonts w:ascii="Arial" w:cs="Arial" w:eastAsia="Arial" w:hAnsi="Arial"/>
          <w:b/>
          <w:bCs/>
          <w:color w:val="001647"/>
          <w:sz w:val="24"/>
          <w:szCs w:val="24"/>
        </w:rPr>
        <w:t xml:space="preserve">WF-MIGRATE-004: Documentation &amp; Knowledge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Learning</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 Glue/Hudu export → Article format transformation → Metadata enrichment → Category mapping → Import → Quality check → Gap report</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Knowledge Management</w:t>
            </w:r>
          </w:p>
        </w:tc>
      </w:tr>
    </w:tbl>
    <w:p>
      <w:pPr>
        <w:spacing w:after="80"/>
      </w:pPr>
    </w:p>
    <w:p>
      <w:pPr>
        <w:pStyle w:val="Heading4"/>
      </w:pPr>
      <w:r>
        <w:rPr>
          <w:rFonts w:ascii="Arial" w:cs="Arial" w:eastAsia="Arial" w:hAnsi="Arial"/>
          <w:b/>
          <w:bCs/>
          <w:color w:val="001647"/>
          <w:sz w:val="24"/>
          <w:szCs w:val="24"/>
        </w:rPr>
        <w:t xml:space="preserve">WF-MIGRATE-005: Client Record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Business Development + vC-Suite</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CRM data export → Contact/company mapping → Pipeline transfer → QBR history import → Relationship data validation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Relationship Management</w:t>
            </w:r>
          </w:p>
        </w:tc>
      </w:tr>
    </w:tbl>
    <w:p>
      <w:pPr>
        <w:spacing w:after="80"/>
      </w:pPr>
    </w:p>
    <w:p>
      <w:pPr>
        <w:pStyle w:val="Heading4"/>
      </w:pPr>
      <w:r>
        <w:rPr>
          <w:rFonts w:ascii="Arial" w:cs="Arial" w:eastAsia="Arial" w:hAnsi="Arial"/>
          <w:b/>
          <w:bCs/>
          <w:color w:val="001647"/>
          <w:sz w:val="24"/>
          <w:szCs w:val="24"/>
        </w:rPr>
        <w:t xml:space="preserve">WF-MIGRATE-006: Financial Data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Accounting</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Chart of accounts mapping → Agreement migration → Historical invoice import → Billing configuration → Reconciliation → Financial close verification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ASC 606, GAAP</w:t>
            </w:r>
          </w:p>
        </w:tc>
      </w:tr>
    </w:tbl>
    <w:p>
      <w:pPr>
        <w:spacing w:after="80"/>
      </w:pPr>
    </w:p>
    <w:p>
      <w:pPr>
        <w:pStyle w:val="Heading4"/>
      </w:pPr>
      <w:r>
        <w:rPr>
          <w:rFonts w:ascii="Arial" w:cs="Arial" w:eastAsia="Arial" w:hAnsi="Arial"/>
          <w:b/>
          <w:bCs/>
          <w:color w:val="001647"/>
          <w:sz w:val="24"/>
          <w:szCs w:val="24"/>
        </w:rPr>
        <w:t xml:space="preserve">WF-MIGRATE-007: Compliance Framework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GRC</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Framework mapping → Control library import → Evidence migration → Policy document transfer → Compliance status baseline → Verification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SOC 2, CMMC 2.0, ISO 27001</w:t>
            </w:r>
          </w:p>
        </w:tc>
      </w:tr>
    </w:tbl>
    <w:p>
      <w:pPr>
        <w:spacing w:after="80"/>
      </w:pPr>
    </w:p>
    <w:p>
      <w:pPr>
        <w:pStyle w:val="Heading4"/>
      </w:pPr>
      <w:r>
        <w:rPr>
          <w:rFonts w:ascii="Arial" w:cs="Arial" w:eastAsia="Arial" w:hAnsi="Arial"/>
          <w:b/>
          <w:bCs/>
          <w:color w:val="001647"/>
          <w:sz w:val="24"/>
          <w:szCs w:val="24"/>
        </w:rPr>
        <w:t xml:space="preserve">WF-MIGRATE-008: Network &amp; Infrastructure Data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Ops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Topology data export → Configuration baseline import → Monitoring threshold transfer → SSL certificate inventory → Performance baseline establishment</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Service Config Management</w:t>
            </w:r>
          </w:p>
        </w:tc>
      </w:tr>
    </w:tbl>
    <w:p>
      <w:pPr>
        <w:spacing w:after="80"/>
      </w:pPr>
    </w:p>
    <w:p>
      <w:pPr>
        <w:pStyle w:val="Heading4"/>
      </w:pPr>
      <w:r>
        <w:rPr>
          <w:rFonts w:ascii="Arial" w:cs="Arial" w:eastAsia="Arial" w:hAnsi="Arial"/>
          <w:b/>
          <w:bCs/>
          <w:color w:val="001647"/>
          <w:sz w:val="24"/>
          <w:szCs w:val="24"/>
        </w:rPr>
        <w:t xml:space="preserve">WF-MIGRATE-009: Cutover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Projects (cross-zone)</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Pre-cutover checklist → Go/no-go decision gate → DNS/routing changes → Service activation → Parallel monitoring → Legacy deactivation → Cutover report</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40%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Release &amp; Deployment, PMI Risk Management</w:t>
            </w:r>
          </w:p>
        </w:tc>
      </w:tr>
    </w:tbl>
    <w:p>
      <w:pPr>
        <w:spacing w:after="80"/>
      </w:pPr>
    </w:p>
    <w:p>
      <w:pPr>
        <w:pStyle w:val="Heading4"/>
      </w:pPr>
      <w:r>
        <w:rPr>
          <w:rFonts w:ascii="Arial" w:cs="Arial" w:eastAsia="Arial" w:hAnsi="Arial"/>
          <w:b/>
          <w:bCs/>
          <w:color w:val="001647"/>
          <w:sz w:val="24"/>
          <w:szCs w:val="24"/>
        </w:rPr>
        <w:t xml:space="preserve">WF-MIGRATE-010: Post-Migration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Analytics (cross-zone)</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Data integrity verification → Workflow functional testing → Integration health check → Performance baseline comparison → User acceptance testing → Sign-off</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Service Validation &amp; Testing</w:t>
            </w:r>
          </w:p>
        </w:tc>
      </w:tr>
    </w:tbl>
    <w:p>
      <w:pPr>
        <w:spacing w:after="80"/>
      </w:pPr>
    </w:p>
    <w:p>
      <w:r>
        <w:br w:type="page"/>
      </w:r>
    </w:p>
    <w:p>
      <w:pPr>
        <w:pStyle w:val="Heading2"/>
      </w:pPr>
      <w:r>
        <w:rPr>
          <w:rFonts w:ascii="Arial" w:cs="Arial" w:eastAsia="Arial" w:hAnsi="Arial"/>
          <w:b/>
          <w:bCs/>
          <w:color w:val="001647"/>
          <w:sz w:val="30"/>
          <w:szCs w:val="30"/>
        </w:rPr>
        <w:t xml:space="preserve">4.3 Phase C: Management Workflows (MANAGE)</w:t>
      </w:r>
    </w:p>
    <w:p>
      <w:pPr>
        <w:spacing w:after="120"/>
      </w:pPr>
      <w:r>
        <w:rPr>
          <w:rFonts w:ascii="Arial" w:cs="Arial" w:eastAsia="Arial" w:hAnsi="Arial"/>
          <w:sz w:val="24"/>
          <w:szCs w:val="24"/>
        </w:rPr>
        <w:t xml:space="preserve">Management workflows support ongoing platform operations. They are event-driven and continuous, activated by operational triggers rather than sequential dependencies.</w:t>
      </w:r>
    </w:p>
    <w:p>
      <w:pPr>
        <w:spacing w:after="80"/>
      </w:pPr>
    </w:p>
    <w:p>
      <w:pPr>
        <w:pStyle w:val="Heading4"/>
      </w:pPr>
      <w:r>
        <w:rPr>
          <w:rFonts w:ascii="Arial" w:cs="Arial" w:eastAsia="Arial" w:hAnsi="Arial"/>
          <w:b/>
          <w:bCs/>
          <w:color w:val="001647"/>
          <w:sz w:val="24"/>
          <w:szCs w:val="24"/>
        </w:rPr>
        <w:t xml:space="preserve">WF-MANAGE-001: Organization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User provisioning → Role assignment → Zone access configuration → Integration management → Platform health monitoring → Configuration audit</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Service Config Management</w:t>
            </w:r>
          </w:p>
        </w:tc>
      </w:tr>
    </w:tbl>
    <w:p>
      <w:pPr>
        <w:spacing w:after="80"/>
      </w:pPr>
    </w:p>
    <w:p>
      <w:pPr>
        <w:pStyle w:val="Heading4"/>
      </w:pPr>
      <w:r>
        <w:rPr>
          <w:rFonts w:ascii="Arial" w:cs="Arial" w:eastAsia="Arial" w:hAnsi="Arial"/>
          <w:b/>
          <w:bCs/>
          <w:color w:val="001647"/>
          <w:sz w:val="24"/>
          <w:szCs w:val="24"/>
        </w:rPr>
        <w:t xml:space="preserve">WF-MANAGE-002: Client Onboarding (MSP Adding New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Business Development + vC-Suite</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Client creation → Discovery audit → Environment setup → Security baseline → Documentation init → QBR scheduling → 90-day activation tracking</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Service Design, ISO 27001</w:t>
            </w:r>
          </w:p>
        </w:tc>
      </w:tr>
    </w:tbl>
    <w:p>
      <w:pPr>
        <w:spacing w:after="80"/>
      </w:pPr>
    </w:p>
    <w:p>
      <w:pPr>
        <w:pStyle w:val="Heading4"/>
      </w:pPr>
      <w:r>
        <w:rPr>
          <w:rFonts w:ascii="Arial" w:cs="Arial" w:eastAsia="Arial" w:hAnsi="Arial"/>
          <w:b/>
          <w:bCs/>
          <w:color w:val="001647"/>
          <w:sz w:val="24"/>
          <w:szCs w:val="24"/>
        </w:rPr>
        <w:t xml:space="preserve">WF-MANAGE-003: Service Delivery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Service Desk (cross-zone)</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Ticket management → SLA monitoring → Problem management → Escalation handling → Knowledge creation → Reporting → Continual improvement</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(all Service Operation practices)</w:t>
            </w:r>
          </w:p>
        </w:tc>
      </w:tr>
    </w:tbl>
    <w:p>
      <w:pPr>
        <w:spacing w:after="80"/>
      </w:pPr>
    </w:p>
    <w:p>
      <w:pPr>
        <w:pStyle w:val="Heading4"/>
      </w:pPr>
      <w:r>
        <w:rPr>
          <w:rFonts w:ascii="Arial" w:cs="Arial" w:eastAsia="Arial" w:hAnsi="Arial"/>
          <w:b/>
          <w:bCs/>
          <w:color w:val="001647"/>
          <w:sz w:val="24"/>
          <w:szCs w:val="24"/>
        </w:rPr>
        <w:t xml:space="preserve">WF-MANAGE-004: Security Operations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Threat monitoring → Vulnerability management → Incident response → BCDR maintenance → Access reviews → Compliance evidence collection → Security posture reporting</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NIST CSF 2.0, NIST SP 800-61</w:t>
            </w:r>
          </w:p>
        </w:tc>
      </w:tr>
    </w:tbl>
    <w:p>
      <w:pPr>
        <w:spacing w:after="80"/>
      </w:pPr>
    </w:p>
    <w:p>
      <w:pPr>
        <w:pStyle w:val="Heading4"/>
      </w:pPr>
      <w:r>
        <w:rPr>
          <w:rFonts w:ascii="Arial" w:cs="Arial" w:eastAsia="Arial" w:hAnsi="Arial"/>
          <w:b/>
          <w:bCs/>
          <w:color w:val="001647"/>
          <w:sz w:val="24"/>
          <w:szCs w:val="24"/>
        </w:rPr>
        <w:t xml:space="preserve">WF-MANAGE-005: Compliance Program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GRC</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Framework monitoring → Control assessment → Evidence collection → Policy review cycles → Audit preparation → Reporting → Remediation tracking</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SOC 2, CMMC 2.0, ISO 27001</w:t>
            </w:r>
          </w:p>
        </w:tc>
      </w:tr>
    </w:tbl>
    <w:p>
      <w:pPr>
        <w:spacing w:after="80"/>
      </w:pPr>
    </w:p>
    <w:p>
      <w:pPr>
        <w:pStyle w:val="Heading4"/>
      </w:pPr>
      <w:r>
        <w:rPr>
          <w:rFonts w:ascii="Arial" w:cs="Arial" w:eastAsia="Arial" w:hAnsi="Arial"/>
          <w:b/>
          <w:bCs/>
          <w:color w:val="001647"/>
          <w:sz w:val="24"/>
          <w:szCs w:val="24"/>
        </w:rPr>
        <w:t xml:space="preserve">WF-MANAGE-006: Financial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Accounting</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Billing reconciliation → Invoice generation → Revenue tracking → Procurement → Contract management → Period close → Financial reporting</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ASC 606, GAAP</w:t>
            </w:r>
          </w:p>
        </w:tc>
      </w:tr>
    </w:tbl>
    <w:p>
      <w:pPr>
        <w:spacing w:after="80"/>
      </w:pPr>
    </w:p>
    <w:p>
      <w:pPr>
        <w:pStyle w:val="Heading4"/>
      </w:pPr>
      <w:r>
        <w:rPr>
          <w:rFonts w:ascii="Arial" w:cs="Arial" w:eastAsia="Arial" w:hAnsi="Arial"/>
          <w:b/>
          <w:bCs/>
          <w:color w:val="001647"/>
          <w:sz w:val="24"/>
          <w:szCs w:val="24"/>
        </w:rPr>
        <w:t xml:space="preserve">WF-MANAGE-007: Strategic Advisory (vCIO/vCISO)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vC-Suite</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QBR preparation → Technology roadmap management → Budget planning → Risk register maintenance → Client health monitoring → Strategic recommendations</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Continual Improvement</w:t>
            </w:r>
          </w:p>
        </w:tc>
      </w:tr>
    </w:tbl>
    <w:p>
      <w:pPr>
        <w:spacing w:after="80"/>
      </w:pPr>
    </w:p>
    <w:p>
      <w:pPr>
        <w:pStyle w:val="Heading4"/>
      </w:pPr>
      <w:r>
        <w:rPr>
          <w:rFonts w:ascii="Arial" w:cs="Arial" w:eastAsia="Arial" w:hAnsi="Arial"/>
          <w:b/>
          <w:bCs/>
          <w:color w:val="001647"/>
          <w:sz w:val="24"/>
          <w:szCs w:val="24"/>
        </w:rPr>
        <w:t xml:space="preserve">WF-MANAGE-008: Platform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Analytics + DevOps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Usage analytics review → License optimization → Performance tuning → Integration health → Feature adoption tracking → Continual improvement actions</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Continual Improvement, DORA Metrics</w:t>
            </w:r>
          </w:p>
        </w:tc>
      </w:tr>
    </w:tbl>
    <w:p>
      <w:pPr>
        <w:spacing w:after="80"/>
      </w:pPr>
    </w:p>
    <w:p>
      <w:pPr>
        <w:pStyle w:val="Heading4"/>
      </w:pPr>
      <w:r>
        <w:rPr>
          <w:rFonts w:ascii="Arial" w:cs="Arial" w:eastAsia="Arial" w:hAnsi="Arial"/>
          <w:b/>
          <w:bCs/>
          <w:color w:val="001647"/>
          <w:sz w:val="24"/>
          <w:szCs w:val="24"/>
        </w:rPr>
        <w:t xml:space="preserve">WF-MANAGE-009: Team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Learning</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Skill gap assessment → Learning path management → Certification tracking → Knowledge base maintenance → Training delivery → Competency reporting</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SCORM, xAPI, ITIL 4 Workforce &amp; Talent Management</w:t>
            </w:r>
          </w:p>
        </w:tc>
      </w:tr>
    </w:tbl>
    <w:p>
      <w:pPr>
        <w:spacing w:after="80"/>
      </w:pPr>
    </w:p>
    <w:p>
      <w:pPr>
        <w:pStyle w:val="Heading4"/>
      </w:pPr>
      <w:r>
        <w:rPr>
          <w:rFonts w:ascii="Arial" w:cs="Arial" w:eastAsia="Arial" w:hAnsi="Arial"/>
          <w:b/>
          <w:bCs/>
          <w:color w:val="001647"/>
          <w:sz w:val="24"/>
          <w:szCs w:val="24"/>
        </w:rPr>
        <w:t xml:space="preserve">WF-MANAGE-010: Project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 initiation → Resource allocation → Task management → Change management → Quality assurance → Closure &amp; handoff → Post-implementation review</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55%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PMBOK 7, ITIL 4 Project Management</w:t>
            </w:r>
          </w:p>
        </w:tc>
      </w:tr>
    </w:tbl>
    <w:p>
      <w:pPr>
        <w:spacing w:after="80"/>
      </w:pPr>
    </w:p>
    <w:p>
      <w:r>
        <w:br w:type="page"/>
      </w:r>
    </w:p>
    <w:p>
      <w:pPr>
        <w:pStyle w:val="Heading2"/>
      </w:pPr>
      <w:r>
        <w:rPr>
          <w:rFonts w:ascii="Arial" w:cs="Arial" w:eastAsia="Arial" w:hAnsi="Arial"/>
          <w:b/>
          <w:bCs/>
          <w:color w:val="001647"/>
          <w:sz w:val="30"/>
          <w:szCs w:val="30"/>
        </w:rPr>
        <w:t xml:space="preserve">4.4 Phase D: Offboarding Workflows (OFFBOARD)</w:t>
      </w:r>
    </w:p>
    <w:p>
      <w:pPr>
        <w:spacing w:after="120"/>
      </w:pPr>
      <w:r>
        <w:rPr>
          <w:rFonts w:ascii="Arial" w:cs="Arial" w:eastAsia="Arial" w:hAnsi="Arial"/>
          <w:sz w:val="24"/>
          <w:szCs w:val="24"/>
        </w:rPr>
        <w:t xml:space="preserve">Offboarding workflows ensure graceful, compliant exit from the platform. The taxonomy defines two scenarios: MSP-to-MSP Transfer (client moves between DevOps AI instances) and Platform Exit (client leaves DevOps AI entirely). Both scenarios are governed by EU Data Act data portability requirements.</w:t>
      </w:r>
    </w:p>
    <w:p>
      <w:pPr>
        <w:pStyle w:val="Heading3"/>
      </w:pPr>
      <w:r>
        <w:rPr>
          <w:rFonts w:ascii="Arial" w:cs="Arial" w:eastAsia="Arial" w:hAnsi="Arial"/>
          <w:b/>
          <w:bCs/>
          <w:color w:val="001647"/>
          <w:sz w:val="26"/>
          <w:szCs w:val="26"/>
        </w:rPr>
        <w:t xml:space="preserve">4.4.1 MSP-to-MSP Transfer Workflows</w:t>
      </w:r>
    </w:p>
    <w:p>
      <w:pPr>
        <w:spacing w:after="80"/>
      </w:pPr>
    </w:p>
    <w:p>
      <w:pPr>
        <w:pStyle w:val="Heading4"/>
      </w:pPr>
      <w:r>
        <w:rPr>
          <w:rFonts w:ascii="Arial" w:cs="Arial" w:eastAsia="Arial" w:hAnsi="Arial"/>
          <w:b/>
          <w:bCs/>
          <w:color w:val="001647"/>
          <w:sz w:val="24"/>
          <w:szCs w:val="24"/>
        </w:rPr>
        <w:t xml:space="preserve">WF-OFFBOARD-001: MSP Transfer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vC-Suite + Business Development</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Transfer notification → Transition timeline agreement → Co-management period initiation → Data inventory → Access planning → Communication plan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50%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Service Design &amp; Transition</w:t>
            </w:r>
          </w:p>
        </w:tc>
      </w:tr>
    </w:tbl>
    <w:p>
      <w:pPr>
        <w:spacing w:after="80"/>
      </w:pPr>
    </w:p>
    <w:p>
      <w:pPr>
        <w:pStyle w:val="Heading4"/>
      </w:pPr>
      <w:r>
        <w:rPr>
          <w:rFonts w:ascii="Arial" w:cs="Arial" w:eastAsia="Arial" w:hAnsi="Arial"/>
          <w:b/>
          <w:bCs/>
          <w:color w:val="001647"/>
          <w:sz w:val="24"/>
          <w:szCs w:val="24"/>
        </w:rPr>
        <w:t xml:space="preserve">WF-OFFBOARD-002: MSP Transfer Data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 + Analytics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Full data export (standardized format) → Documentation package → Configuration export → Historical data archive → Compliance evidence export → Export validation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EU Data Act, GDPR Art. 20</w:t>
            </w:r>
          </w:p>
        </w:tc>
      </w:tr>
    </w:tbl>
    <w:p>
      <w:pPr>
        <w:spacing w:after="80"/>
      </w:pPr>
    </w:p>
    <w:p>
      <w:pPr>
        <w:pStyle w:val="Heading4"/>
      </w:pPr>
      <w:r>
        <w:rPr>
          <w:rFonts w:ascii="Arial" w:cs="Arial" w:eastAsia="Arial" w:hAnsi="Arial"/>
          <w:b/>
          <w:bCs/>
          <w:color w:val="001647"/>
          <w:sz w:val="24"/>
          <w:szCs w:val="24"/>
        </w:rPr>
        <w:t xml:space="preserve">WF-OFFBOARD-003: MSP Transfer Knowledge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Learning + vC-Suite</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Runbook/SOP handover → Client documentation transfer → Relationship context transfer → Risk register handover → Outstanding action items → Handover acceptance</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Knowledge Management</w:t>
            </w:r>
          </w:p>
        </w:tc>
      </w:tr>
    </w:tbl>
    <w:p>
      <w:pPr>
        <w:spacing w:after="80"/>
      </w:pPr>
    </w:p>
    <w:p>
      <w:pPr>
        <w:pStyle w:val="Heading4"/>
      </w:pPr>
      <w:r>
        <w:rPr>
          <w:rFonts w:ascii="Arial" w:cs="Arial" w:eastAsia="Arial" w:hAnsi="Arial"/>
          <w:b/>
          <w:bCs/>
          <w:color w:val="001647"/>
          <w:sz w:val="24"/>
          <w:szCs w:val="24"/>
        </w:rPr>
        <w:t xml:space="preserve">WF-OFFBOARD-004: MSP Transfer Access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 DevOps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New MSP access provisioning → Parallel access period → Old MSP access revocation → Credential rotation → Security audit → Transition verification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NIST SP 800-53, Zero Trust Architecture</w:t>
            </w:r>
          </w:p>
        </w:tc>
      </w:tr>
    </w:tbl>
    <w:p>
      <w:pPr>
        <w:spacing w:after="80"/>
      </w:pPr>
    </w:p>
    <w:p>
      <w:pPr>
        <w:pStyle w:val="Heading4"/>
      </w:pPr>
      <w:r>
        <w:rPr>
          <w:rFonts w:ascii="Arial" w:cs="Arial" w:eastAsia="Arial" w:hAnsi="Arial"/>
          <w:b/>
          <w:bCs/>
          <w:color w:val="001647"/>
          <w:sz w:val="24"/>
          <w:szCs w:val="24"/>
        </w:rPr>
        <w:t xml:space="preserve">WF-OFFBOARD-005: MSP Transfer Billing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Accounting</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Final reconciliation → Pro-rata billing → Contract termination → License transfer → Financial close documentation → Billing confirmation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ASC 606, GAAP</w:t>
            </w:r>
          </w:p>
        </w:tc>
      </w:tr>
    </w:tbl>
    <w:p>
      <w:pPr>
        <w:spacing w:after="80"/>
      </w:pPr>
    </w:p>
    <w:p>
      <w:pPr>
        <w:pStyle w:val="Heading3"/>
      </w:pPr>
      <w:r>
        <w:rPr>
          <w:rFonts w:ascii="Arial" w:cs="Arial" w:eastAsia="Arial" w:hAnsi="Arial"/>
          <w:b/>
          <w:bCs/>
          <w:color w:val="001647"/>
          <w:sz w:val="26"/>
          <w:szCs w:val="26"/>
        </w:rPr>
        <w:t xml:space="preserve">4.4.2 Platform Exit Workflows</w:t>
      </w:r>
    </w:p>
    <w:p>
      <w:pPr>
        <w:spacing w:after="80"/>
      </w:pPr>
    </w:p>
    <w:p>
      <w:pPr>
        <w:pStyle w:val="Heading4"/>
      </w:pPr>
      <w:r>
        <w:rPr>
          <w:rFonts w:ascii="Arial" w:cs="Arial" w:eastAsia="Arial" w:hAnsi="Arial"/>
          <w:b/>
          <w:bCs/>
          <w:color w:val="001647"/>
          <w:sz w:val="24"/>
          <w:szCs w:val="24"/>
        </w:rPr>
        <w:t xml:space="preserve">WF-OFFBOARD-006: Platform Exit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vC-Suite + DevOps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Exit notification → Destination system identification → Data mapping → Migration timeline → Co-existence plan → Exit readiness assessment</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45%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EU Data Act</w:t>
            </w:r>
          </w:p>
        </w:tc>
      </w:tr>
    </w:tbl>
    <w:p>
      <w:pPr>
        <w:spacing w:after="80"/>
      </w:pPr>
    </w:p>
    <w:p>
      <w:pPr>
        <w:pStyle w:val="Heading4"/>
      </w:pPr>
      <w:r>
        <w:rPr>
          <w:rFonts w:ascii="Arial" w:cs="Arial" w:eastAsia="Arial" w:hAnsi="Arial"/>
          <w:b/>
          <w:bCs/>
          <w:color w:val="001647"/>
          <w:sz w:val="24"/>
          <w:szCs w:val="24"/>
        </w:rPr>
        <w:t xml:space="preserve">WF-OFFBOARD-007: Platform Exit Data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Full platform data export (open formats: CSV, JSON, XML) → Attachment/file export → Configuration export → API access for custom extraction → Data validation → Export certification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EU Data Act, GDPR Art. 20</w:t>
            </w:r>
          </w:p>
        </w:tc>
      </w:tr>
    </w:tbl>
    <w:p>
      <w:pPr>
        <w:spacing w:after="80"/>
      </w:pPr>
    </w:p>
    <w:p>
      <w:pPr>
        <w:pStyle w:val="Heading4"/>
      </w:pPr>
      <w:r>
        <w:rPr>
          <w:rFonts w:ascii="Arial" w:cs="Arial" w:eastAsia="Arial" w:hAnsi="Arial"/>
          <w:b/>
          <w:bCs/>
          <w:color w:val="001647"/>
          <w:sz w:val="24"/>
          <w:szCs w:val="24"/>
        </w:rPr>
        <w:t xml:space="preserve">WF-OFFBOARD-008: Platform Exit Compliance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GRC + Security</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Compliance evidence archive → Audit trail export → Policy document package → Certification records → Ongoing compliance bridge documentation → Handover verification</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SOC 2, ISO 27001</w:t>
            </w:r>
          </w:p>
        </w:tc>
      </w:tr>
    </w:tbl>
    <w:p>
      <w:pPr>
        <w:spacing w:after="80"/>
      </w:pPr>
    </w:p>
    <w:p>
      <w:pPr>
        <w:pStyle w:val="Heading4"/>
      </w:pPr>
      <w:r>
        <w:rPr>
          <w:rFonts w:ascii="Arial" w:cs="Arial" w:eastAsia="Arial" w:hAnsi="Arial"/>
          <w:b/>
          <w:bCs/>
          <w:color w:val="001647"/>
          <w:sz w:val="24"/>
          <w:szCs w:val="24"/>
        </w:rPr>
        <w:t xml:space="preserve">WF-OFFBOARD-009: Platform Exit Decommission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 + Security</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Steps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Integration disconnection → Agent removal → Environment teardown → Data retention compliance → Final security audit → Account closure → Decommission certificate</w:t>
            </w:r>
          </w:p>
        </w:tc>
      </w:tr>
      <w:t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AI Automation</w:t>
            </w:r>
          </w:p>
        </w:tc>
        <w:tc>
          <w:tcPr>
            <w:tcW w:type="dxa" w:w="69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60%</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Standards</w:t>
            </w:r>
          </w:p>
        </w:tc>
        <w:tc>
          <w:tcPr>
            <w:tcW w:type="dxa" w:w="69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NIST SP 800-88 (Media Sanitization)</w:t>
            </w:r>
          </w:p>
        </w:tc>
      </w:tr>
    </w:tbl>
    <w:p>
      <w:pPr>
        <w:spacing w:after="80"/>
      </w:pPr>
    </w:p>
    <w:p>
      <w:r>
        <w:br w:type="page"/>
      </w:r>
    </w:p>
    <w:p>
      <w:pPr>
        <w:pStyle w:val="Heading1"/>
      </w:pPr>
      <w:r>
        <w:rPr>
          <w:rFonts w:ascii="Arial" w:cs="Arial" w:eastAsia="Arial" w:hAnsi="Arial"/>
          <w:b/>
          <w:bCs/>
          <w:color w:val="001647"/>
          <w:sz w:val="36"/>
          <w:szCs w:val="36"/>
        </w:rPr>
        <w:t xml:space="preserve">5. Business Development Zone Integration</w:t>
      </w:r>
    </w:p>
    <w:p>
      <w:pPr>
        <w:pBdr>
          <w:bottom w:val="single" w:color="79C600" w:sz="3"/>
        </w:pBdr>
        <w:spacing w:after="120"/>
      </w:pPr>
    </w:p>
    <w:p>
      <w:pPr>
        <w:pStyle w:val="Heading2"/>
      </w:pPr>
      <w:r>
        <w:rPr>
          <w:rFonts w:ascii="Arial" w:cs="Arial" w:eastAsia="Arial" w:hAnsi="Arial"/>
          <w:b/>
          <w:bCs/>
          <w:color w:val="001647"/>
          <w:sz w:val="30"/>
          <w:szCs w:val="30"/>
        </w:rPr>
        <w:t xml:space="preserve">5.1 New Sub-Entry Point: Journey &amp; Workflow Orchestrator</w:t>
      </w:r>
    </w:p>
    <w:p>
      <w:pPr>
        <w:spacing w:after="120"/>
      </w:pPr>
      <w:r>
        <w:rPr>
          <w:rFonts w:ascii="Arial" w:cs="Arial" w:eastAsia="Arial" w:hAnsi="Arial"/>
          <w:sz w:val="24"/>
          <w:szCs w:val="24"/>
        </w:rPr>
        <w:t xml:space="preserve">The Journey &amp; Workflow Orchestrator is a new sub-entry point within the Business Development zone (Zone 8), positioned between Client Onboarding and Referral &amp; Partnerships. It serves as the central command interface for activating, managing, and monitoring all journeys and workflows.</w:t>
      </w:r>
    </w:p>
    <w:p>
      <w:pPr>
        <w:spacing w:after="20"/>
        <w:ind w:left="400"/>
      </w:pPr>
      <w:r>
        <w:rPr>
          <w:rFonts w:ascii="Courier New" w:cs="Courier New" w:eastAsia="Courier New" w:hAnsi="Courier New"/>
          <w:color w:val="001647"/>
          <w:sz w:val="19"/>
          <w:szCs w:val="19"/>
        </w:rPr>
        <w:t xml:space="preserve">Business Development</w:t>
      </w:r>
    </w:p>
    <w:p>
      <w:pPr>
        <w:spacing w:after="20"/>
        <w:ind w:left="400"/>
      </w:pPr>
      <w:r>
        <w:rPr>
          <w:rFonts w:ascii="Courier New" w:cs="Courier New" w:eastAsia="Courier New" w:hAnsi="Courier New"/>
          <w:color w:val="001647"/>
          <w:sz w:val="19"/>
          <w:szCs w:val="19"/>
        </w:rPr>
        <w:t xml:space="preserve">  ├── Pipeline (existing)</w:t>
      </w:r>
    </w:p>
    <w:p>
      <w:pPr>
        <w:spacing w:after="20"/>
        <w:ind w:left="400"/>
      </w:pPr>
      <w:r>
        <w:rPr>
          <w:rFonts w:ascii="Courier New" w:cs="Courier New" w:eastAsia="Courier New" w:hAnsi="Courier New"/>
          <w:color w:val="001647"/>
          <w:sz w:val="19"/>
          <w:szCs w:val="19"/>
        </w:rPr>
        <w:t xml:space="preserve">  ├── Marketing (existing)</w:t>
      </w:r>
    </w:p>
    <w:p>
      <w:pPr>
        <w:spacing w:after="20"/>
        <w:ind w:left="400"/>
      </w:pPr>
      <w:r>
        <w:rPr>
          <w:rFonts w:ascii="Courier New" w:cs="Courier New" w:eastAsia="Courier New" w:hAnsi="Courier New"/>
          <w:color w:val="001647"/>
          <w:sz w:val="19"/>
          <w:szCs w:val="19"/>
        </w:rPr>
        <w:t xml:space="preserve">  ├── CPQ / Quoting (existing)</w:t>
      </w:r>
    </w:p>
    <w:p>
      <w:pPr>
        <w:spacing w:after="20"/>
        <w:ind w:left="400"/>
      </w:pPr>
      <w:r>
        <w:rPr>
          <w:rFonts w:ascii="Courier New" w:cs="Courier New" w:eastAsia="Courier New" w:hAnsi="Courier New"/>
          <w:color w:val="001647"/>
          <w:sz w:val="19"/>
          <w:szCs w:val="19"/>
        </w:rPr>
        <w:t xml:space="preserve">  ├── Client Onboarding (existing — enhanced)</w:t>
      </w:r>
    </w:p>
    <w:p>
      <w:pPr>
        <w:spacing w:after="20"/>
        <w:ind w:left="400"/>
      </w:pPr>
      <w:r>
        <w:rPr>
          <w:rFonts w:ascii="Courier New" w:cs="Courier New" w:eastAsia="Courier New" w:hAnsi="Courier New"/>
          <w:color w:val="001647"/>
          <w:sz w:val="19"/>
          <w:szCs w:val="19"/>
        </w:rPr>
        <w:t xml:space="preserve">  ├── Journey &amp; Workflow Orchestrator (NEW)</w:t>
      </w:r>
    </w:p>
    <w:p>
      <w:pPr>
        <w:spacing w:after="20"/>
        <w:ind w:left="400"/>
      </w:pPr>
      <w:r>
        <w:rPr>
          <w:rFonts w:ascii="Courier New" w:cs="Courier New" w:eastAsia="Courier New" w:hAnsi="Courier New"/>
          <w:color w:val="001647"/>
          <w:sz w:val="19"/>
          <w:szCs w:val="19"/>
        </w:rPr>
        <w:t xml:space="preserve">  │   ├── Journey Manager</w:t>
      </w:r>
    </w:p>
    <w:p>
      <w:pPr>
        <w:spacing w:after="20"/>
        <w:ind w:left="400"/>
      </w:pPr>
      <w:r>
        <w:rPr>
          <w:rFonts w:ascii="Courier New" w:cs="Courier New" w:eastAsia="Courier New" w:hAnsi="Courier New"/>
          <w:color w:val="001647"/>
          <w:sz w:val="19"/>
          <w:szCs w:val="19"/>
        </w:rPr>
        <w:t xml:space="preserve">  │   │   ├── Website Journeys        [One-click enable/disable per role journey]</w:t>
      </w:r>
    </w:p>
    <w:p>
      <w:pPr>
        <w:spacing w:after="20"/>
        <w:ind w:left="400"/>
      </w:pPr>
      <w:r>
        <w:rPr>
          <w:rFonts w:ascii="Courier New" w:cs="Courier New" w:eastAsia="Courier New" w:hAnsi="Courier New"/>
          <w:color w:val="001647"/>
          <w:sz w:val="19"/>
          <w:szCs w:val="19"/>
        </w:rPr>
        <w:t xml:space="preserve">  │   │   ├── In-App Journeys         [One-click enable welcome, walkthrough, activation]</w:t>
      </w:r>
    </w:p>
    <w:p>
      <w:pPr>
        <w:spacing w:after="20"/>
        <w:ind w:left="400"/>
      </w:pPr>
      <w:r>
        <w:rPr>
          <w:rFonts w:ascii="Courier New" w:cs="Courier New" w:eastAsia="Courier New" w:hAnsi="Courier New"/>
          <w:color w:val="001647"/>
          <w:sz w:val="19"/>
          <w:szCs w:val="19"/>
        </w:rPr>
        <w:t xml:space="preserve">  │   │   └── Lifecycle Journeys      [One-click enable lifecycle journey templates]</w:t>
      </w:r>
    </w:p>
    <w:p>
      <w:pPr>
        <w:spacing w:after="20"/>
        <w:ind w:left="400"/>
      </w:pPr>
      <w:r>
        <w:rPr>
          <w:rFonts w:ascii="Courier New" w:cs="Courier New" w:eastAsia="Courier New" w:hAnsi="Courier New"/>
          <w:color w:val="001647"/>
          <w:sz w:val="19"/>
          <w:szCs w:val="19"/>
        </w:rPr>
        <w:t xml:space="preserve">  │   ├── Workflow Library</w:t>
      </w:r>
    </w:p>
    <w:p>
      <w:pPr>
        <w:spacing w:after="20"/>
        <w:ind w:left="400"/>
      </w:pPr>
      <w:r>
        <w:rPr>
          <w:rFonts w:ascii="Courier New" w:cs="Courier New" w:eastAsia="Courier New" w:hAnsi="Courier New"/>
          <w:color w:val="001647"/>
          <w:sz w:val="19"/>
          <w:szCs w:val="19"/>
        </w:rPr>
        <w:t xml:space="preserve">  │   │   ├── Preparation Workflows   [Starter set — one-click activate]</w:t>
      </w:r>
    </w:p>
    <w:p>
      <w:pPr>
        <w:spacing w:after="20"/>
        <w:ind w:left="400"/>
      </w:pPr>
      <w:r>
        <w:rPr>
          <w:rFonts w:ascii="Courier New" w:cs="Courier New" w:eastAsia="Courier New" w:hAnsi="Courier New"/>
          <w:color w:val="001647"/>
          <w:sz w:val="19"/>
          <w:szCs w:val="19"/>
        </w:rPr>
        <w:t xml:space="preserve">  │   │   ├── Migration Workflows     [Starter set — one-click activate]</w:t>
      </w:r>
    </w:p>
    <w:p>
      <w:pPr>
        <w:spacing w:after="20"/>
        <w:ind w:left="400"/>
      </w:pPr>
      <w:r>
        <w:rPr>
          <w:rFonts w:ascii="Courier New" w:cs="Courier New" w:eastAsia="Courier New" w:hAnsi="Courier New"/>
          <w:color w:val="001647"/>
          <w:sz w:val="19"/>
          <w:szCs w:val="19"/>
        </w:rPr>
        <w:t xml:space="preserve">  │   │   ├── Management Workflows    [Starter set — one-click activate]</w:t>
      </w:r>
    </w:p>
    <w:p>
      <w:pPr>
        <w:spacing w:after="20"/>
        <w:ind w:left="400"/>
      </w:pPr>
      <w:r>
        <w:rPr>
          <w:rFonts w:ascii="Courier New" w:cs="Courier New" w:eastAsia="Courier New" w:hAnsi="Courier New"/>
          <w:color w:val="001647"/>
          <w:sz w:val="19"/>
          <w:szCs w:val="19"/>
        </w:rPr>
        <w:t xml:space="preserve">  │   │   └── Offboarding Workflows   [Starter set — one-click activate]</w:t>
      </w:r>
    </w:p>
    <w:p>
      <w:pPr>
        <w:spacing w:after="20"/>
        <w:ind w:left="400"/>
      </w:pPr>
      <w:r>
        <w:rPr>
          <w:rFonts w:ascii="Courier New" w:cs="Courier New" w:eastAsia="Courier New" w:hAnsi="Courier New"/>
          <w:color w:val="001647"/>
          <w:sz w:val="19"/>
          <w:szCs w:val="19"/>
        </w:rPr>
        <w:t xml:space="preserve">  │   ├── Workflow Builder            [Visual BPMN-style workflow editor]</w:t>
      </w:r>
    </w:p>
    <w:p>
      <w:pPr>
        <w:spacing w:after="20"/>
        <w:ind w:left="400"/>
      </w:pPr>
      <w:r>
        <w:rPr>
          <w:rFonts w:ascii="Courier New" w:cs="Courier New" w:eastAsia="Courier New" w:hAnsi="Courier New"/>
          <w:color w:val="001647"/>
          <w:sz w:val="19"/>
          <w:szCs w:val="19"/>
        </w:rPr>
        <w:t xml:space="preserve">  │   └── Analytics</w:t>
      </w:r>
    </w:p>
    <w:p>
      <w:pPr>
        <w:spacing w:after="20"/>
        <w:ind w:left="400"/>
      </w:pPr>
      <w:r>
        <w:rPr>
          <w:rFonts w:ascii="Courier New" w:cs="Courier New" w:eastAsia="Courier New" w:hAnsi="Courier New"/>
          <w:color w:val="001647"/>
          <w:sz w:val="19"/>
          <w:szCs w:val="19"/>
        </w:rPr>
        <w:t xml:space="preserve">  │       ├── Journey Performance     [Conversion funnels, drop-off, A/B results]</w:t>
      </w:r>
    </w:p>
    <w:p>
      <w:pPr>
        <w:spacing w:after="20"/>
        <w:ind w:left="400"/>
      </w:pPr>
      <w:r>
        <w:rPr>
          <w:rFonts w:ascii="Courier New" w:cs="Courier New" w:eastAsia="Courier New" w:hAnsi="Courier New"/>
          <w:color w:val="001647"/>
          <w:sz w:val="19"/>
          <w:szCs w:val="19"/>
        </w:rPr>
        <w:t xml:space="preserve">  │       └── Workflow Efficiency     [Completion rates, time-to-complete, automation]</w:t>
      </w:r>
    </w:p>
    <w:p>
      <w:pPr>
        <w:spacing w:after="20"/>
        <w:ind w:left="400"/>
      </w:pPr>
      <w:r>
        <w:rPr>
          <w:rFonts w:ascii="Courier New" w:cs="Courier New" w:eastAsia="Courier New" w:hAnsi="Courier New"/>
          <w:color w:val="001647"/>
          <w:sz w:val="19"/>
          <w:szCs w:val="19"/>
        </w:rPr>
        <w:t xml:space="preserve">  └── Referral &amp; Partnerships (existing)</w:t>
      </w:r>
    </w:p>
    <w:p>
      <w:pPr>
        <w:spacing w:after="80"/>
      </w:pPr>
    </w:p>
    <w:p>
      <w:pPr>
        <w:pStyle w:val="Heading2"/>
      </w:pPr>
      <w:r>
        <w:rPr>
          <w:rFonts w:ascii="Arial" w:cs="Arial" w:eastAsia="Arial" w:hAnsi="Arial"/>
          <w:b/>
          <w:bCs/>
          <w:color w:val="001647"/>
          <w:sz w:val="30"/>
          <w:szCs w:val="30"/>
        </w:rPr>
        <w:t xml:space="preserve">5.2 One-Click Enable Architecture</w:t>
      </w:r>
    </w:p>
    <w:p>
      <w:pPr>
        <w:spacing w:after="120"/>
      </w:pPr>
      <w:r>
        <w:rPr>
          <w:rFonts w:ascii="Arial" w:cs="Arial" w:eastAsia="Arial" w:hAnsi="Arial"/>
          <w:sz w:val="24"/>
          <w:szCs w:val="24"/>
        </w:rPr>
        <w:t xml:space="preserve">Each journey and workflow type supports one-click activation with defined prerequisites, configuration options, and rollback mechanisms.</w:t>
      </w:r>
    </w:p>
    <w:p>
      <w:pPr>
        <w:pStyle w:val="Heading3"/>
      </w:pPr>
      <w:r>
        <w:rPr>
          <w:rFonts w:ascii="Arial" w:cs="Arial" w:eastAsia="Arial" w:hAnsi="Arial"/>
          <w:b/>
          <w:bCs/>
          <w:color w:val="001647"/>
          <w:sz w:val="26"/>
          <w:szCs w:val="26"/>
        </w:rPr>
        <w:t xml:space="preserve">5.2.1 Website Journey Enable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Action</w:t>
            </w:r>
          </w:p>
        </w:tc>
        <w:tc>
          <w:tcPr>
            <w:tcW w:type="dxa" w:w="7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Activates role-specific landing page routing, personalization rules, and conversion tracking</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Prerequisites</w:t>
            </w:r>
          </w:p>
        </w:tc>
        <w:tc>
          <w:tcPr>
            <w:tcW w:type="dxa" w:w="7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 deployed, analytics connected, content approved per role</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Configuration</w:t>
            </w:r>
          </w:p>
        </w:tc>
        <w:tc>
          <w:tcPr>
            <w:tcW w:type="dxa" w:w="7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Role targeting rules, A/B test variants, CTA destinations, tracking pixel integration</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Rollback</w:t>
            </w:r>
          </w:p>
        </w:tc>
        <w:tc>
          <w:tcPr>
            <w:tcW w:type="dxa" w:w="7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Instant disable with traffic routing to default pages; no data loss</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Activation Time</w:t>
            </w:r>
          </w:p>
        </w:tc>
        <w:tc>
          <w:tcPr>
            <w:tcW w:type="dxa" w:w="7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&lt; 30 seconds for full journey activation</w:t>
            </w:r>
          </w:p>
        </w:tc>
      </w:tr>
    </w:tbl>
    <w:p>
      <w:pPr>
        <w:spacing w:after="80"/>
      </w:pPr>
    </w:p>
    <w:p>
      <w:pPr>
        <w:pStyle w:val="Heading3"/>
      </w:pPr>
      <w:r>
        <w:rPr>
          <w:rFonts w:ascii="Arial" w:cs="Arial" w:eastAsia="Arial" w:hAnsi="Arial"/>
          <w:b/>
          <w:bCs/>
          <w:color w:val="001647"/>
          <w:sz w:val="26"/>
          <w:szCs w:val="26"/>
        </w:rPr>
        <w:t xml:space="preserve">5.2.2 In-App Journey Enable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Action</w:t>
            </w:r>
          </w:p>
        </w:tc>
        <w:tc>
          <w:tcPr>
            <w:tcW w:type="dxa" w:w="7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Activates welcome flow, guided walkthrough, and contextual tooltips for specified roles/accounts</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Prerequisites</w:t>
            </w:r>
          </w:p>
        </w:tc>
        <w:tc>
          <w:tcPr>
            <w:tcW w:type="dxa" w:w="7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In-app journey engine configured, demo/sandbox data loaded, role assignments complete</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Configuration</w:t>
            </w:r>
          </w:p>
        </w:tc>
        <w:tc>
          <w:tcPr>
            <w:tcW w:type="dxa" w:w="7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Journey steps, tooltip content, progress tracking, success criteria, role targeting</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Rollback</w:t>
            </w:r>
          </w:p>
        </w:tc>
        <w:tc>
          <w:tcPr>
            <w:tcW w:type="dxa" w:w="7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Instant disable; users see standard interface without guided elements</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Activation Time</w:t>
            </w:r>
          </w:p>
        </w:tc>
        <w:tc>
          <w:tcPr>
            <w:tcW w:type="dxa" w:w="7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&lt; 15 seconds; applies to new sessions immediately</w:t>
            </w:r>
          </w:p>
        </w:tc>
      </w:tr>
    </w:tbl>
    <w:p>
      <w:pPr>
        <w:spacing w:after="80"/>
      </w:pPr>
    </w:p>
    <w:p>
      <w:pPr>
        <w:pStyle w:val="Heading3"/>
      </w:pPr>
      <w:r>
        <w:rPr>
          <w:rFonts w:ascii="Arial" w:cs="Arial" w:eastAsia="Arial" w:hAnsi="Arial"/>
          <w:b/>
          <w:bCs/>
          <w:color w:val="001647"/>
          <w:sz w:val="26"/>
          <w:szCs w:val="26"/>
        </w:rPr>
        <w:t xml:space="preserve">5.2.3 Workflow Enable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Action</w:t>
            </w:r>
          </w:p>
        </w:tc>
        <w:tc>
          <w:tcPr>
            <w:tcW w:type="dxa" w:w="7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Instantiates workflow templates into active workflows for a specific client/organization</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Prerequisites</w:t>
            </w:r>
          </w:p>
        </w:tc>
        <w:tc>
          <w:tcPr>
            <w:tcW w:type="dxa" w:w="7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Zone access configured, integrations connected, role assignments complete</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Configuration</w:t>
            </w:r>
          </w:p>
        </w:tc>
        <w:tc>
          <w:tcPr>
            <w:tcW w:type="dxa" w:w="7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Workflow steps, SLA timers, escalation rules, AI automation thresholds, HITL approval rules</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Rollback</w:t>
            </w:r>
          </w:p>
        </w:tc>
        <w:tc>
          <w:tcPr>
            <w:tcW w:type="dxa" w:w="7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Archive workflow instance; in-flight steps complete but no new instances created</w:t>
            </w:r>
          </w:p>
        </w:tc>
      </w:tr>
      <w:t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Activation Time</w:t>
            </w:r>
          </w:p>
        </w:tc>
        <w:tc>
          <w:tcPr>
            <w:tcW w:type="dxa" w:w="7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&lt; 60 seconds for full workflow instantiation and configuration</w:t>
            </w:r>
          </w:p>
        </w:tc>
      </w:tr>
    </w:tbl>
    <w:p>
      <w:pPr>
        <w:spacing w:after="80"/>
      </w:pPr>
    </w:p>
    <w:p>
      <w:pPr>
        <w:pStyle w:val="Heading2"/>
      </w:pPr>
      <w:r>
        <w:rPr>
          <w:rFonts w:ascii="Arial" w:cs="Arial" w:eastAsia="Arial" w:hAnsi="Arial"/>
          <w:b/>
          <w:bCs/>
          <w:color w:val="001647"/>
          <w:sz w:val="30"/>
          <w:szCs w:val="30"/>
        </w:rPr>
        <w:t xml:space="preserve">5.3 Cross-Zone Integration Points</w:t>
      </w:r>
    </w:p>
    <w:p>
      <w:pPr>
        <w:spacing w:after="120"/>
      </w:pPr>
      <w:r>
        <w:rPr>
          <w:rFonts w:ascii="Arial" w:cs="Arial" w:eastAsia="Arial" w:hAnsi="Arial"/>
          <w:sz w:val="24"/>
          <w:szCs w:val="24"/>
        </w:rPr>
        <w:t xml:space="preserve">The Journey &amp; Workflow Orchestrator connects to all other zones through defined integration points. Each connection specifies direction, data flow,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Connection</w:t>
            </w:r>
          </w:p>
        </w:tc>
        <w:tc>
          <w:tcPr>
            <w:tcW w:type="dxa" w:w="1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Direction</w:t>
            </w:r>
          </w:p>
        </w:tc>
        <w:tc>
          <w:tcPr>
            <w:tcW w:type="dxa" w:w="61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Purpose</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Analytics</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Push</w:t>
            </w:r>
          </w:p>
        </w:tc>
        <w:tc>
          <w:tcPr>
            <w:tcW w:type="dxa" w:w="6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Journey/workflow performance data feeds executive dashboards and predictive models</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vC-Suite</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Push/Pull</w:t>
            </w:r>
          </w:p>
        </w:tc>
        <w:tc>
          <w:tcPr>
            <w:tcW w:type="dxa" w:w="6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Client lifecycle journey status feeds QBR preparation; at-risk signals from vC-Suite trigger retention workflows</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Projects</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Push</w:t>
            </w:r>
          </w:p>
        </w:tc>
        <w:tc>
          <w:tcPr>
            <w:tcW w:type="dxa" w:w="6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 workflows create project records via Deal-to-Delivery handoff; workflow milestones sync to project timelines</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Service Desk</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Push</w:t>
            </w:r>
          </w:p>
        </w:tc>
        <w:tc>
          <w:tcPr>
            <w:tcW w:type="dxa" w:w="6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 workflows configure ticket routing rules; SLA definitions propagate from workflow configuration</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Learning</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Push</w:t>
            </w:r>
          </w:p>
        </w:tc>
        <w:tc>
          <w:tcPr>
            <w:tcW w:type="dxa" w:w="6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In-app journeys trigger learning path activation; walkthrough completion data feeds skill assessment</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Security</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Push</w:t>
            </w:r>
          </w:p>
        </w:tc>
        <w:tc>
          <w:tcPr>
            <w:tcW w:type="dxa" w:w="6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 and offboarding workflows trigger security reviews; access provisioning/revocation workflows execute in Security zone</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GRC</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Push</w:t>
            </w:r>
          </w:p>
        </w:tc>
        <w:tc>
          <w:tcPr>
            <w:tcW w:type="dxa" w:w="6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Compliance workflows link to framework assessments; migration workflows trigger compliance baseline establishment</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DevOps</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Push</w:t>
            </w:r>
          </w:p>
        </w:tc>
        <w:tc>
          <w:tcPr>
            <w:tcW w:type="dxa" w:w="6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Data export/import workflows use integration layer; environment provisioning executes in DevOps zone</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Accounting</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Push</w:t>
            </w:r>
          </w:p>
        </w:tc>
        <w:tc>
          <w:tcPr>
            <w:tcW w:type="dxa" w:w="6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Offboarding workflows trigger billing close; onboarding workflows configure billing setup</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Network Ops</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Push</w:t>
            </w:r>
          </w:p>
        </w:tc>
        <w:tc>
          <w:tcPr>
            <w:tcW w:type="dxa" w:w="6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 workflows trigger network baseline transfer; management workflows configure monitoring thresholds</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Endpoints</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Push</w:t>
            </w:r>
          </w:p>
        </w:tc>
        <w:tc>
          <w:tcPr>
            <w:tcW w:type="dxa" w:w="6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 workflows trigger agent deployment; management workflows configure patch policies</w:t>
            </w:r>
          </w:p>
        </w:tc>
      </w:tr>
    </w:tbl>
    <w:p>
      <w:pPr>
        <w:spacing w:after="80"/>
      </w:pPr>
    </w:p>
    <w:p>
      <w:r>
        <w:br w:type="page"/>
      </w:r>
    </w:p>
    <w:p>
      <w:pPr>
        <w:pStyle w:val="Heading1"/>
      </w:pPr>
      <w:r>
        <w:rPr>
          <w:rFonts w:ascii="Arial" w:cs="Arial" w:eastAsia="Arial" w:hAnsi="Arial"/>
          <w:b/>
          <w:bCs/>
          <w:color w:val="001647"/>
          <w:sz w:val="36"/>
          <w:szCs w:val="36"/>
        </w:rPr>
        <w:t xml:space="preserve">6. Standards Compliance Matrix</w:t>
      </w:r>
    </w:p>
    <w:p>
      <w:pPr>
        <w:pBdr>
          <w:bottom w:val="single" w:color="79C600" w:sz="3"/>
        </w:pBdr>
        <w:spacing w:after="120"/>
      </w:pPr>
    </w:p>
    <w:p>
      <w:pPr>
        <w:spacing w:after="120"/>
      </w:pPr>
      <w:r>
        <w:rPr>
          <w:rFonts w:ascii="Arial" w:cs="Arial" w:eastAsia="Arial" w:hAnsi="Arial"/>
          <w:sz w:val="24"/>
          <w:szCs w:val="24"/>
        </w:rPr>
        <w:t xml:space="preserve">The following matrix maps each workflow category to the applicable industry standards and regulatory frameworks. This mapping ensures that every workflow in the library is designed, documented, and tested against recognized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rPr>
          <w:tblHeader/>
        </w:trPr>
        <w:tc>
          <w:tcPr>
            <w:tcW w:type="dxa" w:w="16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Standard</w:t>
            </w:r>
          </w:p>
        </w:tc>
        <w:tc>
          <w:tcPr>
            <w:tcW w:type="dxa" w:w="194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Preparation</w:t>
            </w:r>
          </w:p>
        </w:tc>
        <w:tc>
          <w:tcPr>
            <w:tcW w:type="dxa" w:w="194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Migration</w:t>
            </w:r>
          </w:p>
        </w:tc>
        <w:tc>
          <w:tcPr>
            <w:tcW w:type="dxa" w:w="194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Management</w:t>
            </w:r>
          </w:p>
        </w:tc>
        <w:tc>
          <w:tcPr>
            <w:tcW w:type="dxa" w:w="194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Offboarding</w:t>
            </w:r>
          </w:p>
        </w:tc>
      </w:tr>
      <w:tr>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ITIL 4 SVS</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Plan, Design &amp; Transition</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Obtain/Build, Deliver &amp; Support</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six activities</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Design &amp; Transition</w:t>
            </w:r>
          </w:p>
        </w:tc>
      </w:tr>
      <w:tr>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BPMN 2.0</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Workflow modeling</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Workflow modeling</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Workflow modeling</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Workflow modeling</w:t>
            </w:r>
          </w:p>
        </w:tc>
      </w:tr>
      <w:tr>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NIST CSF 2.0</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Identify, Protect</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Protect, Detect</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functions</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Recover</w:t>
            </w:r>
          </w:p>
        </w:tc>
      </w:tr>
      <w:tr>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ISO 27001</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A.5–A.8 controls</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A.8 Asset Mgmt</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A.5–A.18 (all)</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A.8, A.11</w:t>
            </w:r>
          </w:p>
        </w:tc>
      </w:tr>
      <w:tr>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EU Data Act</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Data inventory</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Portability</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Interoperability</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Portability, switching</w:t>
            </w:r>
          </w:p>
        </w:tc>
      </w:tr>
      <w:tr>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GDPR</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Art. 30 (records)</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Art. 20 (portability)</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Art. 25 (by design)</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Art. 17 (erasure), Art. 20</w:t>
            </w:r>
          </w:p>
        </w:tc>
      </w:tr>
      <w:tr>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SOC 2 TSC</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CC6, CC7</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CC8 (change mgmt)</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TSC criteria</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CC6, CC8</w:t>
            </w:r>
          </w:p>
        </w:tc>
      </w:tr>
      <w:tr>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CMMC 2.0</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 AT, AU</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CM, MA, MP</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domains</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 CM, MA</w:t>
            </w:r>
          </w:p>
        </w:tc>
      </w:tr>
      <w:tr>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ASC 606</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Revenue transition</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Revenue recognition</w:t>
            </w:r>
          </w:p>
        </w:tc>
        <w:tc>
          <w:tcPr>
            <w:tcW w:type="dxa" w:w="194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Contract termination</w:t>
            </w:r>
          </w:p>
        </w:tc>
      </w:tr>
      <w:tr>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PMBOK 7</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Initiation</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Execution</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Monitoring &amp; Control</w:t>
            </w:r>
          </w:p>
        </w:tc>
        <w:tc>
          <w:tcPr>
            <w:tcW w:type="dxa" w:w="194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Closing</w:t>
            </w:r>
          </w:p>
        </w:tc>
      </w:tr>
    </w:tbl>
    <w:p>
      <w:pPr>
        <w:spacing w:after="80"/>
      </w:pPr>
    </w:p>
    <w:p>
      <w:pPr>
        <w:pStyle w:val="Heading2"/>
      </w:pPr>
      <w:r>
        <w:rPr>
          <w:rFonts w:ascii="Arial" w:cs="Arial" w:eastAsia="Arial" w:hAnsi="Arial"/>
          <w:b/>
          <w:bCs/>
          <w:color w:val="001647"/>
          <w:sz w:val="30"/>
          <w:szCs w:val="30"/>
        </w:rPr>
        <w:t xml:space="preserve">6.1 Standards Reference URLs</w:t>
      </w:r>
    </w:p>
    <w:p>
      <w:pPr>
        <w:spacing w:after="120"/>
      </w:pPr>
      <w:r>
        <w:rPr>
          <w:rFonts w:ascii="Arial" w:cs="Arial" w:eastAsia="Arial" w:hAnsi="Arial"/>
          <w:sz w:val="24"/>
          <w:szCs w:val="24"/>
        </w:rPr>
        <w:t xml:space="preserve">The following standards are referenced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Standard</w:t>
            </w:r>
          </w:p>
        </w:tc>
        <w:tc>
          <w:tcPr>
            <w:tcW w:type="dxa" w:w="65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URL</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ITIL 4 Service Value System</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https://www.axelos.com/certifications/itil-service-management/itil-4</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BPMN 2.0 (OMG)</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https://www.omg.org/spec/BPMN/2.0</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NIST CSF 2.0</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https://www.nist.gov/cyberframework</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ISO 27001:2022</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https://www.iso.org/standard/27001</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EU Data Act</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https://digital-strategy.ec.europa.eu/en/policies/data-act</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GDPR Art. 20 (Data Portability)</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https://gdpr-info.eu/art-20-gdpr/</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SOC 2 Trust Services Criteria</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https://www.aicpa.org/resources/landing/system-and-organization-controls-soc-suite-of-services</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CMMC 2.0</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https://dodcio.defense.gov/CMMC/</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ASC 606 Revenue Recognition</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https://asc.fasb.org/606</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PMBOK 7</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https://www.pmi.org/pmbok-guide-standards</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NIST SP 800-61 (Incident Response)</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https://csrc.nist.gov/pubs/sp/800/61/r3/final</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NIST SP 800-53 (Security Controls)</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https://csrc.nist.gov/pubs/sp/800/53/r5/upd1/final</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NIST SP 800-88 (Media Sanitization)</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https://csrc.nist.gov/pubs/sp/800/88/r1/final</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MITRE ATT&amp;CK</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https://attack.mitre.org/</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CWBBs (MIT Press)</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https://doi.org/10.1162/dint_a_00135</w:t>
            </w:r>
          </w:p>
        </w:tc>
      </w:tr>
    </w:tbl>
    <w:p>
      <w:pPr>
        <w:spacing w:after="80"/>
      </w:pPr>
    </w:p>
    <w:p>
      <w:r>
        <w:br w:type="page"/>
      </w:r>
    </w:p>
    <w:p>
      <w:pPr>
        <w:pStyle w:val="Heading1"/>
      </w:pPr>
      <w:r>
        <w:rPr>
          <w:rFonts w:ascii="Arial" w:cs="Arial" w:eastAsia="Arial" w:hAnsi="Arial"/>
          <w:b/>
          <w:bCs/>
          <w:color w:val="001647"/>
          <w:sz w:val="36"/>
          <w:szCs w:val="36"/>
        </w:rPr>
        <w:t xml:space="preserve">7. Implementation Roadmap</w:t>
      </w:r>
    </w:p>
    <w:p>
      <w:pPr>
        <w:pBdr>
          <w:bottom w:val="single" w:color="79C600" w:sz="3"/>
        </w:pBdr>
        <w:spacing w:after="120"/>
      </w:pPr>
    </w:p>
    <w:p>
      <w:pPr>
        <w:spacing w:after="120"/>
      </w:pPr>
      <w:r>
        <w:rPr>
          <w:rFonts w:ascii="Arial" w:cs="Arial" w:eastAsia="Arial" w:hAnsi="Arial"/>
          <w:sz w:val="24"/>
          <w:szCs w:val="24"/>
        </w:rPr>
        <w:t xml:space="preserve">The implementation follows a phased approach, delivering value incrementally while building toward full journey and workflow orchestration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400"/>
        <w:gridCol w:w="3160"/>
      </w:tblGrid>
      <w:tr>
        <w:trPr>
          <w:tblHeader/>
        </w:trPr>
        <w:tc>
          <w:tcPr>
            <w:tcW w:type="dxa" w:w="1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Phase</w:t>
            </w:r>
          </w:p>
        </w:tc>
        <w:tc>
          <w:tcPr>
            <w:tcW w:type="dxa" w:w="1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Timeline</w:t>
            </w:r>
          </w:p>
        </w:tc>
        <w:tc>
          <w:tcPr>
            <w:tcW w:type="dxa" w:w="3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Deliverables</w:t>
            </w:r>
          </w:p>
        </w:tc>
        <w:tc>
          <w:tcPr>
            <w:tcW w:type="dxa" w:w="31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Success Criteria</w:t>
            </w:r>
          </w:p>
        </w:tc>
      </w:tr>
      <w:tr>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Phase 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Weeks 1–4</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Taxonomy schema finalization, Journey Manager UI wireframes, CWBB library architecture</w:t>
            </w:r>
          </w:p>
        </w:tc>
        <w:tc>
          <w:tcPr>
            <w:tcW w:type="dxa" w:w="3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Schema validation, wireframe approval, CWBB framework deployed</w:t>
            </w:r>
          </w:p>
        </w:tc>
      </w:tr>
      <w:tr>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Phase 2</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Weeks 5–8</w:t>
            </w:r>
          </w:p>
        </w:tc>
        <w:tc>
          <w:tcPr>
            <w:tcW w:type="dxa" w:w="3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 journey implementation (10 role journeys), In-app welcome journey (JRN-APP-WELCOME-001)</w:t>
            </w:r>
          </w:p>
        </w:tc>
        <w:tc>
          <w:tcPr>
            <w:tcW w:type="dxa" w:w="3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website journeys active, welcome journey activation rate &gt;70%</w:t>
            </w:r>
          </w:p>
        </w:tc>
      </w:tr>
      <w:tr>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Phase 3</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Weeks 9–16</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 workflow library (WF-PREP-001–008, WF-MIGRATE-001–010), Workflow Builder MVP</w:t>
            </w:r>
          </w:p>
        </w:tc>
        <w:tc>
          <w:tcPr>
            <w:tcW w:type="dxa" w:w="3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preparation and migration workflows operational, Builder functional</w:t>
            </w:r>
          </w:p>
        </w:tc>
      </w:tr>
      <w:tr>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Phase 4</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Weeks 17–24</w:t>
            </w:r>
          </w:p>
        </w:tc>
        <w:tc>
          <w:tcPr>
            <w:tcW w:type="dxa" w:w="3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 workflow library (WF-MANAGE-001–010), Offboarding workflow library (WF-OFFBOARD-001–009)</w:t>
            </w:r>
          </w:p>
        </w:tc>
        <w:tc>
          <w:tcPr>
            <w:tcW w:type="dxa" w:w="3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management and offboarding workflows operational</w:t>
            </w:r>
          </w:p>
        </w:tc>
      </w:tr>
      <w:tr>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Phase 5</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Weeks 25–32</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Analytics dashboards (journey performance, workflow efficiency), A/B testing integration, optimization</w:t>
            </w:r>
          </w:p>
        </w:tc>
        <w:tc>
          <w:tcPr>
            <w:tcW w:type="dxa" w:w="3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Full analytics coverage, A/B testing active on all website journeys</w:t>
            </w:r>
          </w:p>
        </w:tc>
      </w:tr>
    </w:tbl>
    <w:p>
      <w:pPr>
        <w:spacing w:after="80"/>
      </w:pPr>
    </w:p>
    <w:p>
      <w:pPr>
        <w:pStyle w:val="Heading2"/>
      </w:pPr>
      <w:r>
        <w:rPr>
          <w:rFonts w:ascii="Arial" w:cs="Arial" w:eastAsia="Arial" w:hAnsi="Arial"/>
          <w:b/>
          <w:bCs/>
          <w:color w:val="001647"/>
          <w:sz w:val="30"/>
          <w:szCs w:val="30"/>
        </w:rPr>
        <w:t xml:space="preserve">7.1 Phase Dependencies</w:t>
      </w:r>
    </w:p>
    <w:p>
      <w:pPr>
        <w:spacing w:after="120"/>
      </w:pPr>
      <w:r>
        <w:rPr>
          <w:rFonts w:ascii="Arial" w:cs="Arial" w:eastAsia="Arial" w:hAnsi="Arial"/>
          <w:sz w:val="24"/>
          <w:szCs w:val="24"/>
        </w:rPr>
        <w:t xml:space="preserve">Each phase builds on the previous, with specific dependency gates:</w:t>
      </w:r>
    </w:p>
    <w:p>
      <w:pPr>
        <w:pStyle w:val="ListParagraph"/>
        <w:numPr>
          <w:ilvl w:val="0"/>
          <w:numId w:val="2"/>
        </w:numPr>
        <w:spacing w:after="60"/>
      </w:pPr>
      <w:r>
        <w:rPr>
          <w:rFonts w:ascii="Arial" w:cs="Arial" w:eastAsia="Arial" w:hAnsi="Arial"/>
          <w:sz w:val="24"/>
          <w:szCs w:val="24"/>
        </w:rPr>
        <w:t xml:space="preserve">Phase 2 requires Phase 1 schema finalization — journey entities cannot be instantiated without validated schemas.</w:t>
      </w:r>
    </w:p>
    <w:p>
      <w:pPr>
        <w:pStyle w:val="ListParagraph"/>
        <w:numPr>
          <w:ilvl w:val="0"/>
          <w:numId w:val="2"/>
        </w:numPr>
        <w:spacing w:after="60"/>
      </w:pPr>
      <w:r>
        <w:rPr>
          <w:rFonts w:ascii="Arial" w:cs="Arial" w:eastAsia="Arial" w:hAnsi="Arial"/>
          <w:sz w:val="24"/>
          <w:szCs w:val="24"/>
        </w:rPr>
        <w:t xml:space="preserve">Phase 3 requires Phase 2 welcome journey — migration workflows reference the welcome journey for post-migration user onboarding.</w:t>
      </w:r>
    </w:p>
    <w:p>
      <w:pPr>
        <w:pStyle w:val="ListParagraph"/>
        <w:numPr>
          <w:ilvl w:val="0"/>
          <w:numId w:val="2"/>
        </w:numPr>
        <w:spacing w:after="60"/>
      </w:pPr>
      <w:r>
        <w:rPr>
          <w:rFonts w:ascii="Arial" w:cs="Arial" w:eastAsia="Arial" w:hAnsi="Arial"/>
          <w:sz w:val="24"/>
          <w:szCs w:val="24"/>
        </w:rPr>
        <w:t xml:space="preserve">Phase 4 requires Phase 3 migration workflows — management workflows assume migration is complete; offboarding workflows reference data export CWBBs from migration.</w:t>
      </w:r>
    </w:p>
    <w:p>
      <w:pPr>
        <w:pStyle w:val="ListParagraph"/>
        <w:numPr>
          <w:ilvl w:val="0"/>
          <w:numId w:val="2"/>
        </w:numPr>
        <w:spacing w:after="60"/>
      </w:pPr>
      <w:r>
        <w:rPr>
          <w:rFonts w:ascii="Arial" w:cs="Arial" w:eastAsia="Arial" w:hAnsi="Arial"/>
          <w:sz w:val="24"/>
          <w:szCs w:val="24"/>
        </w:rPr>
        <w:t xml:space="preserve">Phase 5 runs partially in parallel with Phases 3–4 — analytics infrastructure can begin collecting data as soon as workflows are active.</w:t>
      </w:r>
    </w:p>
    <w:p>
      <w:pPr>
        <w:pStyle w:val="Heading2"/>
      </w:pPr>
      <w:r>
        <w:rPr>
          <w:rFonts w:ascii="Arial" w:cs="Arial" w:eastAsia="Arial" w:hAnsi="Arial"/>
          <w:b/>
          <w:bCs/>
          <w:color w:val="001647"/>
          <w:sz w:val="30"/>
          <w:szCs w:val="30"/>
        </w:rPr>
        <w:t xml:space="preserve">7.2 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Role</w:t>
            </w:r>
          </w:p>
        </w:tc>
        <w:tc>
          <w:tcPr>
            <w:tcW w:type="dxa" w:w="16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FTE Allocation</w:t>
            </w:r>
          </w:p>
        </w:tc>
        <w:tc>
          <w:tcPr>
            <w:tcW w:type="dxa" w:w="53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Responsibilities</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Product Manager</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w:t>
            </w:r>
          </w:p>
        </w:tc>
        <w:tc>
          <w:tcPr>
            <w:tcW w:type="dxa" w:w="53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Schema design, journey mapping, acceptance criteria, stakeholder alignment</w:t>
            </w:r>
          </w:p>
        </w:tc>
      </w:tr>
      <w:tr>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UX Designer</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w:t>
            </w:r>
          </w:p>
        </w:tc>
        <w:tc>
          <w:tcPr>
            <w:tcW w:type="dxa" w:w="53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Journey Manager UI, Workflow Builder UI, in-app journey design</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Frontend Engineers</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2.0</w:t>
            </w:r>
          </w:p>
        </w:tc>
        <w:tc>
          <w:tcPr>
            <w:tcW w:type="dxa" w:w="53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Journey engine, Workflow Builder, analytics dashboards</w:t>
            </w:r>
          </w:p>
        </w:tc>
      </w:tr>
      <w:tr>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Backend Engineers</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2.0</w:t>
            </w:r>
          </w:p>
        </w:tc>
        <w:tc>
          <w:tcPr>
            <w:tcW w:type="dxa" w:w="53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Workflow execution engine, CWBB framework, API layer</w:t>
            </w:r>
          </w:p>
        </w:tc>
      </w:tr>
      <w:tr>
        <w:tc>
          <w:tcPr>
            <w:tcW w:type="dxa" w:w="2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QA Engineer</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w:t>
            </w:r>
          </w:p>
        </w:tc>
        <w:tc>
          <w:tcPr>
            <w:tcW w:type="dxa" w:w="53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Workflow testing, journey validation, regression testing</w:t>
            </w:r>
          </w:p>
        </w:tc>
      </w:tr>
      <w:tr>
        <w:tc>
          <w:tcPr>
            <w:tcW w:type="dxa" w:w="2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Technical Writer</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0.5</w:t>
            </w:r>
          </w:p>
        </w:tc>
        <w:tc>
          <w:tcPr>
            <w:tcW w:type="dxa" w:w="53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Documentation, help content, tooltip copy</w:t>
            </w:r>
          </w:p>
        </w:tc>
      </w:tr>
    </w:tbl>
    <w:p>
      <w:pPr>
        <w:spacing w:after="80"/>
      </w:pPr>
    </w:p>
    <w:p>
      <w:r>
        <w:br w:type="page"/>
      </w:r>
    </w:p>
    <w:p>
      <w:pPr>
        <w:pStyle w:val="Heading1"/>
      </w:pPr>
      <w:r>
        <w:rPr>
          <w:rFonts w:ascii="Arial" w:cs="Arial" w:eastAsia="Arial" w:hAnsi="Arial"/>
          <w:b/>
          <w:bCs/>
          <w:color w:val="001647"/>
          <w:sz w:val="36"/>
          <w:szCs w:val="36"/>
        </w:rPr>
        <w:t xml:space="preserve">8. Appendices</w:t>
      </w:r>
    </w:p>
    <w:p>
      <w:pPr>
        <w:pBdr>
          <w:bottom w:val="single" w:color="79C600" w:sz="3"/>
        </w:pBdr>
        <w:spacing w:after="120"/>
      </w:pPr>
    </w:p>
    <w:p>
      <w:pPr>
        <w:pStyle w:val="Heading2"/>
      </w:pPr>
      <w:r>
        <w:rPr>
          <w:rFonts w:ascii="Arial" w:cs="Arial" w:eastAsia="Arial" w:hAnsi="Arial"/>
          <w:b/>
          <w:bCs/>
          <w:color w:val="001647"/>
          <w:sz w:val="30"/>
          <w:szCs w:val="30"/>
        </w:rPr>
        <w:t xml:space="preserve">Appendix A: Complete Journey Registry</w:t>
      </w:r>
    </w:p>
    <w:p>
      <w:pPr>
        <w:spacing w:after="120"/>
      </w:pPr>
      <w:r>
        <w:rPr>
          <w:rFonts w:ascii="Arial" w:cs="Arial" w:eastAsia="Arial" w:hAnsi="Arial"/>
          <w:sz w:val="24"/>
          <w:szCs w:val="24"/>
        </w:rPr>
        <w:t xml:space="preserve">All defined journeys with canonical IDs, types, and target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600"/>
        <w:gridCol w:w="2760"/>
      </w:tblGrid>
      <w:tr>
        <w:trPr>
          <w:tblHeader/>
        </w:trPr>
        <w:tc>
          <w:tcPr>
            <w:tcW w:type="dxa" w:w="26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Journey ID</w:t>
            </w:r>
          </w:p>
        </w:tc>
        <w:tc>
          <w:tcPr>
            <w:tcW w:type="dxa" w:w="1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Type</w:t>
            </w:r>
          </w:p>
        </w:tc>
        <w:tc>
          <w:tcPr>
            <w:tcW w:type="dxa" w:w="26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Name</w:t>
            </w:r>
          </w:p>
        </w:tc>
        <w:tc>
          <w:tcPr>
            <w:tcW w:type="dxa" w:w="27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Target Roles</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JRN-WEB-MSP-OWNER-001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MSP Owner/CEO Website Journey</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MSP Owner/CEO</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JRN-WEB-VCIO-001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vCIO/vCISO Website Journey</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vCIO, vCISO</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JRN-WEB-SEC-ANALYST-001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Analyst Website Journey</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Analyst</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JRN-WEB-SDM-001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Service Desk Manager Website Journey</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SDM</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JRN-WEB-GRC-001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Compliance Officer Website Journey</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GRC Lead, vCCO</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JRN-WEB-PM-001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 Manager Website Journey</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 Manager</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JRN-WEB-NETENG-001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Engineer Website Journey</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Engineer</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JRN-WEB-AM-001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 Manager Website Journey</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 Manager</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JRN-WEB-FIN-001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Finance Coordinator Website Journey</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Finance Coordinator</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JRN-WEB-ITD-001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WEBSITE</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 Director Website Journey</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IT Director</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JRN-APP-WELCOME-001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Welcome Journey</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roles</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JRN-APP-WALKTHROUGH-001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Guided Interactive Walkthrough</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roles</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JRN-APP-ACT-SDM-001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SDM Activation Journey</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SDM</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JRN-APP-ACT-VCIO-001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vCIO Activation Journey</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vCIO, vCISO</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JRN-APP-ACT-SEC-001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Analyst Activation</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Analyst</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JRN-APP-ACT-PM-001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PM Activation Journey</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 Manager</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JRN-APP-ACT-GRC-001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GRC Activation Journey</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GRC Lead</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JRN-APP-ACT-NET-001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Engineer Activation</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Engineer</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JRN-APP-ACT-AM-001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 Manager Activation</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 Manager</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JRN-APP-ACT-FIN-001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Finance Activation Journey</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Finance Coordinator</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JRN-APP-ACT-ENG-001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Engineer Activation Journey</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L1/L2 Engineer</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JRN-APP-ACT-OWN-001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IN_APP</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Owner Activation Journey</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MSP Owner/CEO</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JRN-LIFE-PREP-001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LIFECYCLE</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Preparation Journey</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roles</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JRN-LIFE-MIGRATE-001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LIFECYCLE</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Migration Journey</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roles</w:t>
            </w:r>
          </w:p>
        </w:tc>
      </w:tr>
      <w:tr>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JRN-LIFE-MANAGE-001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LIFECYCLE</w:t>
            </w:r>
          </w:p>
        </w:tc>
        <w:tc>
          <w:tcPr>
            <w:tcW w:type="dxa" w:w="2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Management Journey</w:t>
            </w:r>
          </w:p>
        </w:tc>
        <w:tc>
          <w:tcPr>
            <w:tcW w:type="dxa" w:w="27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roles</w:t>
            </w:r>
          </w:p>
        </w:tc>
      </w:tr>
      <w:tr>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JRN-LIFE-OFFBOARD-001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LIFECYCLE</w:t>
            </w:r>
          </w:p>
        </w:tc>
        <w:tc>
          <w:tcPr>
            <w:tcW w:type="dxa" w:w="2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Offboarding Journey</w:t>
            </w:r>
          </w:p>
        </w:tc>
        <w:tc>
          <w:tcPr>
            <w:tcW w:type="dxa" w:w="27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All roles</w:t>
            </w:r>
          </w:p>
        </w:tc>
      </w:tr>
    </w:tbl>
    <w:p>
      <w:pPr>
        <w:spacing w:after="80"/>
      </w:pPr>
    </w:p>
    <w:p>
      <w:r>
        <w:br w:type="page"/>
      </w:r>
    </w:p>
    <w:p>
      <w:pPr>
        <w:pStyle w:val="Heading2"/>
      </w:pPr>
      <w:r>
        <w:rPr>
          <w:rFonts w:ascii="Arial" w:cs="Arial" w:eastAsia="Arial" w:hAnsi="Arial"/>
          <w:b/>
          <w:bCs/>
          <w:color w:val="001647"/>
          <w:sz w:val="30"/>
          <w:szCs w:val="30"/>
        </w:rPr>
        <w:t xml:space="preserve">Appendix B: Complete Workflow Registry</w:t>
      </w:r>
    </w:p>
    <w:p>
      <w:pPr>
        <w:spacing w:after="120"/>
      </w:pPr>
      <w:r>
        <w:rPr>
          <w:rFonts w:ascii="Arial" w:cs="Arial" w:eastAsia="Arial" w:hAnsi="Arial"/>
          <w:sz w:val="24"/>
          <w:szCs w:val="24"/>
        </w:rPr>
        <w:t xml:space="preserve">All defined workflows with canonical IDs, categories, zones, and AI automation percentages: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1800"/>
        <w:gridCol w:w="1160"/>
      </w:tblGrid>
      <w:tr>
        <w:trPr>
          <w:tblHeader/>
        </w:trPr>
        <w:tc>
          <w:tcPr>
            <w:tcW w:type="dxa" w:w="20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Workflow ID</w:t>
            </w:r>
          </w:p>
        </w:tc>
        <w:tc>
          <w:tcPr>
            <w:tcW w:type="dxa" w:w="16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Category</w:t>
            </w:r>
          </w:p>
        </w:tc>
        <w:tc>
          <w:tcPr>
            <w:tcW w:type="dxa" w:w="28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Name</w:t>
            </w:r>
          </w:p>
        </w:tc>
        <w:tc>
          <w:tcPr>
            <w:tcW w:type="dxa" w:w="18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Primary Zone(s)</w:t>
            </w:r>
          </w:p>
        </w:tc>
        <w:tc>
          <w:tcPr>
            <w:tcW w:type="dxa" w:w="11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AI Auto</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WF-PREP-001</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PREPARATION</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Readiness Assessment</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Analytics</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WF-PREP-002</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PREPARATION</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Data Audit &amp; Cleanup</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Analytics + DevOps</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WF-PREP-003</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PREPARATION</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Integration Architecture Planning</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WF-PREP-004</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PREPARATION</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Stakeholder Communication Plan</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vC-Suite</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50%</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WF-PREP-005</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PREPARATION</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&amp; Compliance Assessment</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 GRC</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WF-PREP-006</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PREPARATION</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Financial Planning &amp; ROI Baseline</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Accounting + Analytics</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65%</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WF-PREP-007</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PREPARATION</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Knowledge Base Preparation</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Learning</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WF-PREP-008</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PREPARATION</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Environment Provisioning</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85%</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WF-MIGRATE-001</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PSA Data Migration</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Projects + SD</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WF-MIGRATE-002</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RMM/Endpoint Migration</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Endpoints</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WF-MIGRATE-003</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Stack Migration</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WF-MIGRATE-004</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Documentation Migration</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Learning</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WF-MIGRATE-005</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Client Record Migration</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vC-Suite</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WF-MIGRATE-006</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Financial Data Migration</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Accounting</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WF-MIGRATE-007</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Compliance Framework Migration</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GRC</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65%</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WF-MIGRATE-008</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&amp; Infra Data Migration</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Network Ops</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WF-MIGRATE-009</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Cutover Execution</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Projects (cross)</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40%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WF-MIGRATE-010</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MIGRATION</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Post-Migration Validation</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Analytics (cross)</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WF-MANAGE-001</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Organization Administration</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WF-MANAGE-002</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Client Onboarding</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BD + vC-Suite</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60%</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WF-MANAGE-003</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Service Delivery Operations</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Service Desk</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WF-MANAGE-004</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Operations Mgmt</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WF-MANAGE-005</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Compliance Program Mgmt</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GRC</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WF-MANAGE-006</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Financial Operations</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Accounting</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WF-MANAGE-007</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Strategic Advisory</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vC-Suite</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65%</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WF-MANAGE-008</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Optimization</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Analytics + DevOps</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WF-MANAGE-009</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Team Development</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Learning</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WF-MANAGE-010</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MANAGEMENT</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 Delivery</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Projects</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55%</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WF-OFFBOARD-001</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OFFBOARDING</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MSP Transfer Preparation</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vC-Suite + BD</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50%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WF-OFFBOARD-002</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OFFBOARDING</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MSP Transfer Data Export</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 + Analytics</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WF-OFFBOARD-003</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OFFBOARDING</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MSP Transfer Knowledge Handover</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Learning + vC-Suite</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WF-OFFBOARD-004</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OFFBOARDING</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MSP Transfer Access Transition</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 DevOps</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65%</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WF-OFFBOARD-005</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OFFBOARDING</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MSP Transfer Billing Close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Accounting</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WF-OFFBOARD-006</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OFFBOARDING</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Exit Planning</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vC-Suite + DevOps</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45%</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WF-OFFBOARD-007</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OFFBOARDING</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Exit Data Export</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85%</w:t>
            </w:r>
          </w:p>
        </w:tc>
      </w:tr>
      <w:tr>
        <w:tc>
          <w:tcPr>
            <w:tcW w:type="dxa" w:w="20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WF-OFFBOARD-008</w:t>
            </w:r>
          </w:p>
        </w:tc>
        <w:tc>
          <w:tcPr>
            <w:tcW w:type="dxa" w:w="16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OFFBOARDING</w:t>
            </w:r>
          </w:p>
        </w:tc>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Exit Compliance Handover</w:t>
            </w:r>
          </w:p>
        </w:tc>
        <w:tc>
          <w:tcPr>
            <w:tcW w:type="dxa" w:w="1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GRC + Security</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0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WF-OFFBOARD-009</w:t>
            </w:r>
          </w:p>
        </w:tc>
        <w:tc>
          <w:tcPr>
            <w:tcW w:type="dxa" w:w="16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OFFBOARDING</w:t>
            </w:r>
          </w:p>
        </w:tc>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Platform Exit Decommission</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DevOps + Security</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60%</w:t>
            </w:r>
          </w:p>
        </w:tc>
      </w:tr>
    </w:tbl>
    <w:p>
      <w:pPr>
        <w:spacing w:after="80"/>
      </w:pPr>
    </w:p>
    <w:p>
      <w:r>
        <w:br w:type="page"/>
      </w:r>
    </w:p>
    <w:p>
      <w:pPr>
        <w:pStyle w:val="Heading2"/>
      </w:pPr>
      <w:r>
        <w:rPr>
          <w:rFonts w:ascii="Arial" w:cs="Arial" w:eastAsia="Arial" w:hAnsi="Arial"/>
          <w:b/>
          <w:bCs/>
          <w:color w:val="001647"/>
          <w:sz w:val="30"/>
          <w:szCs w:val="30"/>
        </w:rPr>
        <w:t xml:space="preserve">Appendix C: Canonical Workflow Building Block (CWBB) Library</w:t>
      </w:r>
    </w:p>
    <w:p>
      <w:pPr>
        <w:spacing w:after="120"/>
      </w:pPr>
      <w:r>
        <w:rPr>
          <w:rFonts w:ascii="Arial" w:cs="Arial" w:eastAsia="Arial" w:hAnsi="Arial"/>
          <w:sz w:val="24"/>
          <w:szCs w:val="24"/>
        </w:rPr>
        <w:t xml:space="preserve">CWBBs are reusable, versionable units of workflow logic. The following table lists the initial CWBB library. Each CWBB can be referenced by any workflow in the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400"/>
        <w:gridCol w:w="1200"/>
        <w:gridCol w:w="1160"/>
      </w:tblGrid>
      <w:tr>
        <w:trPr>
          <w:tblHeader/>
        </w:trPr>
        <w:tc>
          <w:tcPr>
            <w:tcW w:type="dxa" w:w="2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CWBB ID</w:t>
            </w:r>
          </w:p>
        </w:tc>
        <w:tc>
          <w:tcPr>
            <w:tcW w:type="dxa" w:w="1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Category</w:t>
            </w:r>
          </w:p>
        </w:tc>
        <w:tc>
          <w:tcPr>
            <w:tcW w:type="dxa" w:w="34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Description</w:t>
            </w:r>
          </w:p>
        </w:tc>
        <w:tc>
          <w:tcPr>
            <w:tcW w:type="dxa" w:w="12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Version</w:t>
            </w:r>
          </w:p>
        </w:tc>
        <w:tc>
          <w:tcPr>
            <w:tcW w:type="dxa" w:w="11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AI Auto</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CWBB-DATA-EXPORT-001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DATA_TRANSFER</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Export data from source system in standardized format (CSV/JSON/XML)</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85%</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CWBB-DATA-IMPORT-001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DATA_TRANSFER</w:t>
            </w:r>
          </w:p>
        </w:tc>
        <w:tc>
          <w:tcPr>
            <w:tcW w:type="dxa" w:w="3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Import data into DevOps AI with field mapping and validation</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CWBB-DATA-VALIDATE-001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VALIDATION</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Validate data integrity: completeness, accuracy, referential integrity</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90%</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CWBB-SCHEMA-MAP-001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DATA_TRANSFER</w:t>
            </w:r>
          </w:p>
        </w:tc>
        <w:tc>
          <w:tcPr>
            <w:tcW w:type="dxa" w:w="3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Map source schema fields to target schema with transformation rules</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CWBB-DEDUP-001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VALIDATION</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Detect and resolve duplicate records using fuzzy matching</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CWBB-NOTIFY-001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NOTIFICATION</w:t>
            </w:r>
          </w:p>
        </w:tc>
        <w:tc>
          <w:tcPr>
            <w:tcW w:type="dxa" w:w="3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Send role-based notification via in-app, email, or Slack/Teams</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95%</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CWBB-APPROVE-001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APPROVAL</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Route approval request to designated role with SLA timer</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70%</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CWBB-ESCALATE-001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NOTIFICATION</w:t>
            </w:r>
          </w:p>
        </w:tc>
        <w:tc>
          <w:tcPr>
            <w:tcW w:type="dxa" w:w="3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Escalate to next tier on timeout or failure condition</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85%</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CWBB-AUDIT-LOG-001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REPORTING</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Write audit log entry with actor, action, timestamp, context</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95%</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CWBB-REPORT-GEN-001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REPORTING</w:t>
            </w:r>
          </w:p>
        </w:tc>
        <w:tc>
          <w:tcPr>
            <w:tcW w:type="dxa" w:w="3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Generate formatted report from structured data template</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85%</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CWBB-API-CALL-001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INTEGRATION</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Execute authenticated API call to external system with retry</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90%</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CWBB-CRED-ROTATE-001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INTEGRATION</w:t>
            </w:r>
          </w:p>
        </w:tc>
        <w:tc>
          <w:tcPr>
            <w:tcW w:type="dxa" w:w="3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Rotate API credentials with zero-downtime swap</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CWBB-ENV-PROVISION-001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INTEGRATION</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Provision Azure environment with IaC template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85%</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CWBB-ACCESS-GRANT-001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APPROVAL</w:t>
            </w:r>
          </w:p>
        </w:tc>
        <w:tc>
          <w:tcPr>
            <w:tcW w:type="dxa" w:w="3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Grant role-based access with time-bound JIT provisioning</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CWBB-ACCESS-REVOKE-001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APPROVAL</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Revoke access with credential rotation and session termination</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80%</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CWBB-HEALTH-CHECK-001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VALIDATION</w:t>
            </w:r>
          </w:p>
        </w:tc>
        <w:tc>
          <w:tcPr>
            <w:tcW w:type="dxa" w:w="3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Execute system health check against defined criteria</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90%</w:t>
            </w:r>
          </w:p>
        </w:tc>
      </w:tr>
      <w:tr>
        <w:tc>
          <w:tcPr>
            <w:tcW w:type="dxa" w:w="2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CWBB-RECONCILE-001</w:t>
            </w:r>
          </w:p>
        </w:tc>
        <w:tc>
          <w:tcPr>
            <w:tcW w:type="dxa" w:w="1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VALIDATION</w:t>
            </w:r>
          </w:p>
        </w:tc>
        <w:tc>
          <w:tcPr>
            <w:tcW w:type="dxa" w:w="34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Three-way reconciliation of data from multiple sources</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85%</w:t>
            </w:r>
          </w:p>
        </w:tc>
      </w:tr>
      <w:tr>
        <w:tc>
          <w:tcPr>
            <w:tcW w:type="dxa" w:w="2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CWBB-COMPLIANCE-CHECK-001</w:t>
            </w:r>
          </w:p>
        </w:tc>
        <w:tc>
          <w:tcPr>
            <w:tcW w:type="dxa" w:w="1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VALIDATION</w:t>
            </w:r>
          </w:p>
        </w:tc>
        <w:tc>
          <w:tcPr>
            <w:tcW w:type="dxa" w:w="34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Validate workflow step against compliance framework controls</w:t>
            </w:r>
          </w:p>
        </w:tc>
        <w:tc>
          <w:tcPr>
            <w:tcW w:type="dxa" w:w="12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1.0.0</w:t>
            </w:r>
          </w:p>
        </w:tc>
        <w:tc>
          <w:tcPr>
            <w:tcW w:type="dxa" w:w="11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75%</w:t>
            </w:r>
          </w:p>
        </w:tc>
      </w:tr>
    </w:tbl>
    <w:p>
      <w:pPr>
        <w:spacing w:after="80"/>
      </w:pPr>
    </w:p>
    <w:p>
      <w:r>
        <w:br w:type="page"/>
      </w:r>
    </w:p>
    <w:p>
      <w:pPr>
        <w:pStyle w:val="Heading2"/>
      </w:pPr>
      <w:r>
        <w:rPr>
          <w:rFonts w:ascii="Arial" w:cs="Arial" w:eastAsia="Arial" w:hAnsi="Arial"/>
          <w:b/>
          <w:bCs/>
          <w:color w:val="001647"/>
          <w:sz w:val="30"/>
          <w:szCs w:val="30"/>
        </w:rPr>
        <w:t xml:space="preserve">Appendix D: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Term</w:t>
            </w:r>
          </w:p>
        </w:tc>
        <w:tc>
          <w:tcPr>
            <w:tcW w:type="dxa" w:w="6560"/>
            <w:tcBorders>
              <w:top w:val="single" w:color="B0B0B0" w:sz="1"/>
              <w:left w:val="single" w:color="B0B0B0" w:sz="1"/>
              <w:bottom w:val="single" w:color="B0B0B0" w:sz="1"/>
              <w:right w:val="single" w:color="B0B0B0" w:sz="1"/>
            </w:tcBorders>
            <w:shd w:fill="EDF2F7" w:val="clear"/>
            <w:tcMar>
              <w:top w:type="dxa" w:w="50"/>
              <w:left w:type="dxa" w:w="80"/>
              <w:bottom w:type="dxa" w:w="50"/>
              <w:right w:type="dxa" w:w="80"/>
            </w:tcMar>
            <w:vAlign w:val="center"/>
          </w:tcPr>
          <w:p>
            <w:pPr>
              <w:jc w:val="left"/>
            </w:pPr>
            <w:r>
              <w:rPr>
                <w:rFonts w:ascii="Arial" w:cs="Arial" w:eastAsia="Arial" w:hAnsi="Arial"/>
                <w:b/>
                <w:bCs/>
                <w:color w:val="001647"/>
                <w:sz w:val="20"/>
                <w:szCs w:val="20"/>
              </w:rPr>
              <w:t xml:space="preserve">Definition</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BPMN 2.0</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Business Process Model and Notation 2.0, the OMG standard for business process modeling using graphical notation (events, activities, gateways, swimlanes).</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Canonical ID</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 unique, immutable identifier assigned to every entity in the taxonomy. Format follows the pattern: TYPE-CATEGORY-NAME-SEQUENCE (e.g., WF-PREP-001).</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CWBB</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Canonical Workflow Building Block — a reusable, versionable unit of workflow logic that can be composed into larger workflows. Based on the MIT Press methodology.</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EU Data Act</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European Union regulation (effective September 2025) mandating data portability, interoperability, standardized APIs, and prohibition of exit fees for cloud services.</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HITL</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Human-In-The-Loop — a decision point where human judgment is required before a workflow step can proceed. HITL points are defined by the AI automation classification.</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ITIL 4 SVS</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Information Technology Infrastructure Library version 4 Service Value System — the framework comprising guiding principles, governance, service value chain, practices, and continual improvement.</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Journey</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 defined sequence of interactions (touchpoints) that a user or customer experiences to achieve a specific outcome. Journeys span multiple workflow steps and zone interactions.</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One-Click Enable</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The capability to activate a complete journey or workflow template with a single action from the Journey &amp; Workflow Orchestrator, with all prerequisites validated and configuration applied automatically.</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Process Area</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 grouping of related workflows within a zone. Approximately 60 process areas are defined across the 12 zones.</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Workflow</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A defined sequence of steps that accomplishes a specific operational outcome. Workflows belong to zones, reference CWBBs, and carry AI automation classifications.</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Zone</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One of the 12 top-level functional areas in the DevOps AI platform architecture. Each zone has its own navigation tree, role visibility rules, and cross-zone links.</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NIST CSF 2.0</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National Institute of Standards and Technology Cybersecurity Framework version 2.0 — organizing security activities into six functions: Govern, Identify, Protect, Detect, Respond, Recover.</w:t>
            </w:r>
          </w:p>
        </w:tc>
      </w:tr>
      <w:tr>
        <w:tc>
          <w:tcPr>
            <w:tcW w:type="dxa" w:w="280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SOAR</w:t>
            </w:r>
          </w:p>
        </w:tc>
        <w:tc>
          <w:tcPr>
            <w:tcW w:type="dxa" w:w="6560"/>
            <w:tcBorders>
              <w:top w:val="single" w:color="B0B0B0" w:sz="1"/>
              <w:left w:val="single" w:color="B0B0B0" w:sz="1"/>
              <w:bottom w:val="single" w:color="B0B0B0" w:sz="1"/>
              <w:right w:val="single" w:color="B0B0B0" w:sz="1"/>
            </w:tcBorders>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Security Orchestration, Automation and Response — platforms that enable automated response playbooks for security incidents.</w:t>
            </w:r>
          </w:p>
        </w:tc>
      </w:tr>
      <w:tr>
        <w:tc>
          <w:tcPr>
            <w:tcW w:type="dxa" w:w="280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Semver</w:t>
            </w:r>
          </w:p>
        </w:tc>
        <w:tc>
          <w:tcPr>
            <w:tcW w:type="dxa" w:w="6560"/>
            <w:tcBorders>
              <w:top w:val="single" w:color="B0B0B0" w:sz="1"/>
              <w:left w:val="single" w:color="B0B0B0" w:sz="1"/>
              <w:bottom w:val="single" w:color="B0B0B0" w:sz="1"/>
              <w:right w:val="single" w:color="B0B0B0"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000000"/>
                <w:sz w:val="20"/>
                <w:szCs w:val="20"/>
              </w:rPr>
              <w:t xml:space="preserve">Semantic Versioning — a versioning scheme using MAJOR.MINOR.PATCH format (e.g., 1.0.0) to communicate the nature and impact of changes.</w:t>
            </w:r>
          </w:p>
        </w:tc>
      </w:tr>
    </w:tbl>
    <w:p>
      <w:pPr>
        <w:spacing w:after="80"/>
      </w:pPr>
    </w:p>
    <w:p>
      <w:pPr>
        <w:spacing w:before="400"/>
        <w:jc w:val="center"/>
      </w:pPr>
      <w:r>
        <w:rPr>
          <w:rFonts w:ascii="Arial" w:cs="Arial" w:eastAsia="Arial" w:hAnsi="Arial"/>
          <w:i/>
          <w:iCs/>
          <w:color w:val="888888"/>
          <w:sz w:val="22"/>
          <w:szCs w:val="22"/>
        </w:rPr>
        <w:t xml:space="preserve">— End of Document —</w:t>
      </w:r>
    </w:p>
    <w:p>
      <w:pPr>
        <w:jc w:val="center"/>
      </w:pPr>
      <w:r>
        <w:rPr>
          <w:rFonts w:ascii="Arial" w:cs="Arial" w:eastAsia="Arial" w:hAnsi="Arial"/>
          <w:color w:val="AAAAAA"/>
          <w:sz w:val="18"/>
          <w:szCs w:val="18"/>
        </w:rPr>
        <w:t xml:space="preserve">DevOps AI — Canonical Journey &amp; Workflow Taxonomy Specification v1.0</w:t>
      </w:r>
    </w:p>
    <w:p>
      <w:pPr>
        <w:jc w:val="center"/>
      </w:pPr>
      <w:r>
        <w:rPr>
          <w:rFonts w:ascii="Arial" w:cs="Arial" w:eastAsia="Arial" w:hAnsi="Arial"/>
          <w:color w:val="AAAAAA"/>
          <w:sz w:val="18"/>
          <w:szCs w:val="18"/>
        </w:rPr>
        <w:t xml:space="preserve">© 2026 RainTech.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6"/>
        <w:szCs w:val="16"/>
      </w:rPr>
      <w:t xml:space="preserve">    |    DevOps AI — Canonical Journey &amp; Workflow Taxonomy Specification v1.0    |    © 2026 RainTech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ITIL 4 Foundation, Axelos — </w:t>
      </w:r>
      <w:hyperlink w:history="1" r:id="rIdk-nu6o_yk-uqlp825jole">
        <w:r>
          <w:rPr>
            <w:rStyle w:val="Hyperlink"/>
            <w:rFonts w:ascii="Arial" w:cs="Arial" w:eastAsia="Arial" w:hAnsi="Arial"/>
            <w:sz w:val="18"/>
            <w:szCs w:val="18"/>
          </w:rPr>
          <w:t xml:space="preserve">https://www.axelos.com/certifications/itil-service-management/itil-4</w:t>
        </w:r>
      </w:hyperlink>
    </w:p>
  </w:footnote>
  <w:footnote w:id="2">
    <w:p>
      <w:r>
        <w:rPr>
          <w:rStyle w:val="FootnoteReference"/>
        </w:rPr>
        <w:footnoteRef/>
      </w:r>
      <w:r>
        <w:rPr>
          <w:rFonts w:ascii="Arial" w:cs="Arial" w:eastAsia="Arial" w:hAnsi="Arial"/>
          <w:sz w:val="18"/>
          <w:szCs w:val="18"/>
        </w:rPr>
        <w:t xml:space="preserve">OMG BPMN 2.0 Specification — </w:t>
      </w:r>
      <w:hyperlink w:history="1" r:id="rIdkzz7gnuj_6tl7jwhjch52">
        <w:r>
          <w:rPr>
            <w:rStyle w:val="Hyperlink"/>
            <w:rFonts w:ascii="Arial" w:cs="Arial" w:eastAsia="Arial" w:hAnsi="Arial"/>
            <w:sz w:val="18"/>
            <w:szCs w:val="18"/>
          </w:rPr>
          <w:t xml:space="preserve">https://www.omg.org/spec/BPMN/2.0</w:t>
        </w:r>
      </w:hyperlink>
    </w:p>
  </w:footnote>
  <w:footnote w:id="3">
    <w:p>
      <w:r>
        <w:rPr>
          <w:rStyle w:val="FootnoteReference"/>
        </w:rPr>
        <w:footnoteRef/>
      </w:r>
      <w:r>
        <w:rPr>
          <w:rFonts w:ascii="Arial" w:cs="Arial" w:eastAsia="Arial" w:hAnsi="Arial"/>
          <w:sz w:val="18"/>
          <w:szCs w:val="18"/>
        </w:rPr>
        <w:t xml:space="preserve">NIST Cybersecurity Framework 2.0 — </w:t>
      </w:r>
      <w:hyperlink w:history="1" r:id="rIdym9_flxywkl0gxnhzvvmp">
        <w:r>
          <w:rPr>
            <w:rStyle w:val="Hyperlink"/>
            <w:rFonts w:ascii="Arial" w:cs="Arial" w:eastAsia="Arial" w:hAnsi="Arial"/>
            <w:sz w:val="18"/>
            <w:szCs w:val="18"/>
          </w:rPr>
          <w:t xml:space="preserve">https://www.nist.gov/cyberframework</w:t>
        </w:r>
      </w:hyperlink>
    </w:p>
  </w:footnote>
  <w:footnote w:id="4">
    <w:p>
      <w:r>
        <w:rPr>
          <w:rStyle w:val="FootnoteReference"/>
        </w:rPr>
        <w:footnoteRef/>
      </w:r>
      <w:r>
        <w:rPr>
          <w:rFonts w:ascii="Arial" w:cs="Arial" w:eastAsia="Arial" w:hAnsi="Arial"/>
          <w:sz w:val="18"/>
          <w:szCs w:val="18"/>
        </w:rPr>
        <w:t xml:space="preserve">EU Data Act — </w:t>
      </w:r>
      <w:hyperlink w:history="1" r:id="rIdwb7kmhkvneun4ptq5giku">
        <w:r>
          <w:rPr>
            <w:rStyle w:val="Hyperlink"/>
            <w:rFonts w:ascii="Arial" w:cs="Arial" w:eastAsia="Arial" w:hAnsi="Arial"/>
            <w:sz w:val="18"/>
            <w:szCs w:val="18"/>
          </w:rPr>
          <w:t xml:space="preserve">https://digital-strategy.ec.europa.eu/en/policies/data-act</w:t>
        </w:r>
      </w:hyperlink>
    </w:p>
  </w:footnote>
  <w:footnote w:id="5">
    <w:p>
      <w:r>
        <w:rPr>
          <w:rStyle w:val="FootnoteReference"/>
        </w:rPr>
        <w:footnoteRef/>
      </w:r>
      <w:r>
        <w:rPr>
          <w:rFonts w:ascii="Arial" w:cs="Arial" w:eastAsia="Arial" w:hAnsi="Arial"/>
          <w:sz w:val="18"/>
          <w:szCs w:val="18"/>
        </w:rPr>
        <w:t xml:space="preserve">Canonical Workflow Building Blocks, Data Intelligence, MIT Press 2022 — </w:t>
      </w:r>
      <w:hyperlink w:history="1" r:id="rIdagpfbjqicpdw6atqcogg0">
        <w:r>
          <w:rPr>
            <w:rStyle w:val="Hyperlink"/>
            <w:rFonts w:ascii="Arial" w:cs="Arial" w:eastAsia="Arial" w:hAnsi="Arial"/>
            <w:sz w:val="18"/>
            <w:szCs w:val="18"/>
          </w:rPr>
          <w:t xml:space="preserve">https://doi.org/10.1162/dint_a_00135</w:t>
        </w:r>
      </w:hyperlink>
    </w:p>
  </w:footnote>
  <w:footnote w:id="6">
    <w:p>
      <w:r>
        <w:rPr>
          <w:rStyle w:val="FootnoteReference"/>
        </w:rPr>
        <w:footnoteRef/>
      </w:r>
      <w:r>
        <w:rPr>
          <w:rFonts w:ascii="Arial" w:cs="Arial" w:eastAsia="Arial" w:hAnsi="Arial"/>
          <w:sz w:val="18"/>
          <w:szCs w:val="18"/>
        </w:rPr>
        <w:t xml:space="preserve">GDPR Article 20, Right to Data Portability — </w:t>
      </w:r>
      <w:hyperlink w:history="1" r:id="rIdxcpc659ril7wzraiqkuzv">
        <w:r>
          <w:rPr>
            <w:rStyle w:val="Hyperlink"/>
            <w:rFonts w:ascii="Arial" w:cs="Arial" w:eastAsia="Arial" w:hAnsi="Arial"/>
            <w:sz w:val="18"/>
            <w:szCs w:val="18"/>
          </w:rPr>
          <w:t xml:space="preserve">https://gdpr-info.eu/art-20-gdpr/</w:t>
        </w:r>
      </w:hyperlink>
    </w:p>
  </w:footnote>
  <w:footnote w:id="7">
    <w:p>
      <w:r>
        <w:rPr>
          <w:rStyle w:val="FootnoteReference"/>
        </w:rPr>
        <w:footnoteRef/>
      </w:r>
      <w:r>
        <w:rPr>
          <w:rFonts w:ascii="Arial" w:cs="Arial" w:eastAsia="Arial" w:hAnsi="Arial"/>
          <w:sz w:val="18"/>
          <w:szCs w:val="18"/>
        </w:rPr>
        <w:t xml:space="preserve">NIST SP 800-61 Rev 3, Incident Handling Guide — </w:t>
      </w:r>
      <w:hyperlink w:history="1" r:id="rId_uqtfvgu8hofvvsur66zb">
        <w:r>
          <w:rPr>
            <w:rStyle w:val="Hyperlink"/>
            <w:rFonts w:ascii="Arial" w:cs="Arial" w:eastAsia="Arial" w:hAnsi="Arial"/>
            <w:sz w:val="18"/>
            <w:szCs w:val="18"/>
          </w:rPr>
          <w:t xml:space="preserve">https://csrc.nist.gov/pubs/sp/800/61/r3/final</w:t>
        </w:r>
      </w:hyperlink>
    </w:p>
  </w:footnote>
  <w:footnote w:id="8">
    <w:p>
      <w:r>
        <w:rPr>
          <w:rStyle w:val="FootnoteReference"/>
        </w:rPr>
        <w:footnoteRef/>
      </w:r>
      <w:r>
        <w:rPr>
          <w:rFonts w:ascii="Arial" w:cs="Arial" w:eastAsia="Arial" w:hAnsi="Arial"/>
          <w:sz w:val="18"/>
          <w:szCs w:val="18"/>
        </w:rPr>
        <w:t xml:space="preserve">NIST SP 800-88 Rev 1, Media Sanitization — </w:t>
      </w:r>
      <w:hyperlink w:history="1" r:id="rIdlmky6rpo03peau8e0tghi">
        <w:r>
          <w:rPr>
            <w:rStyle w:val="Hyperlink"/>
            <w:rFonts w:ascii="Arial" w:cs="Arial" w:eastAsia="Arial" w:hAnsi="Arial"/>
            <w:sz w:val="18"/>
            <w:szCs w:val="18"/>
          </w:rPr>
          <w:t xml:space="preserve">https://csrc.nist.gov/pubs/sp/800/88/r1/final</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9C600" w:sz="2"/>
      </w:pBdr>
      <w:jc w:val="right"/>
    </w:pPr>
    <w:r>
      <w:rPr>
        <w:rFonts w:ascii="Arial" w:cs="Arial" w:eastAsia="Arial" w:hAnsi="Arial"/>
        <w:i/>
        <w:iCs/>
        <w:color w:val="001647"/>
        <w:sz w:val="18"/>
        <w:szCs w:val="18"/>
      </w:rPr>
      <w:t xml:space="preserve">DevOps AI — Journey &amp; Workflow Taxonomy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164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1647"/>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001647"/>
      <w:sz w:val="26"/>
      <w:szCs w:val="26"/>
    </w:rPr>
  </w:style>
  <w:style w:type="paragraph" w:styleId="Heading4">
    <w:name w:val="Heading 4"/>
    <w:basedOn w:val="Normal"/>
    <w:next w:val="Normal"/>
    <w:qFormat/>
    <w:pPr>
      <w:spacing w:after="80" w:before="200"/>
      <w:outlineLvl w:val="3"/>
    </w:pPr>
    <w:rPr>
      <w:rFonts w:ascii="Arial" w:cs="Arial" w:eastAsia="Arial" w:hAnsi="Arial"/>
      <w:b/>
      <w:bCs/>
      <w:color w:val="0016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Id="rIdk-nu6o_yk-uqlp825jole" Type="http://schemas.openxmlformats.org/officeDocument/2006/relationships/hyperlink" Target="https://www.axelos.com/certifications/itil-service-management/itil-4" TargetMode="External"/><Relationship Id="rIdkzz7gnuj_6tl7jwhjch52" Type="http://schemas.openxmlformats.org/officeDocument/2006/relationships/hyperlink" Target="https://www.omg.org/spec/BPMN/2.0" TargetMode="External"/><Relationship Id="rIdym9_flxywkl0gxnhzvvmp" Type="http://schemas.openxmlformats.org/officeDocument/2006/relationships/hyperlink" Target="https://www.nist.gov/cyberframework" TargetMode="External"/><Relationship Id="rIdwb7kmhkvneun4ptq5giku" Type="http://schemas.openxmlformats.org/officeDocument/2006/relationships/hyperlink" Target="https://digital-strategy.ec.europa.eu/en/policies/data-act" TargetMode="External"/><Relationship Id="rIdagpfbjqicpdw6atqcogg0" Type="http://schemas.openxmlformats.org/officeDocument/2006/relationships/hyperlink" Target="https://doi.org/10.1162/dint_a_00135" TargetMode="External"/><Relationship Id="rIdxcpc659ril7wzraiqkuzv" Type="http://schemas.openxmlformats.org/officeDocument/2006/relationships/hyperlink" Target="https://gdpr-info.eu/art-20-gdpr/" TargetMode="External"/><Relationship Id="rId_uqtfvgu8hofvvsur66zb" Type="http://schemas.openxmlformats.org/officeDocument/2006/relationships/hyperlink" Target="https://csrc.nist.gov/pubs/sp/800/61/r3/final" TargetMode="External"/><Relationship Id="rIdlmky6rpo03peau8e0tghi" Type="http://schemas.openxmlformats.org/officeDocument/2006/relationships/hyperlink" Target="https://csrc.nist.gov/pubs/sp/800/88/r1/final" TargetMode="External"/></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AI — Canonical Journey &amp; Workflow Taxonomy Specification</dc:title>
  <dc:creator>RainTech</dc:creator>
  <dc:description>Strict Taxonomy, Canonicalized Definitions &amp; Integration Architecture</dc:description>
  <cp:lastModifiedBy>Un-named</cp:lastModifiedBy>
  <cp:revision>1</cp:revision>
  <dcterms:created xsi:type="dcterms:W3CDTF">2026-03-16T20:31:35.249Z</dcterms:created>
  <dcterms:modified xsi:type="dcterms:W3CDTF">2026-03-16T20:31:35.249Z</dcterms:modified>
</cp:coreProperties>
</file>

<file path=docProps/custom.xml><?xml version="1.0" encoding="utf-8"?>
<Properties xmlns="http://schemas.openxmlformats.org/officeDocument/2006/custom-properties" xmlns:vt="http://schemas.openxmlformats.org/officeDocument/2006/docPropsVTypes"/>
</file>