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8BC05F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jc w:val="center"/>
        <w:rPr>
          <w:rFonts w:ascii="Times New Roman" w:hAnsi="Times New Roman"/>
          <w:sz w:val="32"/>
        </w:rPr>
      </w:pPr>
      <w:r>
        <w:drawing>
          <wp:inline xmlns:wp="http://schemas.openxmlformats.org/drawingml/2006/wordprocessingDrawing">
            <wp:extent cx="3475990" cy="6362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36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left="142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«КИЇВСЬКИЙ ПОЛІТЕХНІЧНИЙ ІНСТИТУТ імені Ігоря Сікорського» 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 ПРИКЛАДНОЇ МАТЕМАТИКИ</w:t>
      </w:r>
    </w:p>
    <w:p>
      <w:pPr>
        <w:pStyle w:val="P1"/>
        <w:keepNext w:val="1"/>
        <w:keepLines w:val="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системного програмування та спеціалізованих комп’ютерних систем</w:t>
      </w:r>
    </w:p>
    <w:p>
      <w:pPr>
        <w:jc w:val="center"/>
        <w:rPr>
          <w:rFonts w:ascii="Times New Roman" w:hAnsi="Times New Roman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Лабораторна робота №1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з дисципліни</w:t>
      </w:r>
    </w:p>
    <w:p>
      <w:pPr>
        <w:spacing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«Бази даних і засоби управління»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pStyle w:val="P2"/>
        <w:keepNext w:val="1"/>
        <w:keepLines w:val="1"/>
        <w:spacing w:lineRule="auto" w:line="360" w:before="74" w:after="160" w:beforeAutospacing="0" w:afterAutospacing="0"/>
        <w:ind w:hanging="536" w:left="2183" w:right="1709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 xml:space="preserve">Тема: </w:t>
      </w:r>
      <w:r>
        <w:rPr>
          <w:rFonts w:ascii="Times New Roman" w:hAnsi="Times New Roman"/>
          <w:b w:val="0"/>
          <w:color w:val="000000"/>
          <w:sz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/>
          <w:sz w:val="24"/>
        </w:rPr>
        <w:t>Проектування бази даних та ознайомлення з базовими операціями СУБД PostgreSQL»</w:t>
      </w:r>
    </w:p>
    <w:p>
      <w:pPr>
        <w:spacing w:after="0" w:beforeAutospacing="0" w:afterAutospacing="0"/>
        <w:rPr>
          <w:rFonts w:ascii="Times New Roman" w:hAnsi="Times New Roman"/>
          <w:b w:val="1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Виконав: студент ІІI курсу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ФПМ групи КВ-84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Байдаус.М.В.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Перевірив: 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Київ – 2020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8000"/>
          <w:sz w:val="19"/>
        </w:rPr>
      </w:pPr>
    </w:p>
    <w:p>
      <w:pPr>
        <w:spacing w:lineRule="auto" w:line="36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sz w:val="32"/>
        </w:rPr>
        <w:t>Варіант (опис обраної предметної галузі):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t>сервіс продажу квитків кіно (зал, сеанс, фільм, місце/ряд);</w:t>
      </w:r>
      <w:r>
        <w:rPr>
          <w:rFonts w:ascii="Times New Roman" w:hAnsi="Times New Roman"/>
        </w:rPr>
        <w:t xml:space="preserve"> 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Вимоги до звітування щодо пунктів 1-4 завдання:</w:t>
      </w:r>
    </w:p>
    <w:p>
      <w:pPr>
        <w:pStyle w:val="P3"/>
        <w:widowControl w:val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№1 завдання має бути: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перелік сутностей з описом їх призначення;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графічний файл розробленої моделі «сутність-зв’язок»;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назва нотації.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№2 завдання має бути: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rFonts w:ascii="Times New Roman" w:hAnsi="Times New Roman"/>
          <w:b w:val="1"/>
          <w:strike w:val="0"/>
          <w:color w:val="000000"/>
          <w:sz w:val="28"/>
        </w:rPr>
        <w:t>з назвами таблиць (!) та зв’язками між ними.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№3 завдання має бути: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№4 завдання має бути: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навести копії екрану з pgAdmin4,</w:t>
      </w:r>
      <w:bookmarkStart w:id="2" w:name="__DdeLink__1487_3492997997"/>
      <w:r>
        <w:rPr>
          <w:rFonts w:ascii="Times New Roman" w:hAnsi="Times New Roman"/>
          <w:strike w:val="0"/>
          <w:color w:val="000000"/>
          <w:sz w:val="28"/>
        </w:rPr>
        <w:t xml:space="preserve"> що відображають назви та типи стовпців</w:t>
      </w:r>
      <w:bookmarkEnd w:id="2"/>
      <w:r>
        <w:rPr>
          <w:rFonts w:ascii="Times New Roman" w:hAnsi="Times New Roman"/>
          <w:strike w:val="0"/>
          <w:color w:val="000000"/>
          <w:sz w:val="28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rFonts w:ascii="Times New Roman" w:hAnsi="Times New Roman"/>
          <w:b w:val="1"/>
          <w:strike w:val="0"/>
          <w:color w:val="000000"/>
          <w:sz w:val="28"/>
        </w:rPr>
        <w:t>повинні мати назву</w:t>
      </w:r>
      <w:r>
        <w:rPr>
          <w:rFonts w:ascii="Times New Roman" w:hAnsi="Times New Roman"/>
          <w:strike w:val="0"/>
          <w:color w:val="000000"/>
          <w:sz w:val="28"/>
        </w:rPr>
        <w:t>!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color w:val="000000"/>
          <w:sz w:val="32"/>
        </w:rPr>
        <w:t>Звіт щодо пункту №1 завдання: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strike w:val="0"/>
          <w:sz w:val="28"/>
        </w:rPr>
        <w:t>Перелік сутностей з описом їх призначення: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</w:t>
      </w:r>
      <w:r>
        <w:rPr>
          <w:rFonts w:ascii="Times New Roman" w:hAnsi="Times New Roman"/>
          <w:strike w:val="0"/>
          <w:sz w:val="28"/>
        </w:rPr>
        <w:t>Film</w:t>
      </w:r>
      <w:r>
        <w:rPr>
          <w:rFonts w:ascii="Times New Roman" w:hAnsi="Times New Roman"/>
          <w:strike w:val="0"/>
          <w:sz w:val="28"/>
        </w:rPr>
        <w:t>” призначено для ідентификації тривалостi фiльма та назви.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</w:t>
      </w:r>
      <w:r>
        <w:rPr>
          <w:rFonts w:ascii="Times New Roman" w:hAnsi="Times New Roman"/>
          <w:strike w:val="0"/>
          <w:sz w:val="28"/>
        </w:rPr>
        <w:t>Viewer</w:t>
      </w:r>
      <w:r>
        <w:rPr>
          <w:rFonts w:ascii="Times New Roman" w:hAnsi="Times New Roman"/>
          <w:strike w:val="0"/>
          <w:sz w:val="28"/>
        </w:rPr>
        <w:t xml:space="preserve">” призначено для визначення </w:t>
      </w:r>
      <w:r>
        <w:rPr>
          <w:rFonts w:ascii="Times New Roman" w:hAnsi="Times New Roman"/>
          <w:strike w:val="0"/>
          <w:sz w:val="28"/>
        </w:rPr>
        <w:t>П.</w:t>
      </w:r>
      <w:r>
        <w:rPr>
          <w:rFonts w:ascii="Times New Roman" w:hAnsi="Times New Roman"/>
          <w:strike w:val="0"/>
          <w:sz w:val="28"/>
        </w:rPr>
        <w:t>I</w:t>
      </w:r>
      <w:r>
        <w:rPr>
          <w:rFonts w:ascii="Times New Roman" w:hAnsi="Times New Roman"/>
          <w:strike w:val="0"/>
          <w:sz w:val="28"/>
        </w:rPr>
        <w:t xml:space="preserve"> глядача, його вiку</w:t>
      </w:r>
      <w:r>
        <w:rPr>
          <w:rFonts w:ascii="Times New Roman" w:hAnsi="Times New Roman"/>
          <w:strike w:val="0"/>
          <w:sz w:val="28"/>
        </w:rPr>
        <w:t xml:space="preserve"> та </w:t>
      </w:r>
      <w:r>
        <w:rPr>
          <w:rFonts w:ascii="Times New Roman" w:hAnsi="Times New Roman"/>
          <w:strike w:val="0"/>
          <w:sz w:val="28"/>
        </w:rPr>
        <w:t>назву ф</w:t>
      </w:r>
      <w:r>
        <w:rPr>
          <w:rFonts w:ascii="Times New Roman" w:hAnsi="Times New Roman"/>
          <w:strike w:val="0"/>
          <w:sz w:val="28"/>
        </w:rPr>
        <w:t>iльму на який вiн i</w:t>
      </w:r>
      <w:r>
        <w:rPr>
          <w:rFonts w:ascii="Times New Roman" w:hAnsi="Times New Roman"/>
          <w:strike w:val="0"/>
          <w:sz w:val="28"/>
        </w:rPr>
        <w:t>д</w:t>
      </w:r>
      <w:r>
        <w:rPr>
          <w:rFonts w:ascii="Times New Roman" w:hAnsi="Times New Roman"/>
          <w:strike w:val="0"/>
          <w:sz w:val="28"/>
        </w:rPr>
        <w:t>е</w:t>
      </w:r>
      <w:r>
        <w:rPr>
          <w:rFonts w:ascii="Times New Roman" w:hAnsi="Times New Roman"/>
          <w:strike w:val="0"/>
          <w:sz w:val="28"/>
        </w:rPr>
        <w:t xml:space="preserve"> 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Сутність “</w:t>
      </w:r>
      <w:r>
        <w:rPr>
          <w:rFonts w:ascii="Times New Roman" w:hAnsi="Times New Roman"/>
          <w:strike w:val="0"/>
          <w:sz w:val="28"/>
        </w:rPr>
        <w:t>Cashier</w:t>
      </w:r>
      <w:r>
        <w:rPr>
          <w:rFonts w:ascii="Times New Roman" w:hAnsi="Times New Roman"/>
          <w:strike w:val="0"/>
          <w:sz w:val="28"/>
        </w:rPr>
        <w:t>” призначено для визначення номера касси та П.I.</w:t>
      </w:r>
      <w:r>
        <w:rPr>
          <w:rFonts w:ascii="Times New Roman" w:hAnsi="Times New Roman"/>
          <w:strike w:val="0"/>
          <w:sz w:val="28"/>
        </w:rPr>
        <w:t xml:space="preserve"> касира.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</w:t>
      </w:r>
      <w:bookmarkStart w:id="3" w:name="_dx_frag_StartFragment"/>
      <w:bookmarkEnd w:id="3"/>
      <w:r>
        <w:rPr>
          <w:rFonts w:ascii="Times New Roman" w:hAnsi="Times New Roman"/>
          <w:strike w:val="0"/>
          <w:sz w:val="28"/>
        </w:rPr>
        <w:t>discount</w:t>
      </w:r>
      <w:r>
        <w:rPr>
          <w:rFonts w:ascii="Times New Roman" w:hAnsi="Times New Roman"/>
          <w:strike w:val="0"/>
          <w:sz w:val="28"/>
        </w:rPr>
        <w:t xml:space="preserve"> </w:t>
      </w:r>
      <w:r>
        <w:rPr>
          <w:rFonts w:ascii="Times New Roman" w:hAnsi="Times New Roman"/>
          <w:strike w:val="0"/>
          <w:sz w:val="28"/>
        </w:rPr>
        <w:t xml:space="preserve">” призначено для визначення </w:t>
      </w:r>
      <w:r>
        <w:rPr>
          <w:rFonts w:ascii="Times New Roman" w:hAnsi="Times New Roman"/>
          <w:strike w:val="0"/>
          <w:sz w:val="28"/>
        </w:rPr>
        <w:t>типу знижки та розмiру знижки.</w:t>
      </w:r>
      <w:r>
        <w:rPr>
          <w:rFonts w:ascii="Times New Roman" w:hAnsi="Times New Roman"/>
          <w:strike w:val="0"/>
          <w:sz w:val="28"/>
        </w:rPr>
        <w:t xml:space="preserve"> 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Графічний файл розробленої моделі «сутність-зв’язок»:</w:t>
      </w:r>
    </w:p>
    <w:p>
      <w:pPr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066790" cy="324294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2429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Назва нотації: </w:t>
      </w:r>
      <w:r>
        <w:rPr>
          <w:rFonts w:ascii="Times New Roman" w:hAnsi="Times New Roman"/>
          <w:strike w:val="0"/>
          <w:sz w:val="28"/>
        </w:rPr>
        <w:t>Нотація Чена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№2 завдання: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Опис процесу перетворення:  </w:t>
      </w:r>
      <w:r>
        <w:rPr>
          <w:rFonts w:ascii="Times New Roman" w:hAnsi="Times New Roman"/>
          <w:b w:val="0"/>
          <w:strike w:val="0"/>
          <w:sz w:val="28"/>
        </w:rPr>
        <w:t>Атрибут "</w:t>
      </w:r>
      <w:bookmarkStart w:id="4" w:name="_dx_frag_StartFragment"/>
      <w:bookmarkEnd w:id="4"/>
      <w:r>
        <w:rPr>
          <w:rFonts w:ascii="arial" w:hAnsi="arial"/>
          <w:b w:val="0"/>
          <w:i w:val="0"/>
          <w:strike w:val="0"/>
          <w:color w:val="202124"/>
          <w:sz w:val="28"/>
          <w:shd w:val="clear" w:fill="F8F9FA"/>
        </w:rPr>
        <w:t>Type of discount</w:t>
      </w:r>
      <w:r>
        <w:rPr>
          <w:rFonts w:ascii="Times New Roman" w:hAnsi="Times New Roman"/>
          <w:b w:val="0"/>
          <w:strike w:val="0"/>
          <w:sz w:val="28"/>
        </w:rPr>
        <w:t>" таблицi з сутнiстю "</w:t>
      </w:r>
      <w:r>
        <w:rPr>
          <w:rFonts w:ascii="Times New Roman" w:hAnsi="Times New Roman"/>
          <w:b w:val="0"/>
          <w:strike w:val="0"/>
          <w:sz w:val="28"/>
        </w:rPr>
        <w:t>Viewer</w:t>
      </w:r>
      <w:r>
        <w:rPr>
          <w:rFonts w:ascii="Times New Roman" w:hAnsi="Times New Roman"/>
          <w:b w:val="0"/>
          <w:strike w:val="0"/>
          <w:sz w:val="28"/>
        </w:rPr>
        <w:t>" зумовив появу нової таблицi "</w:t>
      </w:r>
      <w:r>
        <w:rPr>
          <w:rFonts w:ascii="Times New Roman" w:hAnsi="Times New Roman"/>
          <w:b w:val="0"/>
          <w:strike w:val="0"/>
          <w:sz w:val="28"/>
        </w:rPr>
        <w:t>d</w:t>
      </w:r>
      <w:r>
        <w:rPr>
          <w:rFonts w:ascii="Times New Roman" w:hAnsi="Times New Roman"/>
          <w:b w:val="0"/>
          <w:strike w:val="0"/>
          <w:sz w:val="28"/>
        </w:rPr>
        <w:t>iscount</w:t>
      </w:r>
      <w:r>
        <w:rPr>
          <w:rFonts w:ascii="Times New Roman" w:hAnsi="Times New Roman"/>
          <w:b w:val="0"/>
          <w:strike w:val="0"/>
          <w:sz w:val="28"/>
        </w:rPr>
        <w:t>".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Схема бази даних у графічному вигляді:</w:t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125845" cy="20777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077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№3 завдання: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  <w:strike w:val="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Пояснення щодо відповідності схеми бази даних нормальним формам: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Viewer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- </w:t>
      </w:r>
      <w:r>
        <w:rPr>
          <w:rFonts w:ascii="Times New Roman" w:hAnsi="Times New Roman"/>
          <w:b w:val="0"/>
          <w:strike w:val="0"/>
          <w:color w:val="000000"/>
          <w:sz w:val="28"/>
        </w:rPr>
        <w:t>Film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: один глядач iде на одне кiно , на одне кiно йде багато глядачiвю.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Film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- </w:t>
      </w:r>
      <w:r>
        <w:rPr>
          <w:rFonts w:ascii="Times New Roman" w:hAnsi="Times New Roman"/>
          <w:b w:val="0"/>
          <w:strike w:val="0"/>
          <w:color w:val="000000"/>
          <w:sz w:val="28"/>
        </w:rPr>
        <w:t>Cashier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: на кожен фiльм квитки продають по декiлька касирiв . Кожен касир прода</w:t>
      </w:r>
      <w:r>
        <w:rPr>
          <w:rFonts w:ascii="Times New Roman" w:hAnsi="Times New Roman"/>
          <w:b w:val="0"/>
          <w:i w:val="0"/>
          <w:strike w:val="0"/>
          <w:color w:val="auto"/>
          <w:sz w:val="28"/>
          <w:shd w:val="clear" w:fill="FFFFFF"/>
        </w:rPr>
        <w:t>є</w:t>
      </w:r>
      <w:r>
        <w:rPr>
          <w:rFonts w:ascii="Times New Roman" w:hAnsi="Times New Roman"/>
          <w:strike w:val="0"/>
          <w:color w:val="auto"/>
          <w:shd w:val="clear" w:fill="FFFFFF"/>
        </w:rPr>
        <w:t xml:space="preserve"> 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квитки на декiлька фiльмiв.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Viewer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- </w:t>
      </w:r>
      <w:r>
        <w:rPr>
          <w:rFonts w:ascii="Times New Roman" w:hAnsi="Times New Roman"/>
          <w:b w:val="0"/>
          <w:strike w:val="0"/>
          <w:color w:val="000000"/>
          <w:sz w:val="28"/>
        </w:rPr>
        <w:t>discount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: один глядач м</w:t>
      </w:r>
      <w:r>
        <w:rPr>
          <w:rFonts w:ascii="Times New Roman" w:hAnsi="Times New Roman"/>
          <w:b w:val="0"/>
          <w:strike w:val="0"/>
          <w:color w:val="auto"/>
          <w:sz w:val="28"/>
        </w:rPr>
        <w:t>а</w:t>
      </w:r>
      <w:r>
        <w:rPr>
          <w:rFonts w:ascii="Times New Roman" w:hAnsi="Times New Roman"/>
          <w:b w:val="0"/>
          <w:i w:val="0"/>
          <w:strike w:val="0"/>
          <w:color w:val="auto"/>
          <w:sz w:val="28"/>
        </w:rPr>
        <w:t>є</w:t>
      </w:r>
      <w:r>
        <w:rPr>
          <w:rFonts w:ascii="Times New Roman" w:hAnsi="Times New Roman"/>
          <w:strike w:val="0"/>
          <w:color w:val="auto"/>
          <w:sz w:val="28"/>
        </w:rPr>
        <w:t xml:space="preserve"> </w:t>
      </w:r>
      <w:r>
        <w:rPr>
          <w:rFonts w:ascii="Times New Roman" w:hAnsi="Times New Roman"/>
          <w:strike w:val="0"/>
          <w:color w:val="auto"/>
          <w:sz w:val="28"/>
        </w:rPr>
        <w:t>лише одну знижку</w:t>
      </w:r>
      <w:r>
        <w:rPr>
          <w:rFonts w:ascii="Times New Roman" w:hAnsi="Times New Roman"/>
          <w:strike w:val="0"/>
          <w:color w:val="auto"/>
          <w:sz w:val="28"/>
        </w:rPr>
        <w:t xml:space="preserve"> або взягал</w:t>
      </w:r>
      <w:r>
        <w:rPr>
          <w:rFonts w:ascii="Times New Roman" w:hAnsi="Times New Roman"/>
          <w:strike w:val="0"/>
          <w:color w:val="auto"/>
          <w:sz w:val="28"/>
        </w:rPr>
        <w:t>i не</w:t>
      </w:r>
      <w:r>
        <w:rPr>
          <w:rFonts w:ascii="Times New Roman" w:hAnsi="Times New Roman"/>
          <w:strike w:val="0"/>
          <w:color w:val="auto"/>
          <w:sz w:val="28"/>
        </w:rPr>
        <w:t xml:space="preserve"> </w:t>
      </w:r>
      <w:r>
        <w:rPr>
          <w:rFonts w:ascii="Times New Roman" w:hAnsi="Times New Roman"/>
          <w:strike w:val="0"/>
          <w:color w:val="000000"/>
          <w:sz w:val="28"/>
        </w:rPr>
        <w:t>м</w:t>
      </w:r>
      <w:r>
        <w:rPr>
          <w:rFonts w:ascii="Times New Roman" w:hAnsi="Times New Roman"/>
          <w:strike w:val="0"/>
          <w:sz w:val="28"/>
        </w:rPr>
        <w:t>ає</w:t>
      </w:r>
      <w:r>
        <w:rPr>
          <w:rFonts w:ascii="Times New Roman" w:hAnsi="Times New Roman"/>
          <w:strike w:val="0"/>
          <w:color w:val="auto"/>
          <w:sz w:val="28"/>
        </w:rPr>
        <w:t xml:space="preserve"> </w:t>
      </w:r>
      <w:r>
        <w:rPr>
          <w:rFonts w:ascii="Times New Roman" w:hAnsi="Times New Roman"/>
          <w:strike w:val="0"/>
          <w:color w:val="auto"/>
          <w:sz w:val="28"/>
        </w:rPr>
        <w:t>зниж</w:t>
      </w:r>
      <w:r>
        <w:rPr>
          <w:rFonts w:ascii="Times New Roman" w:hAnsi="Times New Roman"/>
          <w:strike w:val="0"/>
          <w:color w:val="auto"/>
          <w:sz w:val="28"/>
        </w:rPr>
        <w:t>ки</w:t>
      </w:r>
      <w:r>
        <w:rPr>
          <w:rFonts w:ascii="Times New Roman" w:hAnsi="Times New Roman"/>
          <w:strike w:val="0"/>
          <w:color w:val="auto"/>
          <w:sz w:val="28"/>
        </w:rPr>
        <w:t xml:space="preserve">. </w:t>
      </w:r>
      <w:r>
        <w:rPr>
          <w:rFonts w:ascii="Times New Roman" w:hAnsi="Times New Roman"/>
          <w:strike w:val="0"/>
          <w:color w:val="auto"/>
          <w:sz w:val="28"/>
        </w:rPr>
        <w:t>Знижка</w:t>
      </w:r>
      <w:r>
        <w:rPr>
          <w:rFonts w:ascii="Times New Roman" w:hAnsi="Times New Roman"/>
          <w:strike w:val="0"/>
          <w:color w:val="auto"/>
          <w:sz w:val="28"/>
        </w:rPr>
        <w:t xml:space="preserve"> розрахован</w:t>
      </w:r>
      <w:r>
        <w:rPr>
          <w:rFonts w:ascii="Times New Roman" w:hAnsi="Times New Roman"/>
          <w:strike w:val="0"/>
          <w:color w:val="auto"/>
          <w:sz w:val="28"/>
        </w:rPr>
        <w:t>а</w:t>
      </w:r>
      <w:r>
        <w:rPr>
          <w:rFonts w:ascii="Times New Roman" w:hAnsi="Times New Roman"/>
          <w:strike w:val="0"/>
          <w:color w:val="auto"/>
          <w:sz w:val="28"/>
        </w:rPr>
        <w:t xml:space="preserve"> лише на одного глядача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Функціональні залежності: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Viewer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8F9FA"/>
        </w:rPr>
        <w:t>Da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8F9FA"/>
        </w:rPr>
        <w:t>ta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8F9FA"/>
        </w:rPr>
        <w:t xml:space="preserve"> -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8F9FA"/>
        </w:rPr>
        <w:t>film title</w:t>
      </w:r>
      <w:r>
        <w:rPr>
          <w:rFonts w:ascii="Times New Roman" w:hAnsi="Times New Roman"/>
          <w:sz w:val="28"/>
        </w:rPr>
        <w:t xml:space="preserve"> : знаючи </w:t>
      </w:r>
      <w:r>
        <w:rPr>
          <w:rFonts w:ascii="Times New Roman" w:hAnsi="Times New Roman"/>
          <w:sz w:val="28"/>
        </w:rPr>
        <w:t>П.I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можливо дiзнатися </w:t>
      </w:r>
      <w:r>
        <w:rPr>
          <w:rFonts w:ascii="Times New Roman" w:hAnsi="Times New Roman"/>
          <w:sz w:val="28"/>
        </w:rPr>
        <w:t>на який фiльм i</w:t>
      </w:r>
      <w:r>
        <w:rPr>
          <w:rFonts w:ascii="Times New Roman" w:hAnsi="Times New Roman"/>
          <w:sz w:val="28"/>
        </w:rPr>
        <w:t xml:space="preserve">де </w:t>
      </w:r>
      <w:r>
        <w:rPr>
          <w:rFonts w:ascii="Times New Roman" w:hAnsi="Times New Roman"/>
          <w:sz w:val="28"/>
        </w:rPr>
        <w:t>глядач</w:t>
      </w:r>
      <w:r>
        <w:rPr>
          <w:rFonts w:ascii="Times New Roman" w:hAnsi="Times New Roman"/>
          <w:sz w:val="28"/>
        </w:rPr>
        <w:t>.</w:t>
      </w:r>
    </w:p>
    <w:p>
      <w:pPr>
        <w:pStyle w:val="P4"/>
        <w:spacing w:lineRule="auto" w:line="258"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8F9FA"/>
        </w:rPr>
        <w:t>Data</w:t>
      </w:r>
      <w:r>
        <w:rPr>
          <w:rFonts w:ascii="Times New Roman" w:hAnsi="Times New Roman"/>
          <w:color w:val="000000"/>
          <w:sz w:val="28"/>
          <w:shd w:val="clear" w:fill="F8F9FA"/>
        </w:rPr>
        <w:t xml:space="preserve"> - </w:t>
      </w:r>
      <w:r>
        <w:rPr>
          <w:rFonts w:ascii="Times New Roman" w:hAnsi="Times New Roman"/>
          <w:color w:val="000000"/>
          <w:sz w:val="28"/>
          <w:shd w:val="clear" w:fill="F8F9FA"/>
        </w:rPr>
        <w:t>T</w:t>
      </w:r>
      <w:r>
        <w:rPr>
          <w:rFonts w:ascii="Times New Roman" w:hAnsi="Times New Roman"/>
          <w:color w:val="000000"/>
          <w:sz w:val="28"/>
          <w:shd w:val="clear" w:fill="F8F9FA"/>
        </w:rPr>
        <w:t>ype of discount</w:t>
      </w:r>
      <w:r>
        <w:rPr>
          <w:rFonts w:ascii="Times New Roman" w:hAnsi="Times New Roman"/>
          <w:sz w:val="28"/>
        </w:rPr>
        <w:t>: знаючи П.I</w:t>
      </w:r>
      <w:r>
        <w:rPr>
          <w:rFonts w:ascii="Times New Roman" w:hAnsi="Times New Roman"/>
          <w:sz w:val="28"/>
        </w:rPr>
        <w:t xml:space="preserve"> можливо дiзнатися </w:t>
      </w:r>
      <w:r>
        <w:rPr>
          <w:rFonts w:ascii="Times New Roman" w:hAnsi="Times New Roman"/>
          <w:sz w:val="28"/>
        </w:rPr>
        <w:t xml:space="preserve">тип знижки яка </w:t>
      </w:r>
      <w:r>
        <w:rPr>
          <w:rFonts w:ascii="Times New Roman" w:hAnsi="Times New Roman"/>
          <w:sz w:val="28"/>
        </w:rPr>
        <w:t>нада</w:t>
      </w: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є</w:t>
      </w: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ться </w:t>
      </w:r>
      <w:r>
        <w:rPr>
          <w:rFonts w:ascii="Times New Roman" w:hAnsi="Times New Roman"/>
          <w:sz w:val="28"/>
        </w:rPr>
        <w:t>глядач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, але iнодi знижка може бути однакова.</w:t>
      </w:r>
    </w:p>
    <w:p>
      <w:pPr>
        <w:pStyle w:val="P4"/>
        <w:spacing w:lineRule="auto" w:line="258" w:before="240"/>
        <w:rPr>
          <w:rFonts w:ascii="Times New Roman" w:hAnsi="Times New Roman"/>
          <w:sz w:val="28"/>
        </w:rPr>
      </w:pPr>
    </w:p>
    <w:p>
      <w:pPr>
        <w:pStyle w:val="P4"/>
        <w:spacing w:lineRule="auto" w:line="258"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8F9FA"/>
        </w:rPr>
        <w:t>Film title</w:t>
      </w:r>
      <w:r>
        <w:rPr>
          <w:rFonts w:ascii="Times New Roman" w:hAnsi="Times New Roman"/>
          <w:color w:val="000000"/>
          <w:sz w:val="28"/>
          <w:shd w:val="clear" w:fill="F8F9FA"/>
        </w:rPr>
        <w:t xml:space="preserve"> - </w:t>
      </w:r>
      <w:r>
        <w:rPr>
          <w:rFonts w:ascii="Times New Roman" w:hAnsi="Times New Roman"/>
          <w:color w:val="000000"/>
          <w:sz w:val="28"/>
          <w:shd w:val="clear" w:fill="F8F9FA"/>
        </w:rPr>
        <w:t>Type of di</w:t>
      </w:r>
      <w:r>
        <w:rPr>
          <w:rFonts w:ascii="Times New Roman" w:hAnsi="Times New Roman"/>
          <w:color w:val="000000"/>
          <w:sz w:val="28"/>
          <w:shd w:val="clear" w:fill="F8F9FA"/>
        </w:rPr>
        <w:t>scount</w:t>
      </w:r>
      <w:r>
        <w:rPr>
          <w:rFonts w:ascii="Times New Roman" w:hAnsi="Times New Roman"/>
          <w:color w:val="000000"/>
          <w:sz w:val="28"/>
          <w:shd w:val="clear" w:fill="F8F9FA"/>
        </w:rPr>
        <w:t xml:space="preserve">: знаючи </w:t>
      </w:r>
      <w:r>
        <w:rPr>
          <w:rFonts w:ascii="Times New Roman" w:hAnsi="Times New Roman"/>
          <w:color w:val="000000"/>
          <w:sz w:val="28"/>
          <w:shd w:val="clear" w:fill="F8F9FA"/>
        </w:rPr>
        <w:t>назву ф</w:t>
      </w:r>
      <w:r>
        <w:rPr>
          <w:rFonts w:ascii="Times New Roman" w:hAnsi="Times New Roman"/>
          <w:color w:val="000000"/>
          <w:sz w:val="28"/>
          <w:shd w:val="clear" w:fill="F8F9FA"/>
        </w:rPr>
        <w:t>iльму</w:t>
      </w:r>
      <w:r>
        <w:rPr>
          <w:rFonts w:ascii="Times New Roman" w:hAnsi="Times New Roman"/>
          <w:color w:val="000000"/>
          <w:sz w:val="28"/>
          <w:shd w:val="clear" w:fill="F8F9FA"/>
        </w:rPr>
        <w:t xml:space="preserve"> </w:t>
      </w:r>
      <w:r>
        <w:rPr>
          <w:rFonts w:ascii="Times New Roman" w:hAnsi="Times New Roman"/>
          <w:sz w:val="28"/>
        </w:rPr>
        <w:t>можливо дiзнатися тип знижки яка нада</w:t>
      </w:r>
      <w:bookmarkStart w:id="6" w:name="_dx_frag_StartFragment"/>
      <w:bookmarkEnd w:id="6"/>
      <w:r>
        <w:rPr>
          <w:rFonts w:ascii="Times New Roman" w:hAnsi="Times New Roman"/>
          <w:sz w:val="28"/>
        </w:rPr>
        <w:t>є</w:t>
      </w:r>
      <w:r>
        <w:rPr>
          <w:rFonts w:ascii="Times New Roman" w:hAnsi="Times New Roman"/>
          <w:sz w:val="28"/>
        </w:rPr>
        <w:t>ться глядачу</w:t>
      </w:r>
      <w:r>
        <w:rPr>
          <w:rFonts w:ascii="Times New Roman" w:hAnsi="Times New Roman"/>
          <w:sz w:val="28"/>
        </w:rPr>
        <w:t>, але iнодi знижка може бути однакова.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4"/>
        </w:rPr>
      </w:pP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Film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film title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Duration</w:t>
      </w:r>
      <w:r>
        <w:rPr>
          <w:rFonts w:ascii="Times New Roman" w:hAnsi="Times New Roman"/>
          <w:sz w:val="28"/>
        </w:rPr>
        <w:t xml:space="preserve">: знаючи назвн фiльму можна знайти його точну тривалiсть 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(тривалicть може бути однакова  (дуже рідко</w:t>
      </w:r>
      <w:bookmarkStart w:id="7" w:name="_GoBack"/>
      <w:bookmarkEnd w:id="7"/>
      <w:r>
        <w:rPr>
          <w:rFonts w:ascii="Times New Roman" w:hAnsi="Times New Roman"/>
          <w:sz w:val="28"/>
        </w:rPr>
        <w:t>))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Cashier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DATA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cash register number</w:t>
      </w:r>
      <w:r>
        <w:rPr>
          <w:rFonts w:ascii="Times New Roman" w:hAnsi="Times New Roman"/>
          <w:sz w:val="28"/>
        </w:rPr>
        <w:t xml:space="preserve"> - знаючи П.I</w:t>
      </w:r>
      <w:r>
        <w:rPr>
          <w:rFonts w:ascii="Times New Roman" w:hAnsi="Times New Roman"/>
          <w:sz w:val="28"/>
        </w:rPr>
        <w:t xml:space="preserve"> касира можна дiзнатися за якою кассою вiн зараз працю</w:t>
      </w:r>
      <w:r>
        <w:rPr>
          <w:rFonts w:ascii="Times New Roman" w:hAnsi="Times New Roman"/>
          <w:color w:val="auto"/>
          <w:sz w:val="24"/>
        </w:rPr>
        <w:t>є (</w:t>
      </w:r>
      <w:r>
        <w:rPr>
          <w:rFonts w:ascii="Times New Roman" w:hAnsi="Times New Roman"/>
          <w:sz w:val="28"/>
        </w:rPr>
        <w:t>ПІБ різних касирiв можуть збігатися (дуже рідко)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Discount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Type of discount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Size of discount</w:t>
      </w:r>
      <w:r>
        <w:rPr>
          <w:rFonts w:ascii="Times New Roman" w:hAnsi="Times New Roman"/>
          <w:sz w:val="28"/>
        </w:rPr>
        <w:t xml:space="preserve"> : знаючи </w:t>
      </w:r>
      <w:r>
        <w:rPr>
          <w:rFonts w:ascii="Times New Roman" w:hAnsi="Times New Roman"/>
          <w:sz w:val="28"/>
        </w:rPr>
        <w:t>тип знижки</w:t>
      </w:r>
      <w:r>
        <w:rPr>
          <w:rFonts w:ascii="Times New Roman" w:hAnsi="Times New Roman"/>
          <w:sz w:val="28"/>
        </w:rPr>
        <w:t xml:space="preserve"> можна дiзнатися </w:t>
      </w:r>
      <w:r>
        <w:rPr>
          <w:rFonts w:ascii="Times New Roman" w:hAnsi="Times New Roman"/>
          <w:sz w:val="28"/>
        </w:rPr>
        <w:t>розмiр знижки</w:t>
      </w:r>
      <w:r>
        <w:rPr>
          <w:rFonts w:ascii="Times New Roman" w:hAnsi="Times New Roman"/>
          <w:sz w:val="28"/>
        </w:rPr>
        <w:t xml:space="preserve">, але iнодi </w:t>
      </w:r>
      <w:r>
        <w:rPr>
          <w:rFonts w:ascii="Times New Roman" w:hAnsi="Times New Roman"/>
          <w:sz w:val="28"/>
        </w:rPr>
        <w:t>знижк</w:t>
      </w:r>
      <w:r>
        <w:rPr>
          <w:rFonts w:ascii="Times New Roman" w:hAnsi="Times New Roman"/>
          <w:sz w:val="28"/>
        </w:rPr>
        <w:t xml:space="preserve">а </w:t>
      </w:r>
      <w:r>
        <w:rPr>
          <w:rFonts w:ascii="Times New Roman" w:hAnsi="Times New Roman"/>
          <w:sz w:val="28"/>
        </w:rPr>
        <w:t>може бути однакова.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Всi таблицi відповідають 1НФ тому що значення в кожному стовпці таблиці атомарнi: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1)Кожне відношення "комірка" повинно містити одне значення.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 xml:space="preserve">2)Кожен запис повинен бути унікальним </w:t>
      </w:r>
    </w:p>
    <w:p>
      <w:pPr>
        <w:spacing w:before="24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strike w:val="0"/>
          <w:sz w:val="28"/>
        </w:rPr>
        <w:t xml:space="preserve">Всi таблицi відповідають 2НФ тому що вони вiдповiдають 1НФ i </w:t>
      </w:r>
      <w:r>
        <w:rPr>
          <w:rFonts w:ascii="Times New Roman" w:hAnsi="Times New Roman"/>
          <w:sz w:val="32"/>
        </w:rPr>
        <w:t>тому що немає ключів, які складаються з двох і більше атрибутів.</w:t>
      </w:r>
    </w:p>
    <w:p>
      <w:pPr>
        <w:spacing w:before="24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Всi таблицi відповідають 3НФ тому що вони вiдповiдають 2НФ i також </w:t>
      </w:r>
      <w:r>
        <w:rPr>
          <w:rFonts w:ascii="Times New Roman" w:hAnsi="Times New Roman"/>
          <w:sz w:val="32"/>
        </w:rPr>
        <w:t>немає транзитивних функціональних залежностей між ключовими та неключовими атрибутами.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№4 завдання:</w:t>
      </w:r>
    </w:p>
    <w:p>
      <w:pPr>
        <w:pStyle w:val="P3"/>
        <w:rPr>
          <w:rFonts w:ascii="Times New Roman" w:hAnsi="Times New Roman"/>
        </w:rPr>
      </w:pPr>
      <w:r>
        <w:rPr>
          <w:rFonts w:ascii="Times New Roman" w:hAnsi="Times New Roman"/>
          <w:b w:val="1"/>
          <w:strike w:val="0"/>
          <w:sz w:val="28"/>
        </w:rPr>
        <w:t xml:space="preserve">Копії екрану з pgAdmin4, що відображають </w:t>
      </w:r>
      <w:r>
        <w:rPr>
          <w:rFonts w:ascii="Times New Roman" w:hAnsi="Times New Roman"/>
          <w:b w:val="1"/>
          <w:strike w:val="0"/>
          <w:color w:val="000000"/>
          <w:sz w:val="28"/>
        </w:rPr>
        <w:t xml:space="preserve">назви та типи стовпців та їх </w:t>
      </w:r>
      <w:r>
        <w:rPr>
          <w:rFonts w:ascii="Times New Roman" w:hAnsi="Times New Roman"/>
          <w:b w:val="1"/>
          <w:strike w:val="0"/>
          <w:sz w:val="28"/>
        </w:rPr>
        <w:t>вміст бази даних у PostgreSQL:</w:t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103620" cy="22631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263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109970" cy="15494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549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072505" cy="113157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11315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079490" cy="215011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21501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8C5F79A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1">
    <w:nsid w:val="7461C206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2">
    <w:nsid w:val="7A30A825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3">
    <w:nsid w:val="6AD6E0BD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4">
    <w:nsid w:val="77F96686"/>
    <w:multiLevelType w:val="hybridMultilevel"/>
    <w:lvl w:ilvl="0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720"/>
      </w:pPr>
      <w:rPr>
        <w:rFonts w:ascii="Symbol" w:hAnsi="Symbol"/>
      </w:rPr>
    </w:lvl>
    <w:lvl w:ilvl="1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160"/>
      </w:pPr>
      <w:rPr>
        <w:rFonts w:ascii="Wingdings" w:hAnsi="Wingdings"/>
      </w:rPr>
    </w:lvl>
    <w:lvl w:ilvl="3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2880"/>
      </w:pPr>
      <w:rPr>
        <w:rFonts w:ascii="Symbol" w:hAnsi="Symbol"/>
      </w:rPr>
    </w:lvl>
    <w:lvl w:ilvl="4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4320"/>
      </w:pPr>
      <w:rPr>
        <w:rFonts w:ascii="Wingdings" w:hAnsi="Wingdings"/>
      </w:rPr>
    </w:lvl>
    <w:lvl w:ilvl="6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5040"/>
      </w:pPr>
      <w:rPr>
        <w:rFonts w:ascii="Symbol" w:hAnsi="Symbol"/>
      </w:rPr>
    </w:lvl>
    <w:lvl w:ilvl="7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pPr>
      <w:spacing w:lineRule="auto" w:line="275" w:before="480" w:after="0" w:beforeAutospacing="0" w:afterAutospacing="0"/>
      <w:outlineLvl w:val="0"/>
    </w:pPr>
    <w:rPr>
      <w:rFonts w:ascii="Cambria" w:hAnsi="Cambria"/>
      <w:b w:val="1"/>
      <w:color w:val="365F91"/>
      <w:sz w:val="28"/>
    </w:rPr>
  </w:style>
  <w:style w:type="paragraph" w:styleId="P2">
    <w:name w:val="Heading 2"/>
    <w:basedOn w:val="P0"/>
    <w:pPr>
      <w:spacing w:before="200" w:after="0" w:beforeAutospacing="0" w:afterAutospacing="0"/>
      <w:outlineLvl w:val="1"/>
    </w:pPr>
    <w:rPr>
      <w:rFonts w:ascii="Cambria" w:hAnsi="Cambria"/>
      <w:b w:val="1"/>
      <w:color w:val="4F81BD"/>
      <w:sz w:val="26"/>
    </w:rPr>
  </w:style>
  <w:style w:type="paragraph" w:styleId="P3">
    <w:name w:val="Body Text"/>
    <w:basedOn w:val="P0"/>
    <w:pPr>
      <w:spacing w:lineRule="auto" w:line="240" w:after="0" w:beforeAutospacing="0" w:afterAutospacing="0"/>
      <w:jc w:val="left"/>
    </w:pPr>
    <w:rPr>
      <w:rFonts w:ascii="Times New Roman" w:hAnsi="Times New Roman"/>
      <w:strike w:val="1"/>
    </w:rPr>
  </w:style>
  <w:style w:type="paragraph" w:styleId="P4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