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3FE0E2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jc w:val="center"/>
        <w:rPr>
          <w:rFonts w:ascii="Times New Roman" w:hAnsi="Times New Roman"/>
          <w:sz w:val="32"/>
        </w:rPr>
      </w:pPr>
      <w:r>
        <w:drawing>
          <wp:inline xmlns:wp="http://schemas.openxmlformats.org/drawingml/2006/wordprocessingDrawing">
            <wp:extent cx="3475990" cy="6362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36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left="142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«КИЇВСЬКИЙ ПОЛІТЕХНІЧНИЙ ІНСТИТУТ імені Ігоря Сікорського» 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 ПРИКЛАДНОЇ МАТЕМАТИКИ</w:t>
      </w:r>
    </w:p>
    <w:p>
      <w:pPr>
        <w:pStyle w:val="P1"/>
        <w:keepNext w:val="1"/>
        <w:keepLines w:val="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системного програмування та спеціалізованих комп’ютерних систем</w:t>
      </w:r>
    </w:p>
    <w:p>
      <w:pPr>
        <w:jc w:val="center"/>
        <w:rPr>
          <w:rFonts w:ascii="Times New Roman" w:hAnsi="Times New Roman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Лабораторна робота №1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з дисципліни</w:t>
      </w:r>
    </w:p>
    <w:p>
      <w:pPr>
        <w:spacing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«Бази даних і засоби управління»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pStyle w:val="P2"/>
        <w:keepNext w:val="1"/>
        <w:keepLines w:val="1"/>
        <w:spacing w:lineRule="auto" w:line="360" w:before="74" w:after="160" w:beforeAutospacing="0" w:afterAutospacing="0"/>
        <w:ind w:hanging="536" w:left="2183" w:right="1709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 xml:space="preserve">Тема: </w:t>
      </w:r>
      <w:r>
        <w:rPr>
          <w:rFonts w:ascii="Times New Roman" w:hAnsi="Times New Roman"/>
          <w:b w:val="0"/>
          <w:color w:val="000000"/>
          <w:sz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/>
          <w:sz w:val="24"/>
        </w:rPr>
        <w:t>Проектування бази даних та ознайомлення з базовими операціями СУБД PostgreSQL»</w:t>
      </w:r>
    </w:p>
    <w:p>
      <w:pPr>
        <w:spacing w:after="0" w:beforeAutospacing="0" w:afterAutospacing="0"/>
        <w:rPr>
          <w:rFonts w:ascii="Times New Roman" w:hAnsi="Times New Roman"/>
          <w:b w:val="1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Виконав: студент ІІI курсу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ФПМ групи КВ-84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Байдаус.М.В.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Перевірив: 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Київ – 2020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8000"/>
          <w:sz w:val="19"/>
        </w:rPr>
      </w:pPr>
    </w:p>
    <w:p>
      <w:pPr>
        <w:spacing w:lineRule="auto" w:line="36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sz w:val="32"/>
        </w:rPr>
        <w:t>Варіант (опис обраної предметної галузі):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t>сервіс продажу квитків кіно (зал, сеанс, фільм, місце/ряд);</w:t>
      </w:r>
      <w:r>
        <w:rPr>
          <w:rFonts w:ascii="Times New Roman" w:hAnsi="Times New Roman"/>
        </w:rPr>
        <w:t xml:space="preserve"> 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Вимоги до звітування щодо пунктів 1-4 завдання:</w:t>
      </w:r>
    </w:p>
    <w:p>
      <w:pPr>
        <w:pStyle w:val="P3"/>
        <w:widowControl w:val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№1 завдання має бути: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перелік сутностей з описом їх призначення;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графічний файл розробленої моделі «сутність-зв’язок»;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назва нотації.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№2 завдання має бути: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rFonts w:ascii="Times New Roman" w:hAnsi="Times New Roman"/>
          <w:b w:val="1"/>
          <w:strike w:val="0"/>
          <w:color w:val="000000"/>
          <w:sz w:val="28"/>
        </w:rPr>
        <w:t>з назвами таблиць (!) та зв’язками між ними.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№3 завдання має бути: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№4 завдання має бути: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навести копії екрану з pgAdmin4,</w:t>
      </w:r>
      <w:bookmarkStart w:id="2" w:name="__DdeLink__1487_3492997997"/>
      <w:r>
        <w:rPr>
          <w:rFonts w:ascii="Times New Roman" w:hAnsi="Times New Roman"/>
          <w:strike w:val="0"/>
          <w:color w:val="000000"/>
          <w:sz w:val="28"/>
        </w:rPr>
        <w:t xml:space="preserve"> що відображають назви та типи стовпців</w:t>
      </w:r>
      <w:bookmarkEnd w:id="2"/>
      <w:r>
        <w:rPr>
          <w:rFonts w:ascii="Times New Roman" w:hAnsi="Times New Roman"/>
          <w:strike w:val="0"/>
          <w:color w:val="000000"/>
          <w:sz w:val="28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rFonts w:ascii="Times New Roman" w:hAnsi="Times New Roman"/>
          <w:b w:val="1"/>
          <w:strike w:val="0"/>
          <w:color w:val="000000"/>
          <w:sz w:val="28"/>
        </w:rPr>
        <w:t>повинні мати назву</w:t>
      </w:r>
      <w:r>
        <w:rPr>
          <w:rFonts w:ascii="Times New Roman" w:hAnsi="Times New Roman"/>
          <w:strike w:val="0"/>
          <w:color w:val="000000"/>
          <w:sz w:val="28"/>
        </w:rPr>
        <w:t>!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color w:val="000000"/>
          <w:sz w:val="32"/>
        </w:rPr>
        <w:t>Звіт щодо пункту №1 завдання: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strike w:val="0"/>
          <w:sz w:val="28"/>
        </w:rPr>
        <w:t>Перелік сутностей з описом їх призначення: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“Кiно” призначено для ідентификації тривалостi фiльма та назви.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 xml:space="preserve">Сутність “Глядач” призначено для визначення цiни квитка </w:t>
      </w:r>
      <w:r>
        <w:rPr>
          <w:rFonts w:ascii="Times New Roman" w:hAnsi="Times New Roman"/>
          <w:strike w:val="0"/>
          <w:sz w:val="28"/>
        </w:rPr>
        <w:t>та чи бронював глядач квиток</w:t>
      </w:r>
      <w:r>
        <w:rPr>
          <w:rFonts w:ascii="Times New Roman" w:hAnsi="Times New Roman"/>
          <w:strike w:val="0"/>
          <w:sz w:val="28"/>
        </w:rPr>
        <w:t xml:space="preserve"> 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Сутність “Касир” призначено для визначення номера касси та П.I.Б. касира.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</w:t>
      </w:r>
      <w:r>
        <w:rPr>
          <w:rFonts w:ascii="Times New Roman" w:hAnsi="Times New Roman"/>
          <w:strike w:val="0"/>
          <w:sz w:val="28"/>
        </w:rPr>
        <w:t>Квиток</w:t>
      </w:r>
      <w:r>
        <w:rPr>
          <w:rFonts w:ascii="Times New Roman" w:hAnsi="Times New Roman"/>
          <w:strike w:val="0"/>
          <w:sz w:val="28"/>
        </w:rPr>
        <w:t>”</w:t>
      </w:r>
      <w:r>
        <w:rPr>
          <w:rFonts w:ascii="Times New Roman" w:hAnsi="Times New Roman"/>
          <w:strike w:val="0"/>
          <w:sz w:val="28"/>
        </w:rPr>
        <w:t xml:space="preserve"> </w:t>
      </w:r>
      <w:r>
        <w:rPr>
          <w:rFonts w:ascii="Times New Roman" w:hAnsi="Times New Roman"/>
          <w:strike w:val="0"/>
          <w:sz w:val="28"/>
        </w:rPr>
        <w:t>призначено для визначення</w:t>
      </w:r>
      <w:r>
        <w:rPr>
          <w:rFonts w:ascii="Times New Roman" w:hAnsi="Times New Roman"/>
          <w:strike w:val="0"/>
          <w:sz w:val="28"/>
        </w:rPr>
        <w:t xml:space="preserve"> </w:t>
      </w:r>
      <w:r>
        <w:rPr>
          <w:rFonts w:ascii="Times New Roman" w:hAnsi="Times New Roman"/>
          <w:strike w:val="0"/>
          <w:sz w:val="28"/>
        </w:rPr>
        <w:t xml:space="preserve">цiни квитка та мicця i ряду 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Графічний файл розробленої моделі «сутність-зв’язок»:</w:t>
      </w:r>
    </w:p>
    <w:p>
      <w:pPr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104890" cy="33369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36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Назва нотації: </w:t>
      </w:r>
      <w:r>
        <w:rPr>
          <w:rFonts w:ascii="Times New Roman" w:hAnsi="Times New Roman"/>
          <w:strike w:val="0"/>
          <w:sz w:val="28"/>
        </w:rPr>
        <w:t>Нотація Чена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№2 завдання: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Опис процесу перетворення:  </w:t>
      </w:r>
      <w:r>
        <w:rPr>
          <w:rFonts w:ascii="Times New Roman" w:hAnsi="Times New Roman"/>
          <w:b w:val="0"/>
          <w:strike w:val="0"/>
          <w:sz w:val="28"/>
        </w:rPr>
        <w:t>Атрибут "Цiна квитка" таблицi з сутнiстю "Глядач" зумовив появу нової таблицi "Квиток".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Схема бази даних у графічному вигляді:</w:t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028055" cy="19812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1981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№3 завдання: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  <w:strike w:val="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Пояснення щодо відповідності схеми бази даних нормальним формам: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Глядач - Кiно : один глядач iде на одне кiно , на одне кiно йде багато глядачiвю.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Кiно - Касир : на кожен фiльм квитки продають по декiлька касирiв . Кожен касир прода</w:t>
      </w:r>
      <w:r>
        <w:rPr>
          <w:rFonts w:ascii="Times New Roman" w:hAnsi="Times New Roman"/>
          <w:b w:val="0"/>
          <w:i w:val="0"/>
          <w:strike w:val="0"/>
          <w:color w:val="auto"/>
          <w:sz w:val="28"/>
          <w:shd w:val="clear" w:fill="FFFFFF"/>
        </w:rPr>
        <w:t>є</w:t>
      </w:r>
      <w:r>
        <w:rPr>
          <w:rFonts w:ascii="Times New Roman" w:hAnsi="Times New Roman"/>
          <w:strike w:val="0"/>
          <w:color w:val="auto"/>
          <w:shd w:val="clear" w:fill="FFFFFF"/>
        </w:rPr>
        <w:t xml:space="preserve"> 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квитки на декiлька фiльмiв.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Глядач - Квиток : один глядач м</w:t>
      </w:r>
      <w:r>
        <w:rPr>
          <w:rFonts w:ascii="Times New Roman" w:hAnsi="Times New Roman"/>
          <w:b w:val="0"/>
          <w:strike w:val="0"/>
          <w:color w:val="auto"/>
          <w:sz w:val="28"/>
        </w:rPr>
        <w:t>а</w:t>
      </w:r>
      <w:r>
        <w:rPr>
          <w:rFonts w:ascii="Times New Roman" w:hAnsi="Times New Roman"/>
          <w:b w:val="0"/>
          <w:i w:val="0"/>
          <w:strike w:val="0"/>
          <w:color w:val="auto"/>
          <w:sz w:val="28"/>
        </w:rPr>
        <w:t>є</w:t>
      </w:r>
      <w:r>
        <w:rPr>
          <w:rFonts w:ascii="Times New Roman" w:hAnsi="Times New Roman"/>
          <w:strike w:val="0"/>
          <w:color w:val="auto"/>
          <w:sz w:val="28"/>
        </w:rPr>
        <w:t xml:space="preserve"> один квиток. Один квиток розрахований лише на одного глядача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Функціональні залежності: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Глядач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8F9FA"/>
        </w:rPr>
        <w:t>Цiна квитка - Бронювання квитка</w:t>
      </w:r>
      <w:r>
        <w:rPr>
          <w:rFonts w:ascii="Times New Roman" w:hAnsi="Times New Roman"/>
          <w:sz w:val="24"/>
        </w:rPr>
        <w:t xml:space="preserve">  : знаючи ц</w:t>
      </w:r>
      <w:r>
        <w:rPr>
          <w:rFonts w:ascii="Times New Roman" w:hAnsi="Times New Roman"/>
          <w:color w:val="000000"/>
          <w:sz w:val="24"/>
          <w:shd w:val="clear" w:fill="F8F9FA"/>
        </w:rPr>
        <w:t>iну квитка</w:t>
      </w:r>
      <w:r>
        <w:rPr>
          <w:rFonts w:ascii="Times New Roman" w:hAnsi="Times New Roman"/>
          <w:sz w:val="24"/>
        </w:rPr>
        <w:t xml:space="preserve"> можливо дiзнатися чи бронювався вiн (якщо за бронювання надається знижка 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Кiно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назва фiльму- Тривалicть  : знаючи назвн фiльму можна знайти його точну тривалiсть 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(тривалicть може бути однакова  (дуже рідко</w:t>
      </w:r>
      <w:bookmarkStart w:id="3" w:name="_GoBack"/>
      <w:bookmarkEnd w:id="3"/>
      <w:r>
        <w:rPr>
          <w:rFonts w:ascii="Times New Roman" w:hAnsi="Times New Roman"/>
          <w:sz w:val="28"/>
        </w:rPr>
        <w:t>))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Касир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П.I.Б. - Номер каси - знаючи П.I.Б касира можна дiзнатися за якою кассою вiн зараз працю</w:t>
      </w:r>
      <w:r>
        <w:rPr>
          <w:rFonts w:ascii="Times New Roman" w:hAnsi="Times New Roman"/>
          <w:color w:val="auto"/>
          <w:sz w:val="24"/>
        </w:rPr>
        <w:t>є (</w:t>
      </w:r>
      <w:r>
        <w:rPr>
          <w:rFonts w:ascii="Times New Roman" w:hAnsi="Times New Roman"/>
          <w:sz w:val="28"/>
        </w:rPr>
        <w:t>ПІБ різних касирiв можуть збігатися (дуже рідко)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Квиток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Цiна квитка - мicце/ряд : знаючи цiну квитка можна дiзнатися мicце/ряд, але iнодi цiна може бути однакова.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Всi таблицi відповідають 1НФ тому що значення в кожному стовпці таблиці атомарнi: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1)Кожне відношення "комірка" повинно містити одне значення.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 xml:space="preserve">2)Кожен запис повинен бути унікальним </w:t>
      </w:r>
    </w:p>
    <w:p>
      <w:pPr>
        <w:spacing w:before="24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strike w:val="0"/>
          <w:sz w:val="28"/>
        </w:rPr>
        <w:t xml:space="preserve">Всi таблицi відповідають 2НФ тому що вони вiдповiдають 1НФ i </w:t>
      </w:r>
      <w:r>
        <w:rPr>
          <w:rFonts w:ascii="Times New Roman" w:hAnsi="Times New Roman"/>
          <w:sz w:val="32"/>
        </w:rPr>
        <w:t>тому що немає ключів, які складаються з двох і більше атрибутів.</w:t>
      </w:r>
    </w:p>
    <w:p>
      <w:pPr>
        <w:spacing w:before="24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Всi таблицi відповідають 3НФ тому що вони вiдповiдають 2НФ i також </w:t>
      </w:r>
      <w:r>
        <w:rPr>
          <w:rFonts w:ascii="Times New Roman" w:hAnsi="Times New Roman"/>
          <w:sz w:val="32"/>
        </w:rPr>
        <w:t>немає транзитивних функціональних залежностей між ключовими та неключовими атрибутами.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№4 завдання:</w:t>
      </w:r>
    </w:p>
    <w:p>
      <w:pPr>
        <w:pStyle w:val="P3"/>
        <w:rPr>
          <w:rFonts w:ascii="Times New Roman" w:hAnsi="Times New Roman"/>
          <w:b w:val="1"/>
          <w:strike w:val="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Копії екрану з pgAdmin4, що відображають </w:t>
      </w:r>
      <w:r>
        <w:rPr>
          <w:rFonts w:ascii="Times New Roman" w:hAnsi="Times New Roman"/>
          <w:b w:val="1"/>
          <w:strike w:val="0"/>
          <w:color w:val="000000"/>
          <w:sz w:val="28"/>
        </w:rPr>
        <w:t xml:space="preserve">назви та типи стовпців та їх </w:t>
      </w:r>
      <w:r>
        <w:rPr>
          <w:rFonts w:ascii="Times New Roman" w:hAnsi="Times New Roman"/>
          <w:b w:val="1"/>
          <w:strike w:val="0"/>
          <w:sz w:val="28"/>
        </w:rPr>
        <w:t>вміст бази даних у PostgreSQL:</w:t>
      </w:r>
    </w:p>
    <w:p>
      <w:pPr>
        <w:pStyle w:val="P3"/>
        <w:rPr>
          <w:rFonts w:ascii="Times New Roman" w:hAnsi="Times New Roman"/>
          <w:b w:val="1"/>
          <w:strike w:val="0"/>
          <w:sz w:val="28"/>
        </w:rPr>
      </w:pPr>
      <w:r>
        <w:drawing>
          <wp:inline xmlns:wp="http://schemas.openxmlformats.org/drawingml/2006/wordprocessingDrawing">
            <wp:extent cx="5600700" cy="7905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90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5486400" cy="9429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114925" cy="17716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095875" cy="16383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38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8C5F79A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1">
    <w:nsid w:val="7461C206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2">
    <w:nsid w:val="7A30A825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3">
    <w:nsid w:val="6AD6E0BD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4">
    <w:nsid w:val="77F96686"/>
    <w:multiLevelType w:val="hybridMultilevel"/>
    <w:lvl w:ilvl="0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720"/>
      </w:pPr>
      <w:rPr>
        <w:rFonts w:ascii="Symbol" w:hAnsi="Symbol"/>
      </w:rPr>
    </w:lvl>
    <w:lvl w:ilvl="1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160"/>
      </w:pPr>
      <w:rPr>
        <w:rFonts w:ascii="Wingdings" w:hAnsi="Wingdings"/>
      </w:rPr>
    </w:lvl>
    <w:lvl w:ilvl="3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2880"/>
      </w:pPr>
      <w:rPr>
        <w:rFonts w:ascii="Symbol" w:hAnsi="Symbol"/>
      </w:rPr>
    </w:lvl>
    <w:lvl w:ilvl="4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4320"/>
      </w:pPr>
      <w:rPr>
        <w:rFonts w:ascii="Wingdings" w:hAnsi="Wingdings"/>
      </w:rPr>
    </w:lvl>
    <w:lvl w:ilvl="6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5040"/>
      </w:pPr>
      <w:rPr>
        <w:rFonts w:ascii="Symbol" w:hAnsi="Symbol"/>
      </w:rPr>
    </w:lvl>
    <w:lvl w:ilvl="7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pPr>
      <w:spacing w:lineRule="auto" w:line="275" w:before="480" w:after="0" w:beforeAutospacing="0" w:afterAutospacing="0"/>
      <w:outlineLvl w:val="0"/>
    </w:pPr>
    <w:rPr>
      <w:rFonts w:ascii="Cambria" w:hAnsi="Cambria"/>
      <w:b w:val="1"/>
      <w:color w:val="365F91"/>
      <w:sz w:val="28"/>
    </w:rPr>
  </w:style>
  <w:style w:type="paragraph" w:styleId="P2">
    <w:name w:val="Heading 2"/>
    <w:basedOn w:val="P0"/>
    <w:pPr>
      <w:spacing w:before="200" w:after="0" w:beforeAutospacing="0" w:afterAutospacing="0"/>
      <w:outlineLvl w:val="1"/>
    </w:pPr>
    <w:rPr>
      <w:rFonts w:ascii="Cambria" w:hAnsi="Cambria"/>
      <w:b w:val="1"/>
      <w:color w:val="4F81BD"/>
      <w:sz w:val="26"/>
    </w:rPr>
  </w:style>
  <w:style w:type="paragraph" w:styleId="P3">
    <w:name w:val="Body Text"/>
    <w:basedOn w:val="P0"/>
    <w:pPr>
      <w:spacing w:lineRule="auto" w:line="240" w:after="0" w:beforeAutospacing="0" w:afterAutospacing="0"/>
      <w:jc w:val="left"/>
    </w:pPr>
    <w:rPr>
      <w:rFonts w:ascii="Times New Roman" w:hAnsi="Times New Roman"/>
      <w:strike w:val="1"/>
    </w:rPr>
  </w:style>
  <w:style w:type="paragraph" w:styleId="P4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bmp" /><Relationship Id="Relimage7" Type="http://schemas.openxmlformats.org/officeDocument/2006/relationships/image" Target="/media/image7.bmp" /><Relationship Id="Relimage3" Type="http://schemas.openxmlformats.org/officeDocument/2006/relationships/image" Target="/media/image3.bmp" /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1" Type="http://schemas.openxmlformats.org/officeDocument/2006/relationships/image" Target="/media/image1.jpg" /><Relationship Id="Relimage5" Type="http://schemas.openxmlformats.org/officeDocument/2006/relationships/image" Target="/media/image5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