
<file path=[Content_Types].xml><?xml version="1.0" encoding="utf-8"?>
<Types xmlns="http://schemas.openxmlformats.org/package/2006/content-types">
  <Default Extension="rels" ContentType="application/vnd.openxmlformats-package.relationships+xml"/>
  <Default Extension="jpg" ContentType="image/jpeg"/>
  <Default Extension="png" ContentType="image/png"/>
  <Default Extension="bmp" ContentType="image/bitmap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48859926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 w:beforeAutospacing="0" w:afterAutospacing="0"/>
        <w:jc w:val="center"/>
        <w:rPr>
          <w:rFonts w:ascii="Times New Roman" w:hAnsi="Times New Roman"/>
          <w:sz w:val="32"/>
        </w:rPr>
      </w:pPr>
      <w:r>
        <w:drawing>
          <wp:inline xmlns:wp="http://schemas.openxmlformats.org/drawingml/2006/wordprocessingDrawing">
            <wp:extent cx="3475990" cy="63627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63627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after="0" w:beforeAutospacing="0" w:afterAutospacing="0"/>
        <w:ind w:left="142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«КИЇВСЬКИЙ ПОЛІТЕХНІЧНИЙ ІНСТИТУТ імені Ігоря Сікорського» </w:t>
      </w:r>
    </w:p>
    <w:p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 ПРИКЛАДНОЇ МАТЕМАТИКИ</w:t>
      </w:r>
    </w:p>
    <w:p>
      <w:pPr>
        <w:pStyle w:val="P1"/>
        <w:keepNext w:val="1"/>
        <w:keepLines w:val="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 системного програмування та спеціалізованих комп’ютерних систем</w:t>
      </w:r>
    </w:p>
    <w:p>
      <w:pPr>
        <w:jc w:val="center"/>
        <w:rPr>
          <w:rFonts w:ascii="Times New Roman" w:hAnsi="Times New Roman"/>
          <w:sz w:val="32"/>
        </w:rPr>
      </w:pPr>
    </w:p>
    <w:p>
      <w:pPr>
        <w:jc w:val="center"/>
        <w:rPr>
          <w:rFonts w:ascii="Times New Roman" w:hAnsi="Times New Roman"/>
          <w:sz w:val="32"/>
        </w:rPr>
      </w:pPr>
    </w:p>
    <w:p>
      <w:pPr>
        <w:spacing w:after="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32"/>
        </w:rPr>
        <w:t>Лабораторна робота №1</w:t>
      </w:r>
    </w:p>
    <w:p>
      <w:pPr>
        <w:spacing w:after="0" w:beforeAutospacing="0" w:afterAutospacing="0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spacing w:after="0" w:beforeAutospacing="0" w:afterAutospacing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з дисципліни</w:t>
      </w:r>
    </w:p>
    <w:p>
      <w:pPr>
        <w:spacing w:after="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32"/>
        </w:rPr>
        <w:t>«Бази даних і засоби управління»</w:t>
      </w:r>
    </w:p>
    <w:p>
      <w:pPr>
        <w:spacing w:after="0" w:beforeAutospacing="0" w:afterAutospacing="0"/>
        <w:jc w:val="center"/>
        <w:rPr>
          <w:rFonts w:ascii="Times New Roman" w:hAnsi="Times New Roman"/>
          <w:b w:val="1"/>
          <w:color w:val="000000"/>
          <w:sz w:val="32"/>
        </w:rPr>
      </w:pPr>
    </w:p>
    <w:p>
      <w:pPr>
        <w:pStyle w:val="P2"/>
        <w:keepNext w:val="1"/>
        <w:keepLines w:val="1"/>
        <w:spacing w:lineRule="auto" w:line="360" w:before="74" w:after="160" w:beforeAutospacing="0" w:afterAutospacing="0"/>
        <w:ind w:hanging="536" w:left="2183" w:right="1709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 xml:space="preserve">Тема: </w:t>
      </w:r>
      <w:r>
        <w:rPr>
          <w:rFonts w:ascii="Times New Roman" w:hAnsi="Times New Roman"/>
          <w:b w:val="0"/>
          <w:color w:val="000000"/>
          <w:sz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0"/>
          <w:color w:val="000000"/>
          <w:sz w:val="24"/>
        </w:rPr>
        <w:t>Проектування бази даних та ознайомлення з базовими операціями СУБД PostgreSQL»</w:t>
      </w:r>
    </w:p>
    <w:p>
      <w:pPr>
        <w:spacing w:after="0" w:beforeAutospacing="0" w:afterAutospacing="0"/>
        <w:rPr>
          <w:rFonts w:ascii="Times New Roman" w:hAnsi="Times New Roman"/>
          <w:b w:val="1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>Виконав: студент ІІI курсу</w:t>
      </w:r>
    </w:p>
    <w:p>
      <w:pPr>
        <w:spacing w:lineRule="auto" w:line="36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ФПМ групи КВ-84</w:t>
      </w:r>
    </w:p>
    <w:p>
      <w:pPr>
        <w:spacing w:lineRule="auto" w:line="36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>Байдаус.М.В.</w:t>
      </w:r>
    </w:p>
    <w:p>
      <w:pPr>
        <w:spacing w:lineRule="auto" w:line="36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color w:val="000000"/>
          <w:sz w:val="32"/>
        </w:rPr>
        <w:t xml:space="preserve">Перевірив: 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32"/>
        </w:rPr>
        <w:t>Київ – 2020</w:t>
      </w: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color w:val="000000"/>
          <w:sz w:val="32"/>
        </w:rPr>
      </w:pPr>
    </w:p>
    <w:p>
      <w:pPr>
        <w:spacing w:lineRule="auto" w:line="360" w:after="0" w:beforeAutospacing="0" w:afterAutospacing="0"/>
        <w:jc w:val="center"/>
        <w:rPr>
          <w:rFonts w:ascii="Times New Roman" w:hAnsi="Times New Roman"/>
          <w:color w:val="008000"/>
          <w:sz w:val="19"/>
        </w:rPr>
      </w:pPr>
    </w:p>
    <w:p>
      <w:pPr>
        <w:spacing w:lineRule="auto" w:line="360" w:beforeAutospacing="0" w:afterAutospacing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sz w:val="32"/>
        </w:rPr>
        <w:t>Варіант (опис обраної предметної галузі):</w:t>
      </w:r>
    </w:p>
    <w:p>
      <w:pPr>
        <w:spacing w:lineRule="auto" w:line="240" w:after="0" w:beforeAutospacing="0" w:afterAutospacing="0"/>
        <w:rPr>
          <w:rFonts w:ascii="Times New Roman" w:hAnsi="Times New Roman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strike w:val="0"/>
          <w:color w:val="000000"/>
          <w:sz w:val="28"/>
          <w:u w:val="none"/>
        </w:rPr>
        <w:t>сервіс продажу квитків кіно (зал, сеанс, фільм, місце/ряд);</w:t>
      </w:r>
      <w:r>
        <w:rPr>
          <w:rFonts w:ascii="Times New Roman" w:hAnsi="Times New Roman"/>
        </w:rPr>
        <w:t xml:space="preserve"> </w:t>
      </w:r>
    </w:p>
    <w:p>
      <w:pPr>
        <w:spacing w:lineRule="auto" w:line="240" w:after="0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Вимоги до звітування щодо пунктів 1-4 завдання:</w:t>
      </w:r>
    </w:p>
    <w:p>
      <w:pPr>
        <w:pStyle w:val="P3"/>
        <w:widowControl w:val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№1 завдання має бути: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перелік сутностей з описом їх призначення;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графічний файл розробленої моделі «сутність-зв’язок»;</w:t>
      </w:r>
    </w:p>
    <w:p>
      <w:pPr>
        <w:pStyle w:val="P3"/>
        <w:widowControl w:val="0"/>
        <w:numPr>
          <w:ilvl w:val="0"/>
          <w:numId w:val="1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назва нотації.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№2 завдання має бути:</w:t>
      </w:r>
    </w:p>
    <w:p>
      <w:pPr>
        <w:pStyle w:val="P3"/>
        <w:widowControl w:val="0"/>
        <w:numPr>
          <w:ilvl w:val="0"/>
          <w:numId w:val="2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>
      <w:pPr>
        <w:pStyle w:val="P3"/>
        <w:widowControl w:val="0"/>
        <w:numPr>
          <w:ilvl w:val="0"/>
          <w:numId w:val="2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 xml:space="preserve">схему бази даних у графічному вигляді </w:t>
      </w:r>
      <w:r>
        <w:rPr>
          <w:rFonts w:ascii="Times New Roman" w:hAnsi="Times New Roman"/>
          <w:b w:val="1"/>
          <w:strike w:val="0"/>
          <w:color w:val="000000"/>
          <w:sz w:val="28"/>
        </w:rPr>
        <w:t>з назвами таблиць (!) та зв’язками між ними.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№3 завдання має бути:</w:t>
      </w:r>
    </w:p>
    <w:p>
      <w:pPr>
        <w:pStyle w:val="P3"/>
        <w:widowControl w:val="0"/>
        <w:numPr>
          <w:ilvl w:val="0"/>
          <w:numId w:val="3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>
      <w:pPr>
        <w:pStyle w:val="P3"/>
        <w:widowControl w:val="0"/>
        <w:numPr>
          <w:ilvl w:val="0"/>
          <w:numId w:val="3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У випадку проведення змін у схемі бази даних надати оновлену версію схеми, інакше - не наводити схему.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i w:val="1"/>
          <w:strike w:val="0"/>
          <w:color w:val="000000"/>
          <w:sz w:val="28"/>
        </w:rPr>
      </w:pPr>
      <w:r>
        <w:rPr>
          <w:rFonts w:ascii="Times New Roman" w:hAnsi="Times New Roman"/>
          <w:i w:val="1"/>
          <w:strike w:val="0"/>
          <w:color w:val="000000"/>
          <w:sz w:val="28"/>
        </w:rPr>
        <w:t>У звіті щодо пункту №4 завдання має бути:</w:t>
      </w:r>
    </w:p>
    <w:p>
      <w:pPr>
        <w:pStyle w:val="P3"/>
        <w:widowControl w:val="0"/>
        <w:numPr>
          <w:ilvl w:val="0"/>
          <w:numId w:val="4"/>
        </w:numPr>
        <w:tabs>
          <w:tab w:val="left" w:pos="0" w:leader="none"/>
          <w:tab w:val="left" w:pos="707" w:leader="none"/>
        </w:tabs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>навести копії екрану з pgAdmin4,</w:t>
      </w:r>
      <w:bookmarkStart w:id="2" w:name="__DdeLink__1487_3492997997"/>
      <w:r>
        <w:rPr>
          <w:rFonts w:ascii="Times New Roman" w:hAnsi="Times New Roman"/>
          <w:strike w:val="0"/>
          <w:color w:val="000000"/>
          <w:sz w:val="28"/>
        </w:rPr>
        <w:t xml:space="preserve"> що відображають назви та типи стовпців</w:t>
      </w:r>
      <w:bookmarkEnd w:id="2"/>
      <w:r>
        <w:rPr>
          <w:rFonts w:ascii="Times New Roman" w:hAnsi="Times New Roman"/>
          <w:strike w:val="0"/>
          <w:color w:val="000000"/>
          <w:sz w:val="28"/>
        </w:rPr>
        <w:t xml:space="preserve"> (доступне у закладці “Columns” властивостей “Properties” таблиць дерева об’єктів у pgAdmin4);</w:t>
      </w:r>
    </w:p>
    <w:p>
      <w:pPr>
        <w:pStyle w:val="P3"/>
        <w:widowControl w:val="0"/>
        <w:numPr>
          <w:ilvl w:val="0"/>
          <w:numId w:val="4"/>
        </w:numPr>
        <w:tabs>
          <w:tab w:val="left" w:pos="0" w:leader="none"/>
          <w:tab w:val="left" w:pos="707" w:leader="none"/>
        </w:tabs>
        <w:spacing w:lineRule="auto" w:line="331" w:after="200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color w:val="000000"/>
          <w:sz w:val="28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rFonts w:ascii="Times New Roman" w:hAnsi="Times New Roman"/>
          <w:b w:val="1"/>
          <w:strike w:val="0"/>
          <w:color w:val="000000"/>
          <w:sz w:val="28"/>
        </w:rPr>
        <w:t>повинні мати назву</w:t>
      </w:r>
      <w:r>
        <w:rPr>
          <w:rFonts w:ascii="Times New Roman" w:hAnsi="Times New Roman"/>
          <w:strike w:val="0"/>
          <w:color w:val="000000"/>
          <w:sz w:val="28"/>
        </w:rPr>
        <w:t>!</w:t>
      </w:r>
    </w:p>
    <w:p>
      <w:pPr>
        <w:spacing w:lineRule="auto" w:line="240" w:after="0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color w:val="000000"/>
          <w:sz w:val="32"/>
        </w:rPr>
        <w:t>Звіт щодо пункту №1 завдання: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  <w:strike w:val="0"/>
          <w:sz w:val="28"/>
        </w:rPr>
        <w:t>Перелік сутностей з описом їх призначення: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>Сутність “Кiно” призначено для ідентификації тривалостi фiльма та назви.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 xml:space="preserve">Сутність “Глядач” призначено для визначення </w:t>
      </w:r>
      <w:r>
        <w:rPr>
          <w:rFonts w:ascii="Times New Roman" w:hAnsi="Times New Roman"/>
          <w:strike w:val="0"/>
          <w:sz w:val="28"/>
        </w:rPr>
        <w:t>цiни квитка</w:t>
      </w:r>
      <w:r>
        <w:rPr>
          <w:rFonts w:ascii="Times New Roman" w:hAnsi="Times New Roman"/>
          <w:strike w:val="0"/>
          <w:sz w:val="28"/>
        </w:rPr>
        <w:t xml:space="preserve"> , в якому залi вiн буде 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color w:val="000000"/>
          <w:sz w:val="28"/>
        </w:rPr>
      </w:pPr>
      <w:r>
        <w:rPr>
          <w:rFonts w:ascii="Times New Roman" w:hAnsi="Times New Roman"/>
          <w:strike w:val="0"/>
          <w:sz w:val="28"/>
        </w:rPr>
        <w:t>Сутність “Касир” призначено для визначення номера касси та П.I.Б. касира.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Графічний файл розробленої моделі «сутність-зв’язок»:</w:t>
      </w:r>
    </w:p>
    <w:p>
      <w:pPr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096635" cy="437642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43764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sz w:val="28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sz w:val="28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Назва нотації: </w:t>
      </w:r>
      <w:r>
        <w:rPr>
          <w:rFonts w:ascii="Times New Roman" w:hAnsi="Times New Roman"/>
          <w:strike w:val="0"/>
          <w:sz w:val="28"/>
        </w:rPr>
        <w:t>Нотація Чена</w:t>
      </w:r>
    </w:p>
    <w:p>
      <w:pPr>
        <w:pStyle w:val="P3"/>
        <w:rPr>
          <w:rFonts w:ascii="Times New Roman" w:hAnsi="Times New Roman"/>
          <w:b w:val="1"/>
          <w:strike w:val="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№2 завдання:</w:t>
      </w:r>
    </w:p>
    <w:p>
      <w:pPr>
        <w:pStyle w:val="P3"/>
        <w:rPr>
          <w:rFonts w:ascii="Times New Roman" w:hAnsi="Times New Roman"/>
          <w:b w:val="1"/>
          <w:strike w:val="0"/>
          <w:sz w:val="32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Опис процесу перетворення:  </w:t>
      </w:r>
      <w:r>
        <w:rPr>
          <w:rFonts w:ascii="Times New Roman" w:hAnsi="Times New Roman"/>
          <w:b w:val="0"/>
          <w:strike w:val="0"/>
          <w:sz w:val="28"/>
        </w:rPr>
        <w:t>Атрибут "№Залу" таблицi з сутнiстю "Глядач" зумовив появу нової таблицi "Зал".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</w:rPr>
      </w:pP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Схема бази даних у графічному вигляді:</w:t>
      </w:r>
    </w:p>
    <w:p>
      <w:pPr>
        <w:pStyle w:val="P3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6057265" cy="200596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200596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№3 завдання: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1"/>
          <w:strike w:val="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>Пояснення щодо відповідності схеми бази даних нормальним формам: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Глядач - Кiно : один глядач iде на одне кiно , на одне кiно йде багато глядачiвю.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Кiно - Касир : на кожен фiльм квитки продають по декiлька касирiв . Кожен касир прода</w:t>
      </w:r>
      <w:r>
        <w:rPr>
          <w:rFonts w:ascii="Times New Roman" w:hAnsi="Times New Roman"/>
          <w:b w:val="0"/>
          <w:i w:val="0"/>
          <w:strike w:val="0"/>
          <w:color w:val="auto"/>
          <w:sz w:val="24"/>
          <w:shd w:val="clear" w:fill="FFFFFF"/>
        </w:rPr>
        <w:t>є</w:t>
      </w:r>
      <w:r>
        <w:rPr>
          <w:rFonts w:ascii="Times New Roman" w:hAnsi="Times New Roman"/>
          <w:strike w:val="0"/>
          <w:color w:val="auto"/>
          <w:shd w:val="clear" w:fill="FFFFFF"/>
        </w:rPr>
        <w:t xml:space="preserve"> </w:t>
      </w:r>
      <w:r>
        <w:rPr>
          <w:rFonts w:ascii="Times New Roman" w:hAnsi="Times New Roman"/>
          <w:b w:val="0"/>
          <w:strike w:val="0"/>
          <w:color w:val="000000"/>
          <w:sz w:val="28"/>
        </w:rPr>
        <w:t xml:space="preserve"> квитки на декiлька фiльмiв.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  <w:r>
        <w:rPr>
          <w:rFonts w:ascii="Times New Roman" w:hAnsi="Times New Roman"/>
          <w:b w:val="0"/>
          <w:strike w:val="0"/>
          <w:color w:val="000000"/>
          <w:sz w:val="28"/>
        </w:rPr>
        <w:t>Функціональні залежності: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Глядач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4"/>
        </w:rPr>
      </w:pPr>
      <w:bookmarkStart w:id="3" w:name="_dx_frag_StartFragment"/>
      <w:bookmarkEnd w:id="3"/>
      <w:r>
        <w:rPr>
          <w:rFonts w:ascii="Times New Roman" w:hAnsi="Times New Roman"/>
          <w:b w:val="0"/>
          <w:i w:val="0"/>
          <w:color w:val="000000"/>
          <w:sz w:val="24"/>
          <w:shd w:val="clear" w:fill="F8F9FA"/>
        </w:rPr>
        <w:t>№залу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- </w:t>
      </w:r>
      <w:bookmarkStart w:id="4" w:name="_dx_frag_StartFragment"/>
      <w:bookmarkEnd w:id="4"/>
      <w:r>
        <w:rPr>
          <w:rFonts w:ascii="Times New Roman" w:hAnsi="Times New Roman"/>
          <w:b w:val="0"/>
          <w:i w:val="0"/>
          <w:color w:val="000000"/>
          <w:sz w:val="24"/>
          <w:shd w:val="clear" w:fill="F8F9FA"/>
        </w:rPr>
        <w:t>Цiна квитка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: знаючи </w:t>
      </w:r>
      <w:bookmarkStart w:id="5" w:name="_dx_frag_StartFragment"/>
      <w:bookmarkEnd w:id="5"/>
      <w:r>
        <w:rPr>
          <w:rFonts w:ascii="Times New Roman" w:hAnsi="Times New Roman"/>
          <w:color w:val="000000"/>
          <w:sz w:val="24"/>
          <w:shd w:val="clear" w:fill="F8F9FA"/>
        </w:rPr>
        <w:t>№залу</w:t>
      </w:r>
      <w:r>
        <w:rPr>
          <w:rFonts w:ascii="Times New Roman" w:hAnsi="Times New Roman"/>
          <w:sz w:val="24"/>
        </w:rPr>
        <w:t xml:space="preserve"> можливо </w:t>
      </w:r>
      <w:r>
        <w:rPr>
          <w:rFonts w:ascii="Times New Roman" w:hAnsi="Times New Roman"/>
          <w:sz w:val="24"/>
        </w:rPr>
        <w:t>дi</w:t>
      </w:r>
      <w:r>
        <w:rPr>
          <w:rFonts w:ascii="Times New Roman" w:hAnsi="Times New Roman"/>
          <w:sz w:val="24"/>
        </w:rPr>
        <w:t>зна</w:t>
      </w:r>
      <w:r>
        <w:rPr>
          <w:rFonts w:ascii="Times New Roman" w:hAnsi="Times New Roman"/>
          <w:sz w:val="24"/>
        </w:rPr>
        <w:t>ти</w:t>
      </w:r>
      <w:r>
        <w:rPr>
          <w:rFonts w:ascii="Times New Roman" w:hAnsi="Times New Roman"/>
          <w:sz w:val="24"/>
        </w:rPr>
        <w:t>ся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ц</w:t>
      </w:r>
      <w:r>
        <w:rPr>
          <w:rFonts w:ascii="Times New Roman" w:hAnsi="Times New Roman"/>
          <w:sz w:val="24"/>
        </w:rPr>
        <w:t>iну кв</w:t>
      </w:r>
      <w:r>
        <w:rPr>
          <w:rFonts w:ascii="Times New Roman" w:hAnsi="Times New Roman"/>
          <w:sz w:val="24"/>
        </w:rPr>
        <w:t>итка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Кiно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 фiльму</w:t>
      </w: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 xml:space="preserve">Тривалicть </w:t>
      </w:r>
      <w:r>
        <w:rPr>
          <w:rFonts w:ascii="Times New Roman" w:hAnsi="Times New Roman"/>
          <w:sz w:val="28"/>
        </w:rPr>
        <w:t xml:space="preserve"> : знаючи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назв</w:t>
      </w:r>
      <w:r>
        <w:rPr>
          <w:rFonts w:ascii="Times New Roman" w:hAnsi="Times New Roman"/>
          <w:sz w:val="28"/>
        </w:rPr>
        <w:t>н</w:t>
      </w:r>
      <w:r>
        <w:rPr>
          <w:rFonts w:ascii="Times New Roman" w:hAnsi="Times New Roman"/>
          <w:sz w:val="28"/>
        </w:rPr>
        <w:t xml:space="preserve"> фiльму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можна знайти його</w:t>
      </w:r>
      <w:r>
        <w:rPr>
          <w:rFonts w:ascii="Times New Roman" w:hAnsi="Times New Roman"/>
          <w:sz w:val="28"/>
        </w:rPr>
        <w:t xml:space="preserve"> точну тривалiсть 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(тривалicть може бути однакова  (дуже рідко</w:t>
      </w:r>
      <w:bookmarkStart w:id="6" w:name="_GoBack"/>
      <w:bookmarkEnd w:id="6"/>
      <w:r>
        <w:rPr>
          <w:rFonts w:ascii="Times New Roman" w:hAnsi="Times New Roman"/>
          <w:sz w:val="28"/>
        </w:rPr>
        <w:t>))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Касир</w:t>
      </w:r>
    </w:p>
    <w:p>
      <w:pPr>
        <w:spacing w:after="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П.I.Б. - Номер каси - знаючи П.I.Б касира можна дiзнатися за якою кассою вiн зараз працю</w:t>
      </w:r>
      <w:r>
        <w:rPr>
          <w:rFonts w:ascii="Times New Roman" w:hAnsi="Times New Roman"/>
          <w:color w:val="auto"/>
          <w:sz w:val="24"/>
        </w:rPr>
        <w:t>є (</w:t>
      </w:r>
      <w:r>
        <w:rPr>
          <w:rFonts w:ascii="Times New Roman" w:hAnsi="Times New Roman"/>
          <w:sz w:val="28"/>
        </w:rPr>
        <w:t>ПІБ різних касирiв можуть збігатися (дуже рідко)</w:t>
      </w:r>
    </w:p>
    <w:p>
      <w:pPr>
        <w:pStyle w:val="P4"/>
        <w:numPr>
          <w:ilvl w:val="0"/>
          <w:numId w:val="5"/>
        </w:numPr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Зал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К-сть мicць - тип залу : знаючи к-сть мicць у залi можна дiзнатися його тип, але к-сть мiсць може бути однакова.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000000"/>
          <w:sz w:val="28"/>
          <w:shd w:val="clear" w:fill="F8F9FA"/>
        </w:rPr>
        <w:t>№залу</w:t>
      </w:r>
      <w:r>
        <w:rPr>
          <w:rFonts w:ascii="Times New Roman" w:hAnsi="Times New Roman"/>
          <w:sz w:val="28"/>
        </w:rPr>
        <w:t xml:space="preserve"> - К-сть мicць : знаючи номер залу можна дiзнатися його к-сть мiсць, але к-сть мiсць може бути однакова.</w:t>
      </w:r>
    </w:p>
    <w:p>
      <w:pPr>
        <w:pStyle w:val="P4"/>
        <w:spacing w:lineRule="auto" w:line="258" w:before="24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  <w:shd w:val="clear" w:fill="F8F9FA"/>
        </w:rPr>
        <w:t>№залу</w:t>
      </w:r>
      <w:r>
        <w:rPr>
          <w:rFonts w:ascii="Times New Roman" w:hAnsi="Times New Roman"/>
          <w:sz w:val="28"/>
        </w:rPr>
        <w:t xml:space="preserve"> - тип залу : знаючи номер залу можна дiзнатися його тип</w:t>
      </w: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b w:val="0"/>
          <w:strike w:val="0"/>
          <w:color w:val="000000"/>
          <w:sz w:val="28"/>
        </w:rPr>
      </w:pPr>
    </w:p>
    <w:p>
      <w:pPr>
        <w:pStyle w:val="P3"/>
        <w:widowControl w:val="0"/>
        <w:spacing w:lineRule="auto" w:line="331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>Схема бази даних відповідає 1НФ тому що значення в кожному стовпці таблиці атомарнi: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>1)Кожне відношення "комірка" повинно містити одне значення.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strike w:val="0"/>
          <w:sz w:val="28"/>
        </w:rPr>
      </w:pPr>
      <w:r>
        <w:rPr>
          <w:rFonts w:ascii="Times New Roman" w:hAnsi="Times New Roman"/>
          <w:strike w:val="0"/>
          <w:sz w:val="28"/>
        </w:rPr>
        <w:t xml:space="preserve">2)Кожен запис повинен бути унікальним </w:t>
      </w:r>
    </w:p>
    <w:p>
      <w:pPr>
        <w:spacing w:before="24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strike w:val="0"/>
          <w:sz w:val="28"/>
        </w:rPr>
        <w:t xml:space="preserve">Схема бази даних відповідає 2НФ тому що воно вiдповiдає 1НФ i </w:t>
      </w:r>
      <w:r>
        <w:rPr>
          <w:rFonts w:ascii="Times New Roman" w:hAnsi="Times New Roman"/>
          <w:sz w:val="32"/>
        </w:rPr>
        <w:t>тому що немає ключів, які складаються з двох і більше атрибутів.</w:t>
      </w:r>
    </w:p>
    <w:p>
      <w:pPr>
        <w:spacing w:before="240" w:after="0" w:beforeAutospacing="0" w:afterAutospacing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 xml:space="preserve">Схема бази даних відповідає 3НФ тому що воно вiдповiдає 2НФ i також </w:t>
      </w:r>
      <w:r>
        <w:rPr>
          <w:rFonts w:ascii="Times New Roman" w:hAnsi="Times New Roman"/>
          <w:sz w:val="32"/>
        </w:rPr>
        <w:t>немає транзитивних функціональних залежностей між ключовими та неключовими атрибутами.</w:t>
      </w:r>
    </w:p>
    <w:p>
      <w:pPr>
        <w:pStyle w:val="P3"/>
        <w:widowControl w:val="0"/>
        <w:spacing w:lineRule="auto" w:line="331" w:after="200" w:beforeAutospacing="0" w:afterAutospacing="0"/>
        <w:rPr>
          <w:rFonts w:ascii="Times New Roman" w:hAnsi="Times New Roman"/>
          <w:b w:val="1"/>
          <w:strike w:val="0"/>
          <w:color w:val="000000"/>
          <w:sz w:val="32"/>
        </w:rPr>
      </w:pPr>
      <w:r>
        <w:rPr>
          <w:rFonts w:ascii="Times New Roman" w:hAnsi="Times New Roman"/>
          <w:b w:val="1"/>
          <w:strike w:val="0"/>
          <w:sz w:val="32"/>
        </w:rPr>
        <w:t>Звіт щодо пункту №4 завдання:</w:t>
      </w:r>
    </w:p>
    <w:p>
      <w:pPr>
        <w:pStyle w:val="P3"/>
        <w:rPr>
          <w:rFonts w:ascii="Times New Roman" w:hAnsi="Times New Roman"/>
          <w:b w:val="1"/>
          <w:strike w:val="0"/>
          <w:sz w:val="28"/>
        </w:rPr>
      </w:pPr>
      <w:r>
        <w:rPr>
          <w:rFonts w:ascii="Times New Roman" w:hAnsi="Times New Roman"/>
          <w:b w:val="1"/>
          <w:strike w:val="0"/>
          <w:sz w:val="28"/>
        </w:rPr>
        <w:t xml:space="preserve">Копії екрану з pgAdmin4, що відображають </w:t>
      </w:r>
      <w:r>
        <w:rPr>
          <w:rFonts w:ascii="Times New Roman" w:hAnsi="Times New Roman"/>
          <w:b w:val="1"/>
          <w:strike w:val="0"/>
          <w:color w:val="000000"/>
          <w:sz w:val="28"/>
        </w:rPr>
        <w:t xml:space="preserve">назви та типи стовпців та їх </w:t>
      </w:r>
      <w:r>
        <w:rPr>
          <w:rFonts w:ascii="Times New Roman" w:hAnsi="Times New Roman"/>
          <w:b w:val="1"/>
          <w:strike w:val="0"/>
          <w:sz w:val="28"/>
        </w:rPr>
        <w:t>вміст бази даних у PostgreSQL:</w:t>
      </w:r>
    </w:p>
    <w:p>
      <w:pPr>
        <w:pStyle w:val="P3"/>
        <w:rPr>
          <w:rFonts w:ascii="Times New Roman" w:hAnsi="Times New Roman"/>
          <w:b w:val="1"/>
          <w:strike w:val="0"/>
          <w:sz w:val="28"/>
        </w:rPr>
      </w:pPr>
      <w:r>
        <w:drawing>
          <wp:inline xmlns:wp="http://schemas.openxmlformats.org/drawingml/2006/wordprocessingDrawing">
            <wp:extent cx="4410075" cy="128587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858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3"/>
        <w:rPr>
          <w:rFonts w:ascii="Times New Roman" w:hAnsi="Times New Roman"/>
        </w:rPr>
      </w:pPr>
      <w:r>
        <w:drawing>
          <wp:inline xmlns:wp="http://schemas.openxmlformats.org/drawingml/2006/wordprocessingDrawing">
            <wp:extent cx="5791200" cy="150495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5049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4867275" cy="127635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763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6121400" cy="143764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4376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8C5F79A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1">
    <w:nsid w:val="7461C206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2">
    <w:nsid w:val="7A30A825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3">
    <w:nsid w:val="6AD6E0BD"/>
    <w:multiLevelType w:val="hybridMultilevel"/>
    <w:lvl w:ilvl="0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707"/>
      </w:pPr>
      <w:rPr>
        <w:rFonts w:ascii="Symbol" w:hAnsi="Symbol"/>
        <w:sz w:val="28"/>
      </w:rPr>
    </w:lvl>
    <w:lvl w:ilvl="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1414"/>
      </w:pPr>
      <w:rPr>
        <w:rFonts w:ascii="Symbol" w:hAnsi="Symbol"/>
      </w:rPr>
    </w:lvl>
    <w:lvl w:ilvl="2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121"/>
      </w:pPr>
      <w:rPr>
        <w:rFonts w:ascii="Symbol" w:hAnsi="Symbol"/>
      </w:rPr>
    </w:lvl>
    <w:lvl w:ilvl="3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2828"/>
      </w:pPr>
      <w:rPr>
        <w:rFonts w:ascii="Symbol" w:hAnsi="Symbol"/>
      </w:rPr>
    </w:lvl>
    <w:lvl w:ilvl="4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3535"/>
      </w:pPr>
      <w:rPr>
        <w:rFonts w:ascii="Symbol" w:hAnsi="Symbol"/>
      </w:rPr>
    </w:lvl>
    <w:lvl w:ilvl="5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242"/>
      </w:pPr>
      <w:rPr>
        <w:rFonts w:ascii="Symbol" w:hAnsi="Symbol"/>
      </w:rPr>
    </w:lvl>
    <w:lvl w:ilvl="6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4949"/>
      </w:pPr>
      <w:rPr>
        <w:rFonts w:ascii="Symbol" w:hAnsi="Symbol"/>
      </w:rPr>
    </w:lvl>
    <w:lvl w:ilvl="7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5656"/>
      </w:pPr>
      <w:rPr>
        <w:rFonts w:ascii="Symbol" w:hAnsi="Symbol"/>
      </w:rPr>
    </w:lvl>
    <w:lvl w:ilvl="8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283" w:left="6363"/>
      </w:pPr>
      <w:rPr>
        <w:rFonts w:ascii="Symbol" w:hAnsi="Symbol"/>
      </w:rPr>
    </w:lvl>
  </w:abstractNum>
  <w:abstractNum w:abstractNumId="4">
    <w:nsid w:val="77F96686"/>
    <w:multiLevelType w:val="hybridMultilevel"/>
    <w:lvl w:ilvl="0" w:tplc="0422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720"/>
      </w:pPr>
      <w:rPr>
        <w:rFonts w:ascii="Symbol" w:hAnsi="Symbol"/>
      </w:rPr>
    </w:lvl>
    <w:lvl w:ilvl="1" w:tplc="0422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1440"/>
      </w:pPr>
      <w:rPr>
        <w:rFonts w:ascii="Courier New" w:hAnsi="Courier New"/>
      </w:rPr>
    </w:lvl>
    <w:lvl w:ilvl="2" w:tplc="0422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2160"/>
      </w:pPr>
      <w:rPr>
        <w:rFonts w:ascii="Wingdings" w:hAnsi="Wingdings"/>
      </w:rPr>
    </w:lvl>
    <w:lvl w:ilvl="3" w:tplc="0422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2880"/>
      </w:pPr>
      <w:rPr>
        <w:rFonts w:ascii="Symbol" w:hAnsi="Symbol"/>
      </w:rPr>
    </w:lvl>
    <w:lvl w:ilvl="4" w:tplc="0422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3600"/>
      </w:pPr>
      <w:rPr>
        <w:rFonts w:ascii="Courier New" w:hAnsi="Courier New"/>
      </w:rPr>
    </w:lvl>
    <w:lvl w:ilvl="5" w:tplc="0422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4320"/>
      </w:pPr>
      <w:rPr>
        <w:rFonts w:ascii="Wingdings" w:hAnsi="Wingdings"/>
      </w:rPr>
    </w:lvl>
    <w:lvl w:ilvl="6" w:tplc="04220001">
      <w:start w:val="1"/>
      <w:numFmt w:val="bullet"/>
      <w:suff w:val="tab"/>
      <w:lvlText w:val="·"/>
      <w:lvlJc w:val="left"/>
      <w:pPr>
        <w:spacing w:lineRule="auto" w:line="240" w:after="0" w:beforeAutospacing="0" w:afterAutospacing="0"/>
        <w:ind w:hanging="360" w:left="5040"/>
      </w:pPr>
      <w:rPr>
        <w:rFonts w:ascii="Symbol" w:hAnsi="Symbol"/>
      </w:rPr>
    </w:lvl>
    <w:lvl w:ilvl="7" w:tplc="04220003">
      <w:start w:val="1"/>
      <w:numFmt w:val="bullet"/>
      <w:suff w:val="tab"/>
      <w:lvlText w:val="o"/>
      <w:lvlJc w:val="left"/>
      <w:pPr>
        <w:spacing w:lineRule="auto" w:line="240" w:after="0" w:beforeAutospacing="0" w:afterAutospacing="0"/>
        <w:ind w:hanging="360" w:left="5760"/>
      </w:pPr>
      <w:rPr>
        <w:rFonts w:ascii="Courier New" w:hAnsi="Courier New"/>
      </w:rPr>
    </w:lvl>
    <w:lvl w:ilvl="8" w:tplc="04220005">
      <w:start w:val="1"/>
      <w:numFmt w:val="bullet"/>
      <w:suff w:val="tab"/>
      <w:lvlText w:val="§"/>
      <w:lvlJc w:val="left"/>
      <w:pPr>
        <w:spacing w:lineRule="auto" w:line="240" w:after="0" w:beforeAutospacing="0" w:afterAutospacing="0"/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pPr>
      <w:spacing w:lineRule="auto" w:line="275" w:before="480" w:after="0" w:beforeAutospacing="0" w:afterAutospacing="0"/>
      <w:outlineLvl w:val="0"/>
    </w:pPr>
    <w:rPr>
      <w:rFonts w:ascii="Cambria" w:hAnsi="Cambria"/>
      <w:b w:val="1"/>
      <w:color w:val="365F91"/>
      <w:sz w:val="28"/>
    </w:rPr>
  </w:style>
  <w:style w:type="paragraph" w:styleId="P2">
    <w:name w:val="Heading 2"/>
    <w:basedOn w:val="P0"/>
    <w:pPr>
      <w:spacing w:before="200" w:after="0" w:beforeAutospacing="0" w:afterAutospacing="0"/>
      <w:outlineLvl w:val="1"/>
    </w:pPr>
    <w:rPr>
      <w:rFonts w:ascii="Cambria" w:hAnsi="Cambria"/>
      <w:b w:val="1"/>
      <w:color w:val="4F81BD"/>
      <w:sz w:val="26"/>
    </w:rPr>
  </w:style>
  <w:style w:type="paragraph" w:styleId="P3">
    <w:name w:val="Body Text"/>
    <w:basedOn w:val="P0"/>
    <w:pPr>
      <w:spacing w:lineRule="auto" w:line="240" w:after="0" w:beforeAutospacing="0" w:afterAutospacing="0"/>
      <w:jc w:val="left"/>
    </w:pPr>
    <w:rPr>
      <w:rFonts w:ascii="Times New Roman" w:hAnsi="Times New Roman"/>
      <w:strike w:val="1"/>
    </w:rPr>
  </w:style>
  <w:style w:type="paragraph" w:styleId="P4">
    <w:name w:val="List Paragraph"/>
    <w:basedOn w:val="P0"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bmp" /><Relationship Id="Relimage7" Type="http://schemas.openxmlformats.org/officeDocument/2006/relationships/image" Target="/media/image7.jpg" /><Relationship Id="Relimage3" Type="http://schemas.openxmlformats.org/officeDocument/2006/relationships/image" Target="/media/image3.png" /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1" Type="http://schemas.openxmlformats.org/officeDocument/2006/relationships/image" Target="/media/image1.jpg" /><Relationship Id="Relimage5" Type="http://schemas.openxmlformats.org/officeDocument/2006/relationships/image" Target="/media/image5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