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/>
        <w:jc w:val="center"/>
      </w:pPr>
      <w:r>
        <w:rPr>
          <w:rFonts w:ascii="Arial" w:hAnsi="Arial" w:cs="Arial" w:eastAsia="Arial"/>
          <w:sz w:val="44"/>
        </w:rPr>
        <w:t>BINDERY PRICES</w:t>
      </w:r>
    </w:p>
    <w:tbl>
      <w:tblPr>
        <w:tblW w:type="dxa" w:w="10224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nil" w:space="0"/>
          <w:left w:val="nil" w:space="0"/>
          <w:bottom w:val="nil" w:space="0"/>
          <w:right w:val="nil" w:space="0"/>
          <w:insideH w:val="nil" w:space="0"/>
          <w:insideV w:val="nil" w:space="0"/>
        </w:tblBorders>
        <w:tblCellMar>
          <w:top w:w="57" w:type="dxa"/>
          <w:bottom w:w="57" w:type="dxa"/>
          <w:left w:w="86" w:type="dxa"/>
          <w:right w:w="86" w:type="dxa"/>
        </w:tblCellMar>
        <w:tblCellMar>
          <w:top w:w="0" w:type="dxa"/>
          <w:bottom w:w="0" w:type="dxa"/>
          <w:left w:w="86" w:type="dxa"/>
          <w:right w:w="86" w:type="dxa"/>
        </w:tblCellMar>
      </w:tblPr>
      <w:tblGrid>
        <w:gridCol w:w="3671"/>
        <w:gridCol w:w="6552"/>
      </w:tblGrid>
      <w:tr>
        <w:trPr>
          <w:cantSplit/>
        </w:trPr>
        <w:tc>
          <w:tcPr>
            <w:tcW w:type="dxa" w:w="3672"/>
            <w:vAlign w:val="top"/>
          </w:tcPr>
          <w:p>
            <w:pPr>
              <w:spacing w:before="0" w:after="140"/>
              <w:jc w:val="left"/>
            </w:pPr>
            <w:r>
              <w:rPr>
                <w:rFonts w:ascii="Arial" w:hAnsi="Arial" w:cs="Arial" w:eastAsia="Arial"/>
                <w:sz w:val="26"/>
              </w:rPr>
              <w:t>Cutting</w:t>
            </w:r>
          </w:p>
        </w:tc>
        <w:tc>
          <w:tcPr>
            <w:tcW w:type="dxa" w:w="6552"/>
            <w:vAlign w:val="top"/>
          </w:tcPr>
          <w:p>
            <w:pPr>
              <w:spacing w:before="0" w:after="140"/>
              <w:jc w:val="left"/>
            </w:pPr>
            <w:r>
              <w:rPr>
                <w:rFonts w:ascii="Arial" w:hAnsi="Arial" w:cs="Arial" w:eastAsia="Arial"/>
                <w:sz w:val="26"/>
              </w:rPr>
              <w:t>1.00 per cut</w:t>
            </w:r>
          </w:p>
        </w:tc>
      </w:tr>
      <w:tr>
        <w:trPr>
          <w:cantSplit/>
        </w:trPr>
        <w:tc>
          <w:tcPr>
            <w:tcW w:type="dxa" w:w="3672"/>
            <w:vAlign w:val="top"/>
          </w:tcPr>
          <w:p>
            <w:pPr>
              <w:spacing w:before="0" w:after="140"/>
              <w:jc w:val="left"/>
            </w:pPr>
            <w:r>
              <w:rPr>
                <w:rFonts w:ascii="Arial" w:hAnsi="Arial" w:cs="Arial" w:eastAsia="Arial"/>
                <w:sz w:val="26"/>
              </w:rPr>
              <w:t>Padding</w:t>
            </w:r>
          </w:p>
        </w:tc>
        <w:tc>
          <w:tcPr>
            <w:tcW w:type="dxa" w:w="6552"/>
            <w:vAlign w:val="top"/>
          </w:tcPr>
          <w:p>
            <w:pPr>
              <w:spacing w:before="0" w:after="0"/>
              <w:jc w:val="left"/>
            </w:pPr>
            <w:r>
              <w:rPr>
                <w:rFonts w:ascii="Arial" w:hAnsi="Arial" w:cs="Arial" w:eastAsia="Arial"/>
                <w:sz w:val="26"/>
              </w:rPr>
              <w:t>5.00 base plus per pad price; $10.00 minimum</w:t>
            </w:r>
          </w:p>
          <w:p>
            <w:pPr>
              <w:spacing w:before="0" w:after="140"/>
              <w:jc w:val="left"/>
            </w:pPr>
            <w:r>
              <w:rPr>
                <w:rFonts w:ascii="Arial" w:hAnsi="Arial" w:cs="Arial" w:eastAsia="Arial"/>
                <w:sz w:val="26"/>
              </w:rPr>
              <w:t xml:space="preserve">    .50 per pad</w:t>
            </w:r>
          </w:p>
        </w:tc>
      </w:tr>
      <w:tr>
        <w:trPr>
          <w:cantSplit/>
        </w:trPr>
        <w:tc>
          <w:tcPr>
            <w:tcW w:type="dxa" w:w="3672"/>
            <w:vAlign w:val="top"/>
          </w:tcPr>
          <w:p>
            <w:pPr>
              <w:spacing w:before="0" w:after="140"/>
              <w:jc w:val="left"/>
            </w:pPr>
            <w:r>
              <w:rPr>
                <w:rFonts w:ascii="Arial" w:hAnsi="Arial" w:cs="Arial" w:eastAsia="Arial"/>
                <w:sz w:val="26"/>
              </w:rPr>
              <w:t>Numbering</w:t>
            </w:r>
          </w:p>
        </w:tc>
        <w:tc>
          <w:tcPr>
            <w:tcW w:type="dxa" w:w="6552"/>
            <w:vAlign w:val="top"/>
          </w:tcPr>
          <w:p>
            <w:pPr>
              <w:spacing w:before="0" w:after="0"/>
              <w:jc w:val="left"/>
            </w:pPr>
            <w:r>
              <w:rPr>
                <w:rFonts w:ascii="Arial" w:hAnsi="Arial" w:cs="Arial" w:eastAsia="Arial"/>
                <w:sz w:val="26"/>
              </w:rPr>
              <w:t>50.00 per 1,000 (numbering machine);</w:t>
            </w:r>
          </w:p>
          <w:p>
            <w:pPr>
              <w:spacing w:before="0" w:after="140"/>
              <w:jc w:val="left"/>
            </w:pPr>
            <w:r>
              <w:rPr>
                <w:rFonts w:ascii="Arial" w:hAnsi="Arial" w:cs="Arial" w:eastAsia="Arial"/>
                <w:sz w:val="26"/>
              </w:rPr>
              <w:t>or copy cost plus .03 per page (printed)</w:t>
            </w:r>
          </w:p>
        </w:tc>
      </w:tr>
      <w:tr>
        <w:trPr>
          <w:cantSplit/>
        </w:trPr>
        <w:tc>
          <w:tcPr>
            <w:tcW w:type="dxa" w:w="3672"/>
            <w:vAlign w:val="top"/>
          </w:tcPr>
          <w:p>
            <w:pPr>
              <w:spacing w:before="0" w:after="140"/>
              <w:jc w:val="left"/>
            </w:pPr>
            <w:r>
              <w:rPr>
                <w:rFonts w:ascii="Arial" w:hAnsi="Arial" w:cs="Arial" w:eastAsia="Arial"/>
                <w:sz w:val="26"/>
              </w:rPr>
              <w:t>Folding</w:t>
            </w:r>
          </w:p>
        </w:tc>
        <w:tc>
          <w:tcPr>
            <w:tcW w:type="dxa" w:w="6552"/>
            <w:vAlign w:val="top"/>
          </w:tcPr>
          <w:p>
            <w:pPr>
              <w:spacing w:before="0" w:after="0"/>
              <w:jc w:val="left"/>
            </w:pPr>
            <w:r>
              <w:rPr>
                <w:rFonts w:ascii="Arial" w:hAnsi="Arial" w:cs="Arial" w:eastAsia="Arial"/>
                <w:sz w:val="26"/>
              </w:rPr>
              <w:t>25.00 per 1,000</w:t>
            </w:r>
          </w:p>
          <w:p>
            <w:pPr>
              <w:spacing w:before="0" w:after="140"/>
              <w:jc w:val="left"/>
            </w:pPr>
            <w:r>
              <w:rPr>
                <w:rFonts w:ascii="Arial" w:hAnsi="Arial" w:cs="Arial" w:eastAsia="Arial"/>
                <w:sz w:val="26"/>
              </w:rPr>
              <w:t>15.00 minimum</w:t>
            </w:r>
          </w:p>
        </w:tc>
      </w:tr>
      <w:tr>
        <w:trPr>
          <w:cantSplit/>
        </w:trPr>
        <w:tc>
          <w:tcPr>
            <w:tcW w:type="dxa" w:w="3672"/>
            <w:vAlign w:val="top"/>
          </w:tcPr>
          <w:p>
            <w:pPr>
              <w:spacing w:before="0" w:after="140"/>
              <w:jc w:val="left"/>
            </w:pPr>
            <w:r>
              <w:rPr>
                <w:rFonts w:ascii="Arial" w:hAnsi="Arial" w:cs="Arial" w:eastAsia="Arial"/>
                <w:sz w:val="26"/>
              </w:rPr>
              <w:t>Scoring</w:t>
            </w:r>
          </w:p>
        </w:tc>
        <w:tc>
          <w:tcPr>
            <w:tcW w:type="dxa" w:w="6552"/>
            <w:vAlign w:val="top"/>
          </w:tcPr>
          <w:p>
            <w:pPr>
              <w:spacing w:before="0" w:after="0"/>
              <w:jc w:val="left"/>
            </w:pPr>
            <w:r>
              <w:rPr>
                <w:rFonts w:ascii="Arial" w:hAnsi="Arial" w:cs="Arial" w:eastAsia="Arial"/>
                <w:sz w:val="26"/>
              </w:rPr>
              <w:t>50.00 per 1,000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 w:cs="Arial" w:eastAsia="Arial"/>
                <w:sz w:val="26"/>
              </w:rPr>
              <w:t>30.00 per 500</w:t>
            </w:r>
          </w:p>
          <w:p>
            <w:pPr>
              <w:spacing w:before="0" w:after="140"/>
              <w:jc w:val="left"/>
            </w:pPr>
            <w:r>
              <w:rPr>
                <w:rFonts w:ascii="Arial" w:hAnsi="Arial" w:cs="Arial" w:eastAsia="Arial"/>
                <w:sz w:val="26"/>
              </w:rPr>
              <w:t>35.00 minimum</w:t>
            </w:r>
          </w:p>
        </w:tc>
      </w:tr>
      <w:tr>
        <w:trPr>
          <w:cantSplit/>
        </w:trPr>
        <w:tc>
          <w:tcPr>
            <w:tcW w:type="dxa" w:w="3672"/>
            <w:vAlign w:val="top"/>
          </w:tcPr>
          <w:p>
            <w:pPr>
              <w:spacing w:before="0" w:after="140"/>
              <w:jc w:val="left"/>
            </w:pPr>
            <w:r>
              <w:rPr>
                <w:rFonts w:ascii="Arial" w:hAnsi="Arial" w:cs="Arial" w:eastAsia="Arial"/>
                <w:sz w:val="26"/>
              </w:rPr>
              <w:t>Perfing</w:t>
            </w:r>
          </w:p>
        </w:tc>
        <w:tc>
          <w:tcPr>
            <w:tcW w:type="dxa" w:w="6552"/>
            <w:vAlign w:val="top"/>
          </w:tcPr>
          <w:p>
            <w:pPr>
              <w:spacing w:before="0" w:after="0"/>
              <w:jc w:val="left"/>
            </w:pPr>
            <w:r>
              <w:rPr>
                <w:rFonts w:ascii="Arial" w:hAnsi="Arial" w:cs="Arial" w:eastAsia="Arial"/>
                <w:sz w:val="26"/>
              </w:rPr>
              <w:t>50.00 per 1,000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 w:cs="Arial" w:eastAsia="Arial"/>
                <w:sz w:val="26"/>
              </w:rPr>
              <w:t>30.00 per 500</w:t>
            </w:r>
          </w:p>
          <w:p>
            <w:pPr>
              <w:spacing w:before="0" w:after="140"/>
              <w:jc w:val="left"/>
            </w:pPr>
            <w:r>
              <w:rPr>
                <w:rFonts w:ascii="Arial" w:hAnsi="Arial" w:cs="Arial" w:eastAsia="Arial"/>
                <w:sz w:val="26"/>
              </w:rPr>
              <w:t>20.00 minimum</w:t>
            </w:r>
          </w:p>
        </w:tc>
      </w:tr>
      <w:tr>
        <w:trPr>
          <w:cantSplit/>
        </w:trPr>
        <w:tc>
          <w:tcPr>
            <w:tcW w:type="dxa" w:w="3672"/>
            <w:vAlign w:val="top"/>
          </w:tcPr>
          <w:p>
            <w:pPr>
              <w:spacing w:before="0" w:after="140"/>
              <w:jc w:val="left"/>
            </w:pPr>
            <w:r>
              <w:rPr>
                <w:rFonts w:ascii="Arial" w:hAnsi="Arial" w:cs="Arial" w:eastAsia="Arial"/>
                <w:sz w:val="26"/>
              </w:rPr>
              <w:t>Drilling</w:t>
            </w:r>
          </w:p>
        </w:tc>
        <w:tc>
          <w:tcPr>
            <w:tcW w:type="dxa" w:w="6552"/>
            <w:vAlign w:val="top"/>
          </w:tcPr>
          <w:p>
            <w:pPr>
              <w:spacing w:before="0" w:after="140"/>
              <w:jc w:val="left"/>
            </w:pPr>
            <w:r>
              <w:rPr>
                <w:rFonts w:ascii="Arial" w:hAnsi="Arial" w:cs="Arial" w:eastAsia="Arial"/>
                <w:sz w:val="26"/>
              </w:rPr>
              <w:t>1.00 per hole, up to 2” thick</w:t>
            </w:r>
          </w:p>
        </w:tc>
      </w:tr>
      <w:tr>
        <w:trPr>
          <w:cantSplit/>
        </w:trPr>
        <w:tc>
          <w:tcPr>
            <w:tcW w:type="dxa" w:w="3672"/>
            <w:vAlign w:val="top"/>
          </w:tcPr>
          <w:p>
            <w:pPr>
              <w:spacing w:before="0" w:after="140"/>
              <w:jc w:val="left"/>
            </w:pPr>
            <w:r>
              <w:rPr>
                <w:rFonts w:ascii="Arial" w:hAnsi="Arial" w:cs="Arial" w:eastAsia="Arial"/>
                <w:sz w:val="26"/>
              </w:rPr>
              <w:t>Sorting (manual)</w:t>
            </w:r>
          </w:p>
        </w:tc>
        <w:tc>
          <w:tcPr>
            <w:tcW w:type="dxa" w:w="6552"/>
            <w:vAlign w:val="top"/>
          </w:tcPr>
          <w:p>
            <w:pPr>
              <w:spacing w:before="0" w:after="140"/>
              <w:jc w:val="left"/>
            </w:pPr>
            <w:r>
              <w:rPr>
                <w:rFonts w:ascii="Arial" w:hAnsi="Arial" w:cs="Arial" w:eastAsia="Arial"/>
                <w:sz w:val="26"/>
              </w:rPr>
              <w:t>5¢ per page</w:t>
            </w:r>
          </w:p>
        </w:tc>
      </w:tr>
      <w:tr>
        <w:trPr>
          <w:cantSplit/>
        </w:trPr>
        <w:tc>
          <w:tcPr>
            <w:tcW w:type="dxa" w:w="3672"/>
            <w:vAlign w:val="top"/>
          </w:tcPr>
          <w:p>
            <w:pPr>
              <w:spacing w:before="0" w:after="140"/>
              <w:jc w:val="left"/>
            </w:pPr>
            <w:r>
              <w:rPr>
                <w:rFonts w:ascii="Arial" w:hAnsi="Arial" w:cs="Arial" w:eastAsia="Arial"/>
                <w:sz w:val="26"/>
              </w:rPr>
              <w:t>Stapling (manual)</w:t>
            </w:r>
          </w:p>
        </w:tc>
        <w:tc>
          <w:tcPr>
            <w:tcW w:type="dxa" w:w="6552"/>
            <w:vAlign w:val="top"/>
          </w:tcPr>
          <w:p>
            <w:pPr>
              <w:spacing w:before="0" w:after="140"/>
              <w:jc w:val="left"/>
            </w:pPr>
            <w:r>
              <w:rPr>
                <w:rFonts w:ascii="Arial" w:hAnsi="Arial" w:cs="Arial" w:eastAsia="Arial"/>
                <w:sz w:val="26"/>
              </w:rPr>
              <w:t>5¢ per staple</w:t>
            </w:r>
          </w:p>
        </w:tc>
      </w:tr>
      <w:tr>
        <w:trPr>
          <w:cantSplit/>
        </w:trPr>
        <w:tc>
          <w:tcPr>
            <w:tcW w:type="dxa" w:w="3672"/>
            <w:vAlign w:val="top"/>
          </w:tcPr>
          <w:p>
            <w:pPr>
              <w:spacing w:before="0" w:after="0"/>
              <w:jc w:val="left"/>
            </w:pPr>
            <w:r>
              <w:rPr>
                <w:rFonts w:ascii="Arial" w:hAnsi="Arial" w:cs="Arial" w:eastAsia="Arial"/>
                <w:sz w:val="26"/>
              </w:rPr>
              <w:t>Spiral Binding</w:t>
            </w:r>
          </w:p>
          <w:p>
            <w:pPr>
              <w:spacing w:before="0" w:after="140"/>
              <w:jc w:val="left"/>
            </w:pPr>
            <w:r>
              <w:rPr>
                <w:rFonts w:ascii="Arial" w:hAnsi="Arial" w:cs="Arial" w:eastAsia="Arial"/>
                <w:sz w:val="26"/>
              </w:rPr>
              <w:t>(Ibico comb)</w:t>
            </w:r>
          </w:p>
        </w:tc>
        <w:tc>
          <w:tcPr>
            <w:tcW w:type="dxa" w:w="6552"/>
            <w:vAlign w:val="top"/>
          </w:tcPr>
          <w:p>
            <w:pPr>
              <w:spacing w:before="0" w:after="0"/>
              <w:jc w:val="left"/>
            </w:pPr>
            <w:r>
              <w:rPr>
                <w:rFonts w:ascii="Arial" w:hAnsi="Arial" w:cs="Arial" w:eastAsia="Arial"/>
                <w:sz w:val="26"/>
              </w:rPr>
              <w:t>4.88 per book,</w:t>
            </w:r>
          </w:p>
          <w:p>
            <w:pPr>
              <w:spacing w:before="0" w:after="140"/>
              <w:jc w:val="left"/>
            </w:pPr>
            <w:r>
              <w:rPr>
                <w:rFonts w:ascii="Arial" w:hAnsi="Arial" w:cs="Arial" w:eastAsia="Arial"/>
                <w:sz w:val="26"/>
              </w:rPr>
              <w:t>any thickness, covers included</w:t>
            </w:r>
          </w:p>
        </w:tc>
      </w:tr>
      <w:tr>
        <w:trPr>
          <w:cantSplit/>
        </w:trPr>
        <w:tc>
          <w:tcPr>
            <w:tcW w:type="dxa" w:w="3672"/>
            <w:vAlign w:val="top"/>
          </w:tcPr>
          <w:p>
            <w:pPr>
              <w:spacing w:before="0" w:after="140"/>
              <w:jc w:val="left"/>
            </w:pPr>
            <w:r>
              <w:rPr>
                <w:rFonts w:ascii="Arial" w:hAnsi="Arial" w:cs="Arial" w:eastAsia="Arial"/>
                <w:sz w:val="26"/>
              </w:rPr>
              <w:t>Coil Binding</w:t>
            </w:r>
          </w:p>
        </w:tc>
        <w:tc>
          <w:tcPr>
            <w:tcW w:type="dxa" w:w="6552"/>
            <w:vAlign w:val="top"/>
          </w:tcPr>
          <w:p>
            <w:pPr>
              <w:spacing w:before="0" w:after="0"/>
              <w:jc w:val="left"/>
            </w:pPr>
            <w:r>
              <w:rPr>
                <w:rFonts w:ascii="Arial" w:hAnsi="Arial" w:cs="Arial" w:eastAsia="Arial"/>
                <w:sz w:val="26"/>
              </w:rPr>
              <w:t>4.88 per book,</w:t>
            </w:r>
          </w:p>
          <w:p>
            <w:pPr>
              <w:spacing w:before="0" w:after="140"/>
              <w:jc w:val="left"/>
            </w:pPr>
            <w:r>
              <w:rPr>
                <w:rFonts w:ascii="Arial" w:hAnsi="Arial" w:cs="Arial" w:eastAsia="Arial"/>
                <w:sz w:val="26"/>
              </w:rPr>
              <w:t>any thickness, covers included</w:t>
            </w:r>
          </w:p>
        </w:tc>
      </w:tr>
      <w:tr>
        <w:trPr>
          <w:cantSplit/>
        </w:trPr>
        <w:tc>
          <w:tcPr>
            <w:tcW w:type="dxa" w:w="3672"/>
            <w:vAlign w:val="top"/>
          </w:tcPr>
          <w:p>
            <w:pPr>
              <w:spacing w:before="0" w:after="0"/>
              <w:jc w:val="left"/>
            </w:pPr>
            <w:r>
              <w:rPr>
                <w:rFonts w:ascii="Arial" w:hAnsi="Arial" w:cs="Arial" w:eastAsia="Arial"/>
                <w:sz w:val="26"/>
              </w:rPr>
              <w:t>Laminating</w:t>
            </w:r>
          </w:p>
        </w:tc>
        <w:tc>
          <w:tcPr>
            <w:tcW w:type="dxa" w:w="6552"/>
            <w:vAlign w:val="top"/>
          </w:tcPr>
          <w:p>
            <w:pPr>
              <w:spacing w:before="0" w:after="0"/>
              <w:jc w:val="left"/>
            </w:pPr>
          </w:p>
        </w:tc>
      </w:tr>
      <w:tr>
        <w:trPr>
          <w:cantSplit/>
        </w:trPr>
        <w:tc>
          <w:tcPr>
            <w:tcW w:type="dxa" w:w="3672"/>
            <w:vAlign w:val="top"/>
          </w:tcPr>
          <w:p>
            <w:pPr>
              <w:spacing w:before="0" w:after="0"/>
              <w:ind w:left="792"/>
              <w:jc w:val="left"/>
            </w:pPr>
            <w:r>
              <w:rPr>
                <w:rFonts w:ascii="Arial" w:hAnsi="Arial" w:cs="Arial" w:eastAsia="Arial"/>
                <w:sz w:val="26"/>
              </w:rPr>
              <w:t>Card size</w:t>
            </w:r>
          </w:p>
        </w:tc>
        <w:tc>
          <w:tcPr>
            <w:tcW w:type="dxa" w:w="6552"/>
            <w:vAlign w:val="top"/>
          </w:tcPr>
          <w:p>
            <w:pPr>
              <w:spacing w:before="0" w:after="0"/>
              <w:jc w:val="left"/>
            </w:pPr>
            <w:r>
              <w:rPr>
                <w:rFonts w:ascii="Arial" w:hAnsi="Arial" w:cs="Arial" w:eastAsia="Arial"/>
                <w:sz w:val="26"/>
              </w:rPr>
              <w:t>1.85</w:t>
            </w:r>
          </w:p>
        </w:tc>
      </w:tr>
      <w:tr>
        <w:trPr>
          <w:cantSplit/>
        </w:trPr>
        <w:tc>
          <w:tcPr>
            <w:tcW w:type="dxa" w:w="3672"/>
            <w:vAlign w:val="top"/>
          </w:tcPr>
          <w:p>
            <w:pPr>
              <w:spacing w:before="0" w:after="0"/>
              <w:ind w:left="792"/>
              <w:jc w:val="left"/>
            </w:pPr>
            <w:r>
              <w:rPr>
                <w:rFonts w:ascii="Arial" w:hAnsi="Arial" w:cs="Arial" w:eastAsia="Arial"/>
                <w:sz w:val="26"/>
              </w:rPr>
              <w:t>8.5x11</w:t>
            </w:r>
          </w:p>
        </w:tc>
        <w:tc>
          <w:tcPr>
            <w:tcW w:type="dxa" w:w="6552"/>
            <w:vAlign w:val="top"/>
          </w:tcPr>
          <w:p>
            <w:pPr>
              <w:spacing w:before="0" w:after="0"/>
              <w:jc w:val="left"/>
            </w:pPr>
            <w:r>
              <w:rPr>
                <w:rFonts w:ascii="Arial" w:hAnsi="Arial" w:cs="Arial" w:eastAsia="Arial"/>
                <w:sz w:val="26"/>
              </w:rPr>
              <w:t>2.00</w:t>
            </w:r>
          </w:p>
        </w:tc>
      </w:tr>
      <w:tr>
        <w:trPr>
          <w:cantSplit/>
        </w:trPr>
        <w:tc>
          <w:tcPr>
            <w:tcW w:type="dxa" w:w="3672"/>
            <w:vAlign w:val="top"/>
          </w:tcPr>
          <w:p>
            <w:pPr>
              <w:spacing w:before="0" w:after="0"/>
              <w:ind w:left="792"/>
              <w:jc w:val="left"/>
            </w:pPr>
            <w:r>
              <w:rPr>
                <w:rFonts w:ascii="Arial" w:hAnsi="Arial" w:cs="Arial" w:eastAsia="Arial"/>
                <w:sz w:val="26"/>
              </w:rPr>
              <w:t>8.5x14</w:t>
            </w:r>
          </w:p>
        </w:tc>
        <w:tc>
          <w:tcPr>
            <w:tcW w:type="dxa" w:w="6552"/>
            <w:vAlign w:val="top"/>
          </w:tcPr>
          <w:p>
            <w:pPr>
              <w:spacing w:before="0" w:after="0"/>
              <w:jc w:val="left"/>
            </w:pPr>
            <w:r>
              <w:rPr>
                <w:rFonts w:ascii="Arial" w:hAnsi="Arial" w:cs="Arial" w:eastAsia="Arial"/>
                <w:sz w:val="26"/>
              </w:rPr>
              <w:t>3.00</w:t>
            </w:r>
          </w:p>
        </w:tc>
      </w:tr>
      <w:tr>
        <w:trPr>
          <w:cantSplit/>
        </w:trPr>
        <w:tc>
          <w:tcPr>
            <w:tcW w:type="dxa" w:w="3672"/>
            <w:vAlign w:val="top"/>
          </w:tcPr>
          <w:p>
            <w:pPr>
              <w:spacing w:before="0" w:after="0"/>
              <w:ind w:left="792"/>
              <w:jc w:val="left"/>
            </w:pPr>
            <w:r>
              <w:rPr>
                <w:rFonts w:ascii="Arial" w:hAnsi="Arial" w:cs="Arial" w:eastAsia="Arial"/>
                <w:sz w:val="26"/>
              </w:rPr>
              <w:t>11x17</w:t>
            </w:r>
          </w:p>
        </w:tc>
        <w:tc>
          <w:tcPr>
            <w:tcW w:type="dxa" w:w="6552"/>
            <w:vAlign w:val="top"/>
          </w:tcPr>
          <w:p>
            <w:pPr>
              <w:spacing w:before="0" w:after="0"/>
              <w:jc w:val="left"/>
            </w:pPr>
            <w:r>
              <w:rPr>
                <w:rFonts w:ascii="Arial" w:hAnsi="Arial" w:cs="Arial" w:eastAsia="Arial"/>
                <w:sz w:val="26"/>
              </w:rPr>
              <w:t>4.00</w:t>
            </w:r>
          </w:p>
        </w:tc>
      </w:tr>
      <w:tr>
        <w:trPr>
          <w:cantSplit/>
        </w:trPr>
        <w:tc>
          <w:tcPr>
            <w:tcW w:type="dxa" w:w="3672"/>
            <w:vAlign w:val="top"/>
          </w:tcPr>
          <w:p>
            <w:pPr>
              <w:spacing w:before="0" w:after="140"/>
              <w:ind w:left="792"/>
              <w:jc w:val="left"/>
            </w:pPr>
            <w:r>
              <w:rPr>
                <w:rFonts w:ascii="Arial" w:hAnsi="Arial" w:cs="Arial" w:eastAsia="Arial"/>
                <w:sz w:val="26"/>
              </w:rPr>
              <w:t>24” wide</w:t>
            </w:r>
          </w:p>
        </w:tc>
        <w:tc>
          <w:tcPr>
            <w:tcW w:type="dxa" w:w="6552"/>
            <w:vAlign w:val="top"/>
          </w:tcPr>
          <w:p>
            <w:pPr>
              <w:spacing w:before="0" w:after="140"/>
              <w:jc w:val="left"/>
            </w:pPr>
            <w:r>
              <w:rPr>
                <w:rFonts w:ascii="Arial" w:hAnsi="Arial" w:cs="Arial" w:eastAsia="Arial"/>
                <w:sz w:val="26"/>
              </w:rPr>
              <w:t>4.95 per square foot</w:t>
            </w:r>
          </w:p>
        </w:tc>
      </w:tr>
      <w:tr>
        <w:trPr>
          <w:cantSplit/>
        </w:trPr>
        <w:tc>
          <w:tcPr>
            <w:tcW w:type="dxa" w:w="3672"/>
            <w:vAlign w:val="top"/>
          </w:tcPr>
          <w:p>
            <w:pPr>
              <w:spacing w:before="0" w:after="140"/>
              <w:jc w:val="left"/>
            </w:pPr>
            <w:r>
              <w:rPr>
                <w:rFonts w:ascii="Arial" w:hAnsi="Arial" w:cs="Arial" w:eastAsia="Arial"/>
                <w:sz w:val="26"/>
              </w:rPr>
              <w:t>Shrink wrapping</w:t>
            </w:r>
          </w:p>
        </w:tc>
        <w:tc>
          <w:tcPr>
            <w:tcW w:type="dxa" w:w="6552"/>
            <w:vAlign w:val="top"/>
          </w:tcPr>
          <w:p>
            <w:pPr>
              <w:spacing w:before="0" w:after="140"/>
              <w:jc w:val="left"/>
            </w:pPr>
            <w:r>
              <w:rPr>
                <w:rFonts w:ascii="Arial" w:hAnsi="Arial" w:cs="Arial" w:eastAsia="Arial"/>
                <w:sz w:val="26"/>
              </w:rPr>
              <w:t>1.00 per 500 sheets</w:t>
            </w:r>
          </w:p>
        </w:tc>
      </w:tr>
      <w:tr>
        <w:trPr>
          <w:cantSplit/>
        </w:trPr>
        <w:tc>
          <w:tcPr>
            <w:tcW w:type="dxa" w:w="3672"/>
            <w:vAlign w:val="top"/>
          </w:tcPr>
          <w:p>
            <w:pPr>
              <w:spacing w:before="0" w:after="0"/>
              <w:jc w:val="left"/>
            </w:pPr>
            <w:r>
              <w:rPr>
                <w:rFonts w:ascii="Arial" w:hAnsi="Arial" w:cs="Arial" w:eastAsia="Arial"/>
                <w:sz w:val="26"/>
              </w:rPr>
              <w:t>Booklet making</w:t>
            </w:r>
          </w:p>
          <w:p>
            <w:pPr>
              <w:spacing w:before="0" w:after="140"/>
              <w:jc w:val="left"/>
            </w:pPr>
            <w:r>
              <w:rPr>
                <w:rFonts w:ascii="Arial" w:hAnsi="Arial" w:cs="Arial" w:eastAsia="Arial"/>
                <w:sz w:val="26"/>
              </w:rPr>
              <w:t>(by machine)</w:t>
            </w:r>
          </w:p>
        </w:tc>
        <w:tc>
          <w:tcPr>
            <w:tcW w:type="dxa" w:w="6552"/>
            <w:vAlign w:val="top"/>
          </w:tcPr>
          <w:p>
            <w:pPr>
              <w:spacing w:before="0" w:after="140"/>
              <w:jc w:val="left"/>
            </w:pPr>
            <w:r>
              <w:rPr>
                <w:rFonts w:ascii="Arial" w:hAnsi="Arial" w:cs="Arial" w:eastAsia="Arial"/>
                <w:sz w:val="26"/>
              </w:rPr>
              <w:t>50¢ per book</w:t>
            </w:r>
          </w:p>
        </w:tc>
      </w:tr>
      <w:tr>
        <w:trPr>
          <w:cantSplit/>
        </w:trPr>
        <w:tc>
          <w:tcPr>
            <w:tcW w:type="dxa" w:w="3672"/>
            <w:vAlign w:val="top"/>
          </w:tcPr>
          <w:p>
            <w:pPr>
              <w:spacing w:before="0" w:after="140"/>
              <w:jc w:val="left"/>
            </w:pPr>
            <w:r>
              <w:rPr>
                <w:rFonts w:ascii="Arial" w:hAnsi="Arial" w:cs="Arial" w:eastAsia="Arial"/>
                <w:sz w:val="26"/>
              </w:rPr>
              <w:t>Corner Rounder</w:t>
            </w:r>
          </w:p>
        </w:tc>
        <w:tc>
          <w:tcPr>
            <w:tcW w:type="dxa" w:w="6552"/>
            <w:vAlign w:val="top"/>
          </w:tcPr>
          <w:p>
            <w:pPr>
              <w:spacing w:before="0" w:after="0"/>
              <w:jc w:val="left"/>
            </w:pPr>
            <w:r>
              <w:rPr>
                <w:rFonts w:ascii="Arial" w:hAnsi="Arial" w:cs="Arial" w:eastAsia="Arial"/>
                <w:sz w:val="26"/>
              </w:rPr>
              <w:t>20.00 per 1,000, 4 sides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 w:cs="Arial" w:eastAsia="Arial"/>
                <w:sz w:val="26"/>
              </w:rPr>
              <w:t>15.00 per 500, 4 sides</w:t>
            </w:r>
          </w:p>
          <w:p>
            <w:pPr>
              <w:spacing w:before="0" w:after="140"/>
              <w:jc w:val="left"/>
            </w:pPr>
            <w:r>
              <w:rPr>
                <w:rFonts w:ascii="Arial" w:hAnsi="Arial" w:cs="Arial" w:eastAsia="Arial"/>
                <w:sz w:val="26"/>
              </w:rPr>
              <w:t>5.00 minimum</w:t>
            </w:r>
          </w:p>
        </w:tc>
      </w:tr>
      <w:tr>
        <w:trPr>
          <w:cantSplit/>
        </w:trPr>
        <w:tc>
          <w:tcPr>
            <w:tcW w:type="dxa" w:w="3672"/>
            <w:vAlign w:val="top"/>
          </w:tcPr>
          <w:p>
            <w:pPr>
              <w:spacing w:before="0" w:after="140"/>
              <w:jc w:val="left"/>
            </w:pPr>
            <w:r>
              <w:rPr>
                <w:rFonts w:ascii="Arial" w:hAnsi="Arial" w:cs="Arial" w:eastAsia="Arial"/>
                <w:sz w:val="26"/>
              </w:rPr>
              <w:t>Mounting</w:t>
            </w:r>
          </w:p>
        </w:tc>
        <w:tc>
          <w:tcPr>
            <w:tcW w:type="dxa" w:w="6552"/>
            <w:vAlign w:val="top"/>
          </w:tcPr>
          <w:p>
            <w:pPr>
              <w:spacing w:before="0" w:after="140"/>
              <w:jc w:val="left"/>
            </w:pPr>
            <w:r>
              <w:rPr>
                <w:rFonts w:ascii="Arial" w:hAnsi="Arial" w:cs="Arial" w:eastAsia="Arial"/>
                <w:sz w:val="26"/>
              </w:rPr>
              <w:t>20.00 per piece (board not included)</w:t>
            </w:r>
          </w:p>
        </w:tc>
      </w:tr>
      <w:tr>
        <w:trPr>
          <w:cantSplit/>
        </w:trPr>
        <w:tc>
          <w:tcPr>
            <w:tcW w:type="dxa" w:w="3672"/>
            <w:vAlign w:val="top"/>
          </w:tcPr>
          <w:p>
            <w:pPr>
              <w:spacing w:before="0" w:after="140"/>
              <w:jc w:val="left"/>
            </w:pPr>
            <w:r>
              <w:rPr>
                <w:rFonts w:ascii="Arial" w:hAnsi="Arial" w:cs="Arial" w:eastAsia="Arial"/>
                <w:sz w:val="26"/>
              </w:rPr>
              <w:t>Labor</w:t>
            </w:r>
          </w:p>
        </w:tc>
        <w:tc>
          <w:tcPr>
            <w:tcW w:type="dxa" w:w="6552"/>
            <w:vAlign w:val="top"/>
          </w:tcPr>
          <w:p>
            <w:pPr>
              <w:spacing w:before="0" w:after="140"/>
              <w:jc w:val="left"/>
            </w:pPr>
            <w:r>
              <w:rPr>
                <w:rFonts w:ascii="Arial" w:hAnsi="Arial" w:cs="Arial" w:eastAsia="Arial"/>
                <w:sz w:val="26"/>
              </w:rPr>
              <w:t>35.00 per hour</w:t>
            </w:r>
          </w:p>
        </w:tc>
      </w:tr>
      <w:tr>
        <w:trPr>
          <w:cantSplit/>
        </w:trPr>
        <w:tc>
          <w:tcPr>
            <w:tcW w:type="dxa" w:w="3672"/>
            <w:vAlign w:val="top"/>
          </w:tcPr>
          <w:p>
            <w:pPr>
              <w:spacing w:before="0" w:after="140"/>
              <w:jc w:val="left"/>
            </w:pPr>
            <w:r>
              <w:rPr>
                <w:rFonts w:ascii="Arial" w:hAnsi="Arial" w:cs="Arial" w:eastAsia="Arial"/>
                <w:sz w:val="26"/>
              </w:rPr>
              <w:t>Graphic Services</w:t>
            </w:r>
          </w:p>
        </w:tc>
        <w:tc>
          <w:tcPr>
            <w:tcW w:type="dxa" w:w="6552"/>
            <w:vAlign w:val="top"/>
          </w:tcPr>
          <w:p>
            <w:pPr>
              <w:spacing w:before="0" w:after="140"/>
              <w:jc w:val="left"/>
            </w:pPr>
            <w:r>
              <w:rPr>
                <w:rFonts w:ascii="Arial" w:hAnsi="Arial" w:cs="Arial" w:eastAsia="Arial"/>
                <w:sz w:val="26"/>
              </w:rPr>
              <w:t>75.00 per hour / get estimate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792" w:right="1008" w:bottom="720" w:left="1008" w:header="288" w:footer="28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 w:cs="Arial" w:eastAsia="Arial"/>
        <w:color w:val="666666"/>
        <w:sz w:val="12"/>
      </w:rPr>
      <w:t>Rev. 2026-10-01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Arial" w:hAnsi="Arial" w:cs="Arial" w:eastAsia="Arial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BINDERY PRICES</dc:title>
  <dc:subject/>
  <dc:creator>Rainbow Printing &amp; Office Supply</dc:creator>
  <cp:keywords/>
  <dc:description>Generated from PriceBook/data/prices.csv - rebuild with sheets/build_sheets.py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