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黑体" w:cs="Arial"/>
          <w:lang w:val="en-US" w:eastAsia="zh-CN"/>
        </w:rPr>
        <w:t>AI 数据分析 Agent</w:t>
        <w:br/>
        <w:t>自主交付评测简洁版</w:t>
      </w:r>
    </w:p>
    <w:p>
      <w:r>
        <w:rPr>
          <w:rFonts w:ascii="Times New Roman" w:hAnsi="Times New Roman" w:eastAsia="宋体" w:cs="Times New Roman"/>
          <w:lang w:val="en-US" w:eastAsia="zh-CN"/>
        </w:rPr>
        <w:t>NYC311 数据分析任务　2026年9月21日</w:t>
      </w:r>
    </w:p>
    <w:p>
      <w:r>
        <w:rPr>
          <w:rFonts w:ascii="Times New Roman" w:hAnsi="Times New Roman" w:eastAsia="宋体" w:cs="Times New Roman"/>
          <w:lang w:val="en-US" w:eastAsia="zh-CN"/>
        </w:rPr>
        <w:t>八个系统使用相同任务材料，自主选题并提交Excel与分析说明。数据包含25个Parquet分片、7,525,498条服务请求和44个字段。第一轮使用基础提示，第二轮增加Evidence-led方法提示，Grok、Gemini另有方法清单。</w:t>
      </w:r>
    </w:p>
    <w:p>
      <w:r>
        <w:rPr>
          <w:rFonts w:ascii="Times New Roman" w:hAnsi="Times New Roman" w:eastAsia="宋体" w:cs="Times New Roman"/>
          <w:lang w:val="en-US" w:eastAsia="zh-CN"/>
        </w:rPr>
        <w:t>评测面向个人使用，限于两轮。除分析质量外，还比较费用、耗时，以及续跑、接管和修正工作。</w:t>
      </w:r>
    </w:p>
    <w:p>
      <w:pPr>
        <w:pStyle w:val="Heading1"/>
        <w:pageBreakBefore w:val="0"/>
      </w:pPr>
      <w:r>
        <w:rPr>
          <w:rFonts w:ascii="Arial" w:hAnsi="Arial" w:eastAsia="黑体" w:cs="Arial"/>
          <w:lang w:val="en-US" w:eastAsia="zh-CN"/>
        </w:rPr>
        <w:t>1 各系统完成的主要工作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　</w:t>
      </w:r>
      <w:r>
        <w:rPr>
          <w:rFonts w:ascii="Times New Roman" w:hAnsi="Times New Roman" w:eastAsia="宋体" w:cs="Times New Roman"/>
          <w:lang w:val="en-US" w:eastAsia="zh-CN"/>
        </w:rPr>
        <w:t>第一轮分解类别、行政区增长，第二轮进一步核查雪冰峰日和渠道构成。最高5天占同期雪冰请求的59.42%；排除峰日并固定渠道构成后继续比较，最终检查Excel公式和图表。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　</w:t>
      </w:r>
      <w:r>
        <w:rPr>
          <w:rFonts w:ascii="Times New Roman" w:hAnsi="Times New Roman" w:eastAsia="宋体" w:cs="Times New Roman"/>
          <w:lang w:val="en-US" w:eastAsia="zh-CN"/>
        </w:rPr>
        <w:t>第一轮按互斥类别分解全市增量，第二轮检查供暖地块集中度、积雪高量日及坑洞。排除固定前10个地块后，供暖请求仍增长21.96%。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　</w:t>
      </w:r>
      <w:r>
        <w:rPr>
          <w:rFonts w:ascii="Times New Roman" w:hAnsi="Times New Roman" w:eastAsia="宋体" w:cs="Times New Roman"/>
          <w:lang w:val="en-US" w:eastAsia="zh-CN"/>
        </w:rPr>
        <w:t>两轮均调查异常地址和关闭时长，第二轮增加邮编集中度、固定30天关闭率及数据重建。第一轮固定机构与类型构成后，冬季时长倍数由3.8667降至1.1537。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　</w:t>
      </w:r>
      <w:r>
        <w:rPr>
          <w:rFonts w:ascii="Times New Roman" w:hAnsi="Times New Roman" w:eastAsia="宋体" w:cs="Times New Roman"/>
          <w:lang w:val="en-US" w:eastAsia="zh-CN"/>
        </w:rPr>
        <w:t>第一轮重点追查道路异常，第二轮增加同比增量分解、住宅噪声与热点地址分析，并修正月均值和关闭率的统计月份。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Qwen　</w:t>
      </w:r>
      <w:r>
        <w:rPr>
          <w:rFonts w:ascii="Times New Roman" w:hAnsi="Times New Roman" w:eastAsia="宋体" w:cs="Times New Roman"/>
          <w:lang w:val="en-US" w:eastAsia="zh-CN"/>
        </w:rPr>
        <w:t>第一轮完成类别、地区和时长比较，第二轮增加噪声尖峰、渠道及异常调整分析，多次重建工作簿并核对图表与说明。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　</w:t>
      </w:r>
      <w:r>
        <w:rPr>
          <w:rFonts w:ascii="Times New Roman" w:hAnsi="Times New Roman" w:eastAsia="宋体" w:cs="Times New Roman"/>
          <w:lang w:val="en-US" w:eastAsia="zh-CN"/>
        </w:rPr>
        <w:t>第一轮分析异常地址、供暖、违停及机构时长，第二轮完善日期与字段检查，扩大部门、类别和处置结果分析，但结案文本解释仍有错误。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Claude　</w:t>
      </w:r>
      <w:r>
        <w:rPr>
          <w:rFonts w:ascii="Times New Roman" w:hAnsi="Times New Roman" w:eastAsia="宋体" w:cs="Times New Roman"/>
          <w:lang w:val="en-US" w:eastAsia="zh-CN"/>
        </w:rPr>
        <w:t>第一轮保存30张中间汇总表、生成13个工作表，调查地址集中、重复规则与结案描述。Claude因Cursor宿主额度限制切换到Grok，由Grok重建和终检，按混合成品评价。第二轮无独立运行。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　</w:t>
      </w:r>
      <w:r>
        <w:rPr>
          <w:rFonts w:ascii="Times New Roman" w:hAnsi="Times New Roman" w:eastAsia="宋体" w:cs="Times New Roman"/>
          <w:lang w:val="en-US" w:eastAsia="zh-CN"/>
        </w:rPr>
        <w:t>第一轮多次提前结束，经人工续跑后退出；第二轮反复读取同一清单，评测方终止运行。两轮均未形成完整成品。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2 两轮评分及主要差异</w:t>
      </w:r>
    </w:p>
    <w:p>
      <w:r>
        <w:rPr>
          <w:rFonts w:ascii="Times New Roman" w:hAnsi="Times New Roman" w:eastAsia="宋体" w:cs="Times New Roman"/>
          <w:lang w:val="en-US" w:eastAsia="zh-CN"/>
        </w:rPr>
        <w:t>成果质量Q与过程可靠性R各满分100分。Q包括数据判断、证据计算、调查推进、最终交付、复杂度与范围五个维度；R包括独立承担、自我纠错、路线控制、完成真实性、协议纪律五项。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表1  第一轮成果质量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表2  第一轮过程可靠性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第一轮　</w:t>
      </w:r>
      <w:r>
        <w:rPr>
          <w:rFonts w:ascii="Times New Roman" w:hAnsi="Times New Roman" w:eastAsia="宋体" w:cs="Times New Roman"/>
          <w:lang w:val="en-US" w:eastAsia="zh-CN"/>
        </w:rPr>
        <w:t>Grok的质量与可靠性均居首，Q为94、R为99；GPT分别为93、97。Gemini为49、67，与其余五个独立交付系统差距较大。Claude的混合成品Q为81，Kimi未完成交付。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2.1 第二轮评分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表3  第二轮成果质量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24552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表4  第二轮过程可靠性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成果质量　</w:t>
      </w:r>
      <w:r>
        <w:rPr>
          <w:rFonts w:ascii="Times New Roman" w:hAnsi="Times New Roman" w:eastAsia="宋体" w:cs="Times New Roman"/>
          <w:lang w:val="en-US" w:eastAsia="zh-CN"/>
        </w:rPr>
        <w:t>正式五系统的证据计算为21—25分，相差4分。含Gemini观察评分时，证据计算为16—25分、调查推进为23—30分、最终交付为12—15分。GPT质量100、Grok98，差异来自证据计算和最终交付。Qwen分项90，按主线时间窗错误封顶59；Gemini78仅作观察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过程可靠性　</w:t>
      </w:r>
      <w:r>
        <w:rPr>
          <w:rFonts w:ascii="Times New Roman" w:hAnsi="Times New Roman" w:eastAsia="宋体" w:cs="Times New Roman"/>
          <w:lang w:val="en-US" w:eastAsia="zh-CN"/>
        </w:rPr>
        <w:t>Grok自我纠错得25分，GPT24，DeepSeek与GLM23，Qwen22，Gemini16。Gemini路线控制得满分，但仍有语义与解释错误。Claude不发布独立R，Kimi缺失分数留空。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3 两轮得分与具体依据</w:t>
      </w:r>
    </w:p>
    <w:p>
      <w:r>
        <w:rPr>
          <w:rFonts w:ascii="Times New Roman" w:hAnsi="Times New Roman" w:eastAsia="宋体" w:cs="Times New Roman"/>
          <w:lang w:val="en-US" w:eastAsia="zh-CN"/>
        </w:rPr>
        <w:t>下列箭头依次表示第一轮、第二轮。Q为成果质量，R为过程可靠性。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  Q 93→100  R 97→98　</w:t>
      </w:r>
      <w:r>
        <w:rPr>
          <w:rFonts w:ascii="Times New Roman" w:hAnsi="Times New Roman" w:eastAsia="宋体" w:cs="Times New Roman"/>
          <w:lang w:val="en-US" w:eastAsia="zh-CN"/>
        </w:rPr>
        <w:t>新增雪冰峰日、固定构成和替代解释检查，调查推进增加6分。峰日明细与排除对照、固定构成检查支持C2和C4满分，撤销原来缺少依据的两分扣分。计算与最终交付也为满分。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  Q 94→98  R 99→99　</w:t>
      </w:r>
      <w:r>
        <w:rPr>
          <w:rFonts w:ascii="Times New Roman" w:hAnsi="Times New Roman" w:eastAsia="宋体" w:cs="Times New Roman"/>
          <w:lang w:val="en-US" w:eastAsia="zh-CN"/>
        </w:rPr>
        <w:t>质量增加的4分全部来自调查推进。地块排除比较和成熟队列支持深入调查；BBL地块被表述为单栋建筑，解释边界扣1分，恒真的文件存在检查使最终核验扣1分。R总分不变，自我纠错升1分、完成真实性降1分。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  Q 89→95  R 92→94　</w:t>
      </w:r>
      <w:r>
        <w:rPr>
          <w:rFonts w:ascii="Times New Roman" w:hAnsi="Times New Roman" w:eastAsia="宋体" w:cs="Times New Roman"/>
          <w:lang w:val="en-US" w:eastAsia="zh-CN"/>
        </w:rPr>
        <w:t>地址与固定观察期检查使调查推进达到30分。第二轮将最大创建时间写成02:22:25，核验值为01:50:33，自检未发现，最终文件检查仅得2/4。R增加来自路线控制改善。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  Q 86→94  R 94→96　</w:t>
      </w:r>
      <w:r>
        <w:rPr>
          <w:rFonts w:ascii="Times New Roman" w:hAnsi="Times New Roman" w:eastAsia="宋体" w:cs="Times New Roman"/>
          <w:lang w:val="en-US" w:eastAsia="zh-CN"/>
        </w:rPr>
        <w:t>增量分解和热点调查使调查推进增加7分。月均值与关闭率修正提高过程评分，但最终说明仍将44个字段写成43个，最终交付由15分降至14分。Closed子集547条负时长已经核实，不作为错误扣分。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Qwen  Q 81→59  R 89→95　</w:t>
      </w:r>
      <w:r>
        <w:rPr>
          <w:rFonts w:ascii="Times New Roman" w:hAnsi="Times New Roman" w:eastAsia="宋体" w:cs="Times New Roman"/>
          <w:lang w:val="en-US" w:eastAsia="zh-CN"/>
        </w:rPr>
        <w:t>异常和渠道调查使调查推进增加7分，自我纠错增加4分。Use Indoor份额由约10.69%升至29.73%，与“结构无实质变化”的表述冲突；关闭时长主要发现使用11个月与9个月比较，分项合计90，按冻结规则封顶为59。较重的重建和核对投入使复杂度与范围减少2分。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  观察评分 Q 49→78  R 67→81　</w:t>
      </w:r>
      <w:r>
        <w:rPr>
          <w:rFonts w:ascii="Times New Roman" w:hAnsi="Times New Roman" w:eastAsia="宋体" w:cs="Times New Roman"/>
          <w:lang w:val="en-US" w:eastAsia="zh-CN"/>
        </w:rPr>
        <w:t>字段检查和贡献分解明显改善，但arrest关键词命中率8.28%包含否定等语境，明确肯定短语仅约0.013718%。将宽泛命中率解释为拘捕情况导致解释边界仅得1/5，交付后登记修正5项。第二轮越界搜索目录、模型子版本不可核，不进入正式配对汇总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Claude  第一轮混合成品 Q 81　</w:t>
      </w:r>
      <w:r>
        <w:rPr>
          <w:rFonts w:ascii="Times New Roman" w:hAnsi="Times New Roman" w:eastAsia="宋体" w:cs="Times New Roman"/>
          <w:lang w:val="en-US" w:eastAsia="zh-CN"/>
        </w:rPr>
        <w:t>调查推进得25分，证据计算仅16分。地址聚集被认定为无效记录、部分因果解释缺证据，前20类增量与全量未对齐。Grok参与最终交付，故不评价Claude的独立过程可靠性。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  未评分　</w:t>
      </w:r>
      <w:r>
        <w:rPr>
          <w:rFonts w:ascii="Times New Roman" w:hAnsi="Times New Roman" w:eastAsia="宋体" w:cs="Times New Roman"/>
          <w:lang w:val="en-US" w:eastAsia="zh-CN"/>
        </w:rPr>
        <w:t>缺少完整成品与足够评分材料。第二轮真实复测14个实质动作中13个无收益，用时约2.65分钟。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4 两轮变化与投入比较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1723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项增量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23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表5  五个配对系统的分项增量与封顶调整</w:t>
      </w:r>
    </w:p>
    <w:p>
      <w:r>
        <w:rPr>
          <w:rFonts w:ascii="Times New Roman" w:hAnsi="Times New Roman" w:eastAsia="宋体" w:cs="Times New Roman"/>
          <w:lang w:val="en-US" w:eastAsia="zh-CN"/>
        </w:rPr>
        <w:t>五系统分项合计平均增加6.8分，调查推进贡献76.5%，最终交付合计减少1分。Qwen封顶调整−31分后，最终Q平均仅增加0.6分，中位增加6分。Gemini仅保留观察评分。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048000" cy="15177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-第二轮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17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表6  第二轮交付与资源指标</w:t>
      </w:r>
    </w:p>
    <w:p>
      <w:r>
        <w:rPr>
          <w:rFonts w:ascii="Times New Roman" w:hAnsi="Times New Roman" w:eastAsia="宋体" w:cs="Times New Roman"/>
          <w:lang w:val="en-US" w:eastAsia="zh-CN"/>
        </w:rPr>
        <w:t>GPT未登记交付后修正，但可估算费用最高，为38.96元。GLM约9.6分钟、6.48元，Q与R均高于Qwen；DeepSeek费用最低，为1.37—2.74元，仍需重点核对终稿数字。Grok和Gemini缺少Token记录，费用不可比较。</w:t>
      </w:r>
    </w:p>
    <w:p>
      <w:r>
        <w:rPr>
          <w:rFonts w:ascii="Times New Roman" w:hAnsi="Times New Roman" w:eastAsia="宋体" w:cs="Times New Roman"/>
          <w:lang w:val="en-US" w:eastAsia="zh-CN"/>
        </w:rPr>
        <w:t>六个系统第二轮均在无追加指令下完成交付，后续仍登记10项修正。Qwen与Gemini的无收益动作占比均为0，仍分别有2项和5项修正，文件检查未充分覆盖解释错误。</w:t>
      </w:r>
    </w:p>
    <w:p>
      <w:r>
        <w:rPr>
          <w:rFonts w:ascii="Times New Roman" w:hAnsi="Times New Roman" w:eastAsia="宋体" w:cs="Times New Roman"/>
          <w:lang w:val="en-US" w:eastAsia="zh-CN"/>
        </w:rPr>
        <w:t>第二轮增加了调查和对照，但Qwen的比较月份、Gemini的文本解释等问题仍留在终稿。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5 评测结论与系统评价</w:t>
      </w:r>
    </w:p>
    <w:p>
      <w:r>
        <w:rPr>
          <w:rFonts w:ascii="Times New Roman" w:hAnsi="Times New Roman" w:eastAsia="宋体" w:cs="Times New Roman"/>
          <w:lang w:val="en-US" w:eastAsia="zh-CN"/>
        </w:rPr>
        <w:t>第二轮六个系统交付了Excel和分析说明，GPT未登记交付后修正，其余五个共登记10项。Claude由Grok接管收尾，Kimi两轮均未形成完整交付。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　</w:t>
      </w:r>
      <w:r>
        <w:rPr>
          <w:rFonts w:ascii="Times New Roman" w:hAnsi="Times New Roman" w:eastAsia="宋体" w:cs="Times New Roman"/>
          <w:lang w:val="en-US" w:eastAsia="zh-CN"/>
        </w:rPr>
        <w:t>适合对成品准确性要求较高的任务。本次复审Q为100分，计算和终稿检查较完整，交付后未登记修正任务；第二轮估算费用38.96元，在费用可估算的四个系统中最高。预算有限时，需要权衡这部分准确性优势与费用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　</w:t>
      </w:r>
      <w:r>
        <w:rPr>
          <w:rFonts w:ascii="Times New Roman" w:hAnsi="Times New Roman" w:eastAsia="宋体" w:cs="Times New Roman"/>
          <w:lang w:val="en-US" w:eastAsia="zh-CN"/>
        </w:rPr>
        <w:t>调查深入，质量98分，低于GPT两分。排除固定地块后重新比较增长，能检验原解释是否成立。使用成品前仍需核对地块定义、未来关闭日期和无效检查。缺少费用记录，目前只能比较质量和用时。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　</w:t>
      </w:r>
      <w:r>
        <w:rPr>
          <w:rFonts w:ascii="Times New Roman" w:hAnsi="Times New Roman" w:eastAsia="宋体" w:cs="Times New Roman"/>
          <w:lang w:val="en-US" w:eastAsia="zh-CN"/>
        </w:rPr>
        <w:t>调查较深入，第二轮估算费用最低，为1.37—2.74元。地址集中和固定观察期分析较充分，但终稿时间写错，自检也未发现。愿意自行复核关键数字的使用者，可以考虑其费用优势。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　</w:t>
      </w:r>
      <w:r>
        <w:rPr>
          <w:rFonts w:ascii="Times New Roman" w:hAnsi="Times New Roman" w:eastAsia="宋体" w:cs="Times New Roman"/>
          <w:lang w:val="en-US" w:eastAsia="zh-CN"/>
        </w:rPr>
        <w:t>在质量、用时和费用之间表现较均衡。第二轮约9.6分钟、6.48元，质量与过程评分均高于Qwen。个人同时考虑预算和效率时，GLM较值得选用；字段数量、热点分母和原因解释仍需检查。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Qwen　</w:t>
      </w:r>
      <w:r>
        <w:rPr>
          <w:rFonts w:ascii="Times New Roman" w:hAnsi="Times New Roman" w:eastAsia="宋体" w:cs="Times New Roman"/>
          <w:lang w:val="en-US" w:eastAsia="zh-CN"/>
        </w:rPr>
        <w:t>第二轮调查与纠错有所改善，但用时约60.2分钟、估算费用14.33元，关闭时长主线比较错误使质量封顶为59分。反复重建和检查文件后，结构解释与比较窗口的问题仍未解决。本次任务中，Qwen的耗时和估算费用均高于GLM，未获得相应的质量收益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　</w:t>
      </w:r>
      <w:r>
        <w:rPr>
          <w:rFonts w:ascii="Times New Roman" w:hAnsi="Times New Roman" w:eastAsia="宋体" w:cs="Times New Roman"/>
          <w:lang w:val="en-US" w:eastAsia="zh-CN"/>
        </w:rPr>
        <w:t>约6.1分钟完成，速度最快，观察质量评分78分，交付后登记了5项修正。文本误读和缺少证据的原因解释影响主要结论。快速生成文件的优势伴随着较多复核工作，不宜直接采用其分析说明；第二轮未通过Gate，不列入正式排名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Claude　</w:t>
      </w:r>
      <w:r>
        <w:rPr>
          <w:rFonts w:ascii="Times New Roman" w:hAnsi="Times New Roman" w:eastAsia="宋体" w:cs="Times New Roman"/>
          <w:lang w:val="en-US" w:eastAsia="zh-CN"/>
        </w:rPr>
        <w:t>主要调查已完成，随后因Cursor额度限制中断，由Grok收尾。81分评价的是混合成品。中断源于宿主额度，仍然给个人使用者带来了切换和接管工作；本次结果不足以推荐Claude与Cursor的这一组合独立完成同类任务。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　</w:t>
      </w:r>
      <w:r>
        <w:rPr>
          <w:rFonts w:ascii="Times New Roman" w:hAnsi="Times New Roman" w:eastAsia="宋体" w:cs="Times New Roman"/>
          <w:lang w:val="en-US" w:eastAsia="zh-CN"/>
        </w:rPr>
        <w:t>两轮都未交出完整成品。第一轮反复提前结束，需要人工续跑；第二轮重复读取同一清单，未能恢复。在本次两轮预算及Claude Code工具组合下，停止追加付费重试，不将其用于需要连续执行并独立交付的任务。</w:t>
      </w:r>
    </w:p>
    <w:p>
      <w:pPr>
        <w:pStyle w:val="Heading1"/>
        <w:pageBreakBefore/>
      </w:pPr>
      <w:r>
        <w:rPr>
          <w:rFonts w:ascii="Arial" w:hAnsi="Arial" w:eastAsia="黑体" w:cs="Arial"/>
          <w:lang w:val="en-US" w:eastAsia="zh-CN"/>
        </w:rPr>
        <w:t>6 模型与运行条件</w:t>
      </w:r>
    </w:p>
    <w:p>
      <w:pPr>
        <w:keepNext/>
        <w:spacing w:after="40"/>
        <w:jc w:val="center"/>
      </w:pPr>
      <w:r>
        <w:rPr>
          <w:rFonts w:ascii="Times New Roman" w:hAnsi="Times New Roman" w:eastAsia="宋体" w:cs="Times New Roman"/>
          <w:lang w:val="en-US" w:eastAsia="zh-CN"/>
        </w:rPr>
        <w:drawing>
          <wp:inline xmlns:a="http://schemas.openxmlformats.org/drawingml/2006/main" xmlns:pic="http://schemas.openxmlformats.org/drawingml/2006/picture">
            <wp:extent cx="6120000" cy="410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条件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 w:eastAsia="宋体" w:cs="Times New Roman"/>
          <w:lang w:val="en-US" w:eastAsia="zh-CN"/>
        </w:rPr>
        <w:t>表7  模型、思考强度与Harness</w:t>
      </w:r>
    </w:p>
    <w:p>
      <w:r>
        <w:rPr>
          <w:rFonts w:ascii="Times New Roman" w:hAnsi="Times New Roman" w:eastAsia="宋体" w:cs="Times New Roman"/>
          <w:lang w:val="en-US" w:eastAsia="zh-CN"/>
        </w:rPr>
        <w:t>海外模型思考强度设为中，国内模型设为Claude Code中的high。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Claude空白项原因　</w:t>
      </w:r>
      <w:r>
        <w:rPr>
          <w:rFonts w:ascii="Times New Roman" w:hAnsi="Times New Roman" w:eastAsia="宋体" w:cs="Times New Roman"/>
          <w:lang w:val="en-US" w:eastAsia="zh-CN"/>
        </w:rPr>
        <w:t>第一轮因Cursor宿主额度限制，由Claude Opus 5切换到Grok收尾，81分仅评价混合成品，独立过程R留空。第二轮没有可验证的独立运行，因此第二轮分数和两轮变化留空。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Kimi空白项原因　</w:t>
      </w:r>
      <w:r>
        <w:rPr>
          <w:rFonts w:ascii="Times New Roman" w:hAnsi="Times New Roman" w:eastAsia="宋体" w:cs="Times New Roman"/>
          <w:lang w:val="en-US" w:eastAsia="zh-CN"/>
        </w:rPr>
        <w:t>第一轮反复提前结束，需要人工续跑，随后退出；第二轮陷入重复读取同一清单，评测方确认循环后终止。两轮均无完整成品，无法评定Q与R。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Times New Roman" w:hAnsi="Times New Roman" w:eastAsia="宋体" w:cs="Times New Roman"/>
        <w:lang w:val="en-US" w:eastAsia="zh-CN"/>
      </w:rPr>
      <w:t>AI 数据分析 Agent 自主交付评测  简洁版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color w:val="000000"/>
      <w:sz w:val="23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93" w:lineRule="auto"/>
      <w:outlineLvl w:val="0"/>
    </w:pPr>
    <w:rPr>
      <w:rFonts w:ascii="Arial" w:hAnsi="Arial" w:eastAsia="黑体" w:cs="Arial"/>
      <w:b w:val="0"/>
      <w:bCs/>
      <w:color w:val="000000"/>
      <w:sz w:val="32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293" w:lineRule="auto"/>
      <w:outlineLvl w:val="1"/>
    </w:pPr>
    <w:rPr>
      <w:rFonts w:ascii="Arial" w:hAnsi="Arial" w:eastAsia="黑体" w:cs="Arial"/>
      <w:b w:val="0"/>
      <w:bCs/>
      <w:color w:val="000000"/>
      <w:sz w:val="25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 w:cs="Arial"/>
      <w:b/>
      <w:bCs/>
      <w:color w:val="4F81BD" w:themeColor="accent1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93" w:lineRule="auto"/>
      <w:contextualSpacing/>
    </w:pPr>
    <w:rPr>
      <w:rFonts w:ascii="Arial" w:hAnsi="Arial" w:eastAsia="黑体" w:cs="Arial"/>
      <w:b w:val="0"/>
      <w:color w:val="000000"/>
      <w:spacing w:val="5"/>
      <w:kern w:val="28"/>
      <w:sz w:val="42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bCs/>
      <w:color w:val="000000"/>
      <w:sz w:val="18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