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数据分析 Agent/自主交付评测简洁版</w:t>
      </w:r>
    </w:p>
    <w:p>
      <w:r>
        <w:t>NYC311 数据分析任务　两轮自主交付评测</w:t>
      </w:r>
    </w:p>
    <w:p>
      <w:r>
        <w:t>本项目沿用项目1的纽约市311非紧急市政服务请求（NYC311）数据，交给八个能调用工具执行任务的AI系统，文中称为AI Agent。输入为25个Parquet格式数据文件、7,525,498条请求、44列信息。各系统自主选题，提交Excel和说明；第一轮用基础提示，第二轮增加方法提示，Grok和Gemini另有检查清单。</w:t>
      </w:r>
    </w:p>
    <w:p>
      <w:r>
        <w:t>下文先看各系统实际做了什么，再结合文件和计算核查解释评分，最后比较耗时、费用及接手工作。未形成成品的轮次保留状态，分数留空。</w:t>
      </w:r>
    </w:p>
    <w:p>
      <w:pPr>
        <w:pStyle w:val="Heading1"/>
        <w:pageBreakBefore w:val="0"/>
      </w:pPr>
      <w:r>
        <w:t>1 各系统完成的主要工作</w:t>
      </w:r>
    </w:p>
    <w:p>
      <w:r>
        <w:rPr>
          <w:rFonts w:ascii="Times New Roman" w:hAnsi="Times New Roman" w:eastAsia="宋体" w:cs="Times New Roman"/>
          <w:b/>
          <w:lang w:val="en-US" w:eastAsia="zh-CN"/>
        </w:rPr>
        <w:t xml:space="preserve">GPT　</w:t>
      </w:r>
      <w:r>
        <w:rPr>
          <w:rFonts w:ascii="Times New Roman" w:hAnsi="Times New Roman" w:eastAsia="宋体" w:cs="Times New Roman"/>
          <w:lang w:val="en-US" w:eastAsia="zh-CN"/>
        </w:rPr>
        <w:t>第一轮分解类别、行政区增长，第二轮进一步核查雪冰峰日和渠道构成。最高5天占同期雪冰请求的59.42%；排除峰日并固定不同月份、类别和机构的权重后继续比较，最终检查Excel公式和图表。</w:t>
      </w:r>
    </w:p>
    <w:p>
      <w:r>
        <w:rPr>
          <w:rFonts w:ascii="Times New Roman" w:hAnsi="Times New Roman" w:eastAsia="宋体" w:cs="Times New Roman"/>
          <w:b/>
          <w:lang w:val="en-US" w:eastAsia="zh-CN"/>
        </w:rPr>
        <w:t xml:space="preserve">Grok　</w:t>
      </w:r>
      <w:r>
        <w:rPr>
          <w:rFonts w:ascii="Times New Roman" w:hAnsi="Times New Roman" w:eastAsia="宋体" w:cs="Times New Roman"/>
          <w:lang w:val="en-US" w:eastAsia="zh-CN"/>
        </w:rPr>
        <w:t>第一轮按互斥类别分解全市增量，第二轮检查供暖请求是否集中在少数地块、积雪高量日及坑洞。排除固定前10个地块后，供暖请求仍增长21.96%。</w:t>
      </w:r>
    </w:p>
    <w:p>
      <w:r>
        <w:rPr>
          <w:rFonts w:ascii="Times New Roman" w:hAnsi="Times New Roman" w:eastAsia="宋体" w:cs="Times New Roman"/>
          <w:b/>
          <w:lang w:val="en-US" w:eastAsia="zh-CN"/>
        </w:rPr>
        <w:t xml:space="preserve">DeepSeek　</w:t>
      </w:r>
      <w:r>
        <w:rPr>
          <w:rFonts w:ascii="Times New Roman" w:hAnsi="Times New Roman" w:eastAsia="宋体" w:cs="Times New Roman"/>
          <w:lang w:val="en-US" w:eastAsia="zh-CN"/>
        </w:rPr>
        <w:t>两轮均调查异常地址和关闭时长，第二轮增加邮编集中度、固定30天关闭率及数据重建。第一轮固定机构与类型的权重后，冬季时长倍数由3.8667降至1.1537。</w:t>
      </w:r>
    </w:p>
    <w:p>
      <w:r>
        <w:rPr>
          <w:rFonts w:ascii="Times New Roman" w:hAnsi="Times New Roman" w:eastAsia="宋体" w:cs="Times New Roman"/>
          <w:b/>
          <w:lang w:val="en-US" w:eastAsia="zh-CN"/>
        </w:rPr>
        <w:t xml:space="preserve">GLM　</w:t>
      </w:r>
      <w:r>
        <w:rPr>
          <w:rFonts w:ascii="Times New Roman" w:hAnsi="Times New Roman" w:eastAsia="宋体" w:cs="Times New Roman"/>
          <w:lang w:val="en-US" w:eastAsia="zh-CN"/>
        </w:rPr>
        <w:t>第一轮重点追查道路异常，第二轮增加同比增量分解、住宅噪声与热点地址分析，并修正月均值和关闭率的统计月份。</w:t>
      </w:r>
    </w:p>
    <w:p>
      <w:r>
        <w:t>Qwen　第一轮完成类别、地区和时长比较，第二轮增加噪声尖峰、渠道及异常调整分析，但两轮分别留下描述结构和比较月份的核心解释错误。</w:t>
      </w:r>
    </w:p>
    <w:p>
      <w:r>
        <w:rPr>
          <w:rFonts w:ascii="Times New Roman" w:hAnsi="Times New Roman" w:eastAsia="宋体" w:cs="Times New Roman"/>
          <w:b/>
          <w:lang w:val="en-US" w:eastAsia="zh-CN"/>
        </w:rPr>
        <w:t xml:space="preserve">Gemini　</w:t>
      </w:r>
      <w:r>
        <w:rPr>
          <w:rFonts w:ascii="Times New Roman" w:hAnsi="Times New Roman" w:eastAsia="宋体" w:cs="Times New Roman"/>
          <w:lang w:val="en-US" w:eastAsia="zh-CN"/>
        </w:rPr>
        <w:t>第一轮分析异常地址、供暖、违停及机构时长，第二轮完善日期与字段检查，扩大部门、类别和处置结果分析，但结案文本解释仍有错误。</w:t>
      </w:r>
    </w:p>
    <w:p>
      <w:r>
        <w:t>Claude　第一轮保存30张中间汇总表、生成13个工作表，调查地址集中、重复规则与结案描述。Cursor额度用尽后由Grok订正数字并重建终稿；72分只评价Claude阶段可归属的工作。第二轮未运行。</w:t>
      </w:r>
    </w:p>
    <w:p>
      <w:r>
        <w:rPr>
          <w:rFonts w:ascii="Times New Roman" w:hAnsi="Times New Roman" w:eastAsia="宋体" w:cs="Times New Roman"/>
          <w:b/>
          <w:lang w:val="en-US" w:eastAsia="zh-CN"/>
        </w:rPr>
        <w:t xml:space="preserve">Kimi　</w:t>
      </w:r>
      <w:r>
        <w:rPr>
          <w:rFonts w:ascii="Times New Roman" w:hAnsi="Times New Roman" w:eastAsia="宋体" w:cs="Times New Roman"/>
          <w:lang w:val="en-US" w:eastAsia="zh-CN"/>
        </w:rPr>
        <w:t>第一轮多次提前结束，经人工续跑后退出；第二轮反复读取同一清单，评测方终止运行。两轮均未形成完整成品。</w:t>
      </w:r>
    </w:p>
    <w:p>
      <w:pPr>
        <w:pStyle w:val="Heading1"/>
        <w:pageBreakBefore/>
      </w:pPr>
      <w:r>
        <w:t>2 两轮现行 S 评分及主要差异</w:t>
      </w:r>
    </w:p>
    <w:p>
      <w:r>
        <w:t>S是自主交付总分，满分100，由25个细项相加。A—F依次为数据与选题15分、证据计算20分、调查判断20分、人工维护25分、成品可用性10分、自主与资源10分。每项按完整满足、主要满足、部分完成、有限可用、未完成或不可用，分别给满分的100%、75%、50%、25%、0。具体定义和依据见完整稿第1.2节及附录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4552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5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  第一轮现行 S 六维评分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4552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5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表2  第一轮人工维护、成品与自主性</w:t>
      </w:r>
    </w:p>
    <w:p>
      <w:r>
        <w:t>第一轮总分：GPT88、Grok84.5、DeepSeek76.5、GLM74、Qwen67.5、Gemini39.5；Claude接管前工作72分。Claude第二轮未运行，Kimi两轮无可评分成品，空白不作0分。</w:t>
      </w:r>
    </w:p>
    <w:p>
      <w:pPr>
        <w:pStyle w:val="Heading1"/>
        <w:pageBreakBefore/>
      </w:pPr>
      <w:r>
        <w:t>2.1 第二轮评分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4552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5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表3  第二轮现行 S 六维评分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4552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5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表4  第二轮人工维护、成品与自主性</w:t>
      </w:r>
    </w:p>
    <w:p>
      <w:r>
        <w:t>第二轮总分：GPT98.5、DeepSeek87.25、Grok85.25、GLM81、Qwen75.25、Gemini59.5。项目约定总分≥90、维护≥22/25、成品≥8/10、自主性≥8/10，且原AI已检查最终成品、核心结论无已确认而未处理的错误；这次只有GPT第二轮全部满足。</w:t>
      </w:r>
    </w:p>
    <w:p>
      <w:r>
        <w:t>回看第二轮增加的工作，许多系统补做了异常追查和对照计算。调查判断平均增加4.67分，占总增量约49.3%；人工维护增加1.46分，成品增加0.54分，交接说明和终稿仍有未解决的问题。</w:t>
      </w:r>
    </w:p>
    <w:p>
      <w:pPr>
        <w:pStyle w:val="Heading1"/>
        <w:pageBreakBefore/>
      </w:pPr>
      <w:r>
        <w:t>3 两轮得分与具体依据</w:t>
      </w:r>
    </w:p>
    <w:p>
      <w:r>
        <w:t>箭头前后依次为第一轮和第二轮得分，“20/20”表示得20分、该组满分20分。D5等编号表示组别及细项序号，D5是原AI是否检查最终成品。下列分数对应本次逐项复核，采用评分标准。</w:t>
      </w:r>
    </w:p>
    <w:p>
      <w:r>
        <w:t>GPT  88→98.5　第二轮排除雪冰峰日并固定不同月份、类别和机构的权重，调查判断升至20/20，人工维护23.5/25；成品和自主性均满分。</w:t>
      </w:r>
    </w:p>
    <w:p>
      <w:r>
        <w:t>Grok  84.5→85.25。剔除固定前10个地块后复查供暖增长，调查得19.25/20。核查时发现BBL（税务地块编号）写成了建筑，一处文件存在检查始终通过，接手前还需补维护说明和有效检查。</w:t>
      </w:r>
    </w:p>
    <w:p>
      <w:r>
        <w:t>DeepSeek  76.5→87.25。继续追查地址，并用固定30天观察窗比较关闭率。终稿检查仍发现最晚的请求创建时间写错、总览截字，成品得6.75/10。</w:t>
      </w:r>
    </w:p>
    <w:p>
      <w:r>
        <w:t>GLM  74→81　第二轮增加类型增量与热点调查，调查判断提高5.25分；热点定义、更新前置步骤及终稿字段数量仍有问题。</w:t>
      </w:r>
    </w:p>
    <w:p>
      <w:r>
        <w:t>Qwen  67.5→75.25　第二轮调查增加，但关闭时长仍把11个月与9个月比较；第一轮Drug Activity（涉毒活动类别）的描述占比也判断错误。第二轮约60.21分钟，费用参考约14.33元。</w:t>
      </w:r>
    </w:p>
    <w:p>
      <w:r>
        <w:t>Gemini  39.5→59.5。第二轮增加贡献分解。回查结案原句时，arrest（拘捕）关键词命中的多数记录是否定表述，原文据此作出的拘捕解释需要修改；本轮共登记5项交后修正。</w:t>
      </w:r>
    </w:p>
    <w:p>
      <w:r>
        <w:t>Claude  第一轮72　调查与中间结果有价值，原脚本重做28/30张中间表一致；高频记录全局剔除和部分因果解释依据不足。后续Grok接续工作不倒填。</w:t>
      </w:r>
    </w:p>
    <w:p>
      <w:r>
        <w:t>Kimi  两轮未评分　第一轮提前结束，第二轮重复读同一清单；真实复测14个实质动作中13个无收益，用时约2.65分钟。</w:t>
      </w:r>
    </w:p>
    <w:p>
      <w:pPr>
        <w:pStyle w:val="Heading1"/>
        <w:pageBreakBefore/>
      </w:pPr>
      <w:r>
        <w:t>4 两轮变化与投入比较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17236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分项增量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23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表5  六系统配对的现行 S 六维平均变化</w:t>
      </w:r>
    </w:p>
    <w:p>
      <w:r>
        <w:t>两轮都有评分的六个系统一一对应后求平均，称为配对均值；从71.67升至81.13，增加9.46分。主要改善在调查判断。Gemini增加20分，第二轮为59.5分，结案文本的解释仍需修改。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15177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览-第二轮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51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表6  第二轮交付与资源指标</w:t>
      </w:r>
    </w:p>
    <w:p>
      <w:r>
        <w:t>目录价按模型公开单价和用量估算：GPT第二轮38.96元，GLM6.48元，DeepSeek按忙时、闲时单价列为1.37—2.74元。Grok的9.86元为订阅额度消耗；Gemini的5.12元为Token用量按API单价折算。Token是文字处理的计量单位，API是软件调用模型的接口；这些金额均不直接等于现金扣款。</w:t>
      </w:r>
    </w:p>
    <w:p>
      <w:r>
        <w:t>无收益动作占比（AWR）是确认无收益动作数除以实质动作数，分母包括交付工作、必要探索和无收益动作，不含进度管理。六系统第二轮均无追加指令，交后仍有10项修正；Qwen和Gemini的AWR为0，却分别有2项和5项修正。</w:t>
      </w:r>
    </w:p>
    <w:p>
      <w:r>
        <w:t>具体接手工作包括：Qwen统一比较月份后重算，Gemini重读结案文本并修改解释，Grok与GLM补正定义和维护步骤。这些问题在增加调查后仍然存在。</w:t>
      </w:r>
    </w:p>
    <w:p>
      <w:pPr>
        <w:pStyle w:val="Heading1"/>
        <w:pageBreakBefore/>
      </w:pPr>
      <w:r>
        <w:t>5 评测结论与系统评价</w:t>
      </w:r>
    </w:p>
    <w:p>
      <w:r>
        <w:t>这次两轮尝试中，六系统都有可评分成果，第二轮平均81.13分。逐项核查后，GPT第二轮达到项目1参照要求；Claude第一轮需要Grok接续，Kimi未完成。以下选择仅依据本次任务和运行记录。</w:t>
      </w:r>
    </w:p>
    <w:p>
      <w:r>
        <w:t>GPT：第二轮S为98.5，主要计算和文件检查较完整，未登记交后修正。目录价约38.96元；在这次需要完整交付、减少接手工作的任务中，可优先考虑。</w:t>
      </w:r>
    </w:p>
    <w:p>
      <w:r>
        <w:t>Grok：第二轮S为85.25，约11.71分钟。供暖等调查可供参考，使用前要补正地块定义和维护检查。订阅额度计价约9.86元，与现金扣款口径不同。</w:t>
      </w:r>
    </w:p>
    <w:p>
      <w:r>
        <w:t>DeepSeek：第二轮S为87.25，地址与观察窗口调查较深入，目录价约1.37—2.74元。采用结果前需核对终稿时间并修正显示问题。</w:t>
      </w:r>
    </w:p>
    <w:p>
      <w:r>
        <w:t>GLM：第二轮S为81，约9.59分钟、6.48元，比Qwen省时省费。若采用，需要先重定热点范围、重算相关结果，并补上维护步骤。</w:t>
      </w:r>
    </w:p>
    <w:p>
      <w:r>
        <w:t>Qwen：第二轮S为75.25，约60.21分钟、14.33元。两轮分别有描述结构和时间窗口错误；就本次个人使用而言，已有结果不支持继续投入重试。</w:t>
      </w:r>
    </w:p>
    <w:p>
      <w:r>
        <w:t>Gemini：第二轮S为59.5，约6.07分钟。回查原句后，文本语义和治理解释存在核心错误，相关政策、人口或执法建议暂不宜采用。</w:t>
      </w:r>
    </w:p>
    <w:p>
      <w:r>
        <w:t>Claude：接管前工作得72分，留下较多调查和中间表。Claude阶段订阅额度计价约153.57元，含Grok接续约165.69元；后续仍需处理筛选与解释问题。</w:t>
      </w:r>
    </w:p>
    <w:p>
      <w:r>
        <w:t>Kimi：两轮未得到可用交付，记录中已有时间、费用和人工催促。在本次工具组合下，暂不追加付费重试。</w:t>
      </w:r>
    </w:p>
    <w:p>
      <w:pPr>
        <w:pStyle w:val="Heading1"/>
        <w:pageBreakBefore/>
      </w:pPr>
      <w:r>
        <w:t>6 模型与运行条件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0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表7  模型、思考强度与Harness</w:t>
      </w:r>
    </w:p>
    <w:p>
      <w:r>
        <w:t>表中Harness指调用工具、读写文件的软件环境；medium、high、high-fast为思考强度设置，同名设置不保证投入相同。Gemini两轮模型均为gemini-3.8-flash，Kimi两轮均为kimi-k3。具体条件见Excel“字段说明”，评分依据见“评分与用量”。</w:t>
      </w:r>
    </w:p>
    <w:p>
      <w:r>
        <w:t>Claude空白项原因　第二轮未运行。第一轮72分只评价Claude接管前有证据支持的工作，Grok后续订正和重建分开归属。</w:t>
      </w:r>
    </w:p>
    <w:p>
      <w:r>
        <w:t>Kimi空白项原因　两轮均无完整成品。第二轮重复读取清单后由评测方终止，时间和费用仍计入使用判断。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Times New Roman" w:hAnsi="Times New Roman" w:eastAsia="宋体" w:cs="Times New Roman"/>
        <w:lang w:val="en-US" w:eastAsia="zh-CN"/>
      </w:rPr>
      <w:t>AI 数据分析 Agent 自主交付评测  简洁版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hideSpellingErrors/>
  <w:hideGrammaticalErro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60"/>
    </w:pPr>
    <w:rPr>
      <w:rFonts w:ascii="Times New Roman" w:hAnsi="Times New Roman" w:eastAsia="宋体" w:cs="Times New Roman"/>
      <w:b w:val="0"/>
      <w:color w:val="000000"/>
      <w:sz w:val="23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293" w:lineRule="auto"/>
      <w:outlineLvl w:val="0"/>
    </w:pPr>
    <w:rPr>
      <w:rFonts w:ascii="Arial" w:hAnsi="Arial" w:eastAsia="黑体" w:cs="Arial"/>
      <w:b w:val="0"/>
      <w:bCs/>
      <w:color w:val="000000"/>
      <w:sz w:val="32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93" w:lineRule="auto"/>
      <w:outlineLvl w:val="1"/>
    </w:pPr>
    <w:rPr>
      <w:rFonts w:ascii="Arial" w:hAnsi="Arial" w:eastAsia="黑体" w:cs="Arial"/>
      <w:b w:val="0"/>
      <w:bCs/>
      <w:color w:val="000000"/>
      <w:sz w:val="25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黑体" w:cs="Arial"/>
      <w:b/>
      <w:bCs/>
      <w:color w:val="4F81BD" w:themeColor="accent1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93" w:lineRule="auto"/>
      <w:contextualSpacing/>
    </w:pPr>
    <w:rPr>
      <w:rFonts w:ascii="Arial" w:hAnsi="Arial" w:eastAsia="黑体" w:cs="Arial"/>
      <w:b w:val="0"/>
      <w:color w:val="000000"/>
      <w:spacing w:val="5"/>
      <w:kern w:val="28"/>
      <w:sz w:val="42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93" w:lineRule="auto" w:after="160"/>
    </w:pPr>
    <w:rPr>
      <w:rFonts w:ascii="Times New Roman" w:hAnsi="Times New Roman" w:eastAsia="宋体" w:cs="Times New Roman"/>
      <w:b w:val="0"/>
      <w:bCs/>
      <w:color w:val="000000"/>
      <w:sz w:val="18"/>
      <w:szCs w:val="18"/>
      <w:lang w:val="en-US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