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 4 Homework Submission — Hermes Desktop Provider &amp; Gateway Integration Fixes</w:t>
      </w:r>
    </w:p>
    <w:p>
      <w:r>
        <w:rPr>
          <w:b/>
        </w:rPr>
        <w:t>Branch:</w:t>
      </w:r>
      <w:r>
        <w:t xml:space="preserve"> </w:t>
      </w:r>
      <w:r>
        <w:rPr>
          <w:rFonts w:ascii="Consolas" w:hAnsi="Consolas"/>
          <w:color w:val="A00040"/>
        </w:rPr>
        <w:t>week4-homework</w:t>
      </w:r>
      <w:r>
        <w:t xml:space="preserve"> (off the instructor-provided </w:t>
      </w:r>
      <w:r>
        <w:rPr>
          <w:rFonts w:ascii="Consolas" w:hAnsi="Consolas"/>
          <w:color w:val="A00040"/>
        </w:rPr>
        <w:t>Week 4 baseline</w:t>
      </w:r>
      <w:r>
        <w:t xml:space="preserve"> commit </w:t>
      </w:r>
      <w:r>
        <w:rPr>
          <w:rFonts w:ascii="Consolas" w:hAnsi="Consolas"/>
          <w:color w:val="A00040"/>
        </w:rPr>
        <w:t>fe76f3a</w:t>
      </w:r>
      <w:r>
        <w:t>)</w:t>
      </w:r>
    </w:p>
    <w:p>
      <w:r>
        <w:rPr>
          <w:b/>
        </w:rPr>
        <w:t>Repo:</w:t>
      </w:r>
      <w:r>
        <w:t xml:space="preserve"> https://github.com/Raingsey2002/hermes-desktop</w:t>
      </w:r>
    </w:p>
    <w:p>
      <w:r>
        <w:rPr>
          <w:b/>
        </w:rPr>
        <w:t>Author:</w:t>
      </w:r>
      <w:r>
        <w:t xml:space="preserve"> Raingsey Thab</w:t>
      </w:r>
    </w:p>
    <w:p>
      <w:r>
        <w:t>This document consolidates the assignment's six required deliverables into one place: reproduction, trace, root cause, fix, tests, and risk for each of the six tasks; a source map of ≥18 path+symbol anchors; the Task 2 timing table; and the git history mapped one-commit-per-task. The full detail for each task lives in its own report file alongside this one (linked below) — this document is the index and the executive summary the PDF asks for.</w:t>
      </w:r>
    </w:p>
    <w:p>
      <w:pPr>
        <w:jc w:val="center"/>
      </w:pPr>
      <w:r>
        <w:rPr>
          <w:color w:val="AAAAAA"/>
        </w:rPr>
        <w:t>――――――――――――――――――――――――――――――――――――――――</w:t>
      </w:r>
    </w:p>
    <w:p>
      <w:pPr>
        <w:pStyle w:val="Heading2"/>
      </w:pPr>
      <w:r>
        <w:t>How to read this submission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One-line status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Full report</w:t>
            </w:r>
          </w:p>
        </w:tc>
      </w:tr>
      <w:tr>
        <w:tc>
          <w:tcPr>
            <w:tcW w:type="dxa" w:w="2880"/>
          </w:tcPr>
          <w:p>
            <w:r/>
            <w:r>
              <w:t>W4-1 — Provider display vs runtime</w:t>
            </w:r>
          </w:p>
        </w:tc>
        <w:tc>
          <w:tcPr>
            <w:tcW w:type="dxa" w:w="2880"/>
          </w:tcPr>
          <w:p>
            <w:r/>
            <w:r>
              <w:t>Root cause traced and fixed (stale display surfaces removed); no send-path defect found</w:t>
            </w:r>
          </w:p>
        </w:tc>
        <w:tc>
          <w:tcPr>
            <w:tcW w:type="dxa" w:w="2880"/>
          </w:tcPr>
          <w:p>
            <w:r/>
            <w:r>
              <w:rPr>
                <w:i/>
                <w:color w:val="0045A8"/>
              </w:rPr>
              <w:t>W4-1-provider-display.md (./W4-1-provider-display.md)</w:t>
            </w:r>
          </w:p>
        </w:tc>
      </w:tr>
      <w:tr>
        <w:tc>
          <w:tcPr>
            <w:tcW w:type="dxa" w:w="2880"/>
          </w:tcPr>
          <w:p>
            <w:r/>
            <w:r>
              <w:t>W4-2 — Provider switch failure/latency</w:t>
            </w:r>
          </w:p>
        </w:tc>
        <w:tc>
          <w:tcPr>
            <w:tcW w:type="dxa" w:w="2880"/>
          </w:tcPr>
          <w:p>
            <w:r/>
            <w:r>
              <w:t>No Desktop defect in the switch logic; live testing found a real, out-of-repo Gemini runtime bug</w:t>
            </w:r>
          </w:p>
        </w:tc>
        <w:tc>
          <w:tcPr>
            <w:tcW w:type="dxa" w:w="2880"/>
          </w:tcPr>
          <w:p>
            <w:r/>
            <w:r>
              <w:rPr>
                <w:i/>
                <w:color w:val="0045A8"/>
              </w:rPr>
              <w:t>W4-2-provider-switching.md (./W4-2-provider-switching.md)</w:t>
            </w:r>
          </w:p>
        </w:tc>
      </w:tr>
      <w:tr>
        <w:tc>
          <w:tcPr>
            <w:tcW w:type="dxa" w:w="2880"/>
          </w:tcPr>
          <w:p>
            <w:r/>
            <w:r>
              <w:t>W4-3 — Skill upload/import</w:t>
            </w:r>
          </w:p>
        </w:tc>
        <w:tc>
          <w:tcPr>
            <w:tcW w:type="dxa" w:w="2880"/>
          </w:tcPr>
          <w:p>
            <w:r/>
            <w:r>
              <w:t>UI gap (not backend) fixed: URL/identifier field + local file/folder install</w:t>
            </w:r>
          </w:p>
        </w:tc>
        <w:tc>
          <w:tcPr>
            <w:tcW w:type="dxa" w:w="2880"/>
          </w:tcPr>
          <w:p>
            <w:r/>
            <w:r>
              <w:rPr>
                <w:i/>
                <w:color w:val="0045A8"/>
              </w:rPr>
              <w:t>W4-3-skill-upload.md (./W4-3-skill-upload.md)</w:t>
            </w:r>
          </w:p>
        </w:tc>
      </w:tr>
      <w:tr>
        <w:tc>
          <w:tcPr>
            <w:tcW w:type="dxa" w:w="2880"/>
          </w:tcPr>
          <w:p>
            <w:r/>
            <w:r>
              <w:t>W4-4 — Local/remote skill paths</w:t>
            </w:r>
          </w:p>
        </w:tc>
        <w:tc>
          <w:tcPr>
            <w:tcW w:type="dxa" w:w="2880"/>
          </w:tcPr>
          <w:p>
            <w:r/>
            <w:r>
              <w:t>Two real defects fixed: local now gateway-routed with CLI fallback; remote's working backend un-hidden</w:t>
            </w:r>
          </w:p>
        </w:tc>
        <w:tc>
          <w:tcPr>
            <w:tcW w:type="dxa" w:w="2880"/>
          </w:tcPr>
          <w:p>
            <w:r/>
            <w:r>
              <w:rPr>
                <w:i/>
                <w:color w:val="0045A8"/>
              </w:rPr>
              <w:t>W4-4-skill-paths.md (./W4-4-skill-paths.md)</w:t>
            </w:r>
          </w:p>
        </w:tc>
      </w:tr>
      <w:tr>
        <w:tc>
          <w:tcPr>
            <w:tcW w:type="dxa" w:w="2880"/>
          </w:tcPr>
          <w:p>
            <w:r/>
            <w:r>
              <w:t>W4-5 — Skills selectable in chat</w:t>
            </w:r>
          </w:p>
        </w:tc>
        <w:tc>
          <w:tcPr>
            <w:tcW w:type="dxa" w:w="2880"/>
          </w:tcPr>
          <w:p>
            <w:r/>
            <w:r>
              <w:t>Missing selection UI added on top of an already-working invocation contract</w:t>
            </w:r>
          </w:p>
        </w:tc>
        <w:tc>
          <w:tcPr>
            <w:tcW w:type="dxa" w:w="2880"/>
          </w:tcPr>
          <w:p>
            <w:r/>
            <w:r>
              <w:rPr>
                <w:i/>
                <w:color w:val="0045A8"/>
              </w:rPr>
              <w:t>W4-5-skill-selection.md (./W4-5-skill-selection.md)</w:t>
            </w:r>
          </w:p>
        </w:tc>
      </w:tr>
      <w:tr>
        <w:tc>
          <w:tcPr>
            <w:tcW w:type="dxa" w:w="2880"/>
          </w:tcPr>
          <w:p>
            <w:r/>
            <w:r>
              <w:t>W4-6 — Agent confirmation UI</w:t>
            </w:r>
          </w:p>
        </w:tc>
        <w:tc>
          <w:tcPr>
            <w:tcW w:type="dxa" w:w="2880"/>
          </w:tcPr>
          <w:p>
            <w:r/>
            <w:r>
              <w:t>Full net-new fix across all three event-delivery transports; verified live end-to-end</w:t>
            </w:r>
          </w:p>
        </w:tc>
        <w:tc>
          <w:tcPr>
            <w:tcW w:type="dxa" w:w="2880"/>
          </w:tcPr>
          <w:p>
            <w:r/>
            <w:r>
              <w:rPr>
                <w:i/>
                <w:color w:val="0045A8"/>
              </w:rPr>
              <w:t>W4-6-confirmation-ui.md (./W4-6-confirmation-ui.md)</w:t>
            </w:r>
          </w:p>
        </w:tc>
      </w:tr>
    </w:tbl>
    <w:p/>
    <w:p>
      <w:r>
        <w:rPr>
          <w:i/>
          <w:color w:val="0045A8"/>
        </w:rPr>
        <w:t>SOURCE-MAP.md (./SOURCE-MAP.md)</w:t>
      </w:r>
      <w:r>
        <w:t xml:space="preserve"> — 38 path+symbol anchors across Desktop / shared client / Gateway / runtime layers (assignment requires ≥18).</w:t>
      </w:r>
    </w:p>
    <w:p>
      <w:pPr>
        <w:jc w:val="center"/>
      </w:pPr>
      <w:r>
        <w:rPr>
          <w:color w:val="AAAAAA"/>
        </w:rPr>
        <w:t>――――――――――――――――――――――――――――――――――――――――</w:t>
      </w:r>
    </w:p>
    <w:p>
      <w:pPr>
        <w:pStyle w:val="Heading2"/>
      </w:pPr>
      <w:r>
        <w:t>Task 1 — Provider Display vs Runtime Call Are Inconsistent</w:t>
      </w:r>
    </w:p>
    <w:p>
      <w:r>
        <w:rPr>
          <w:b/>
        </w:rPr>
        <w:t>Symptom.</w:t>
      </w:r>
      <w:r>
        <w:t xml:space="preserve"> The provider/model shown in Desktop could differ from the provider/model the Agent runtime actually used for the next request.</w:t>
      </w:r>
    </w:p>
    <w:p>
      <w:r>
        <w:rPr>
          <w:b/>
        </w:rPr>
        <w:t>Trace.</w:t>
      </w:r>
      <w:r>
        <w:t xml:space="preserve"> Five sources of provider/model identity were traced end-to-end: the chat-input picker's session-only override, the combined </w:t>
      </w:r>
      <w:r>
        <w:rPr>
          <w:rFonts w:ascii="Consolas" w:hAnsi="Consolas"/>
          <w:color w:val="A00040"/>
        </w:rPr>
        <w:t>chatCurrentModel</w:t>
      </w:r>
      <w:r>
        <w:t>/</w:t>
      </w:r>
      <w:r>
        <w:rPr>
          <w:rFonts w:ascii="Consolas" w:hAnsi="Consolas"/>
          <w:color w:val="A00040"/>
        </w:rPr>
        <w:t>chatCurrentProvider</w:t>
      </w:r>
      <w:r>
        <w:t>/</w:t>
      </w:r>
      <w:r>
        <w:rPr>
          <w:rFonts w:ascii="Consolas" w:hAnsi="Consolas"/>
          <w:color w:val="A00040"/>
        </w:rPr>
        <w:t>chatCurrentBaseUrl</w:t>
      </w:r>
      <w:r>
        <w:t xml:space="preserve"> every downstream consumer reads (</w:t>
      </w:r>
      <w:r>
        <w:rPr>
          <w:rFonts w:ascii="Consolas" w:hAnsi="Consolas"/>
          <w:color w:val="A00040"/>
        </w:rPr>
        <w:t>Chat.tsx:351-356</w:t>
      </w:r>
      <w:r>
        <w:t>), the dashboard transport's switch-and-verify state machine (</w:t>
      </w:r>
      <w:r>
        <w:rPr>
          <w:rFonts w:ascii="Consolas" w:hAnsi="Consolas"/>
          <w:color w:val="A00040"/>
        </w:rPr>
        <w:t>ensureSelectedModel</w:t>
      </w:r>
      <w:r>
        <w:t xml:space="preserve">, which throws on a confirmed live-model mismatch rather than silently proceeding), the legacy/CLI send path's override overlay, and two *other* UI surfaces — Settings' "Active Model" card and the status bar's model chip — that read only </w:t>
      </w:r>
      <w:r>
        <w:rPr>
          <w:rFonts w:ascii="Consolas" w:hAnsi="Consolas"/>
          <w:color w:val="A00040"/>
        </w:rPr>
        <w:t>config.yaml</w:t>
      </w:r>
      <w:r>
        <w:t>'s persisted global default, independent of the active conversation's override.</w:t>
      </w:r>
    </w:p>
    <w:p>
      <w:r>
        <w:rPr>
          <w:b/>
        </w:rPr>
        <w:t>Root cause.</w:t>
      </w:r>
      <w:r>
        <w:t xml:space="preserve"> The actual send path is internally consistent and self-verifying. The real inconsistency was the two stale display surfaces: a user who switched models in one conversation would see the *old* global default in Settings/status bar while that conversation correctly ran on the new model.</w:t>
      </w:r>
    </w:p>
    <w:p>
      <w:r>
        <w:rPr>
          <w:b/>
        </w:rPr>
        <w:t>Fix.</w:t>
      </w:r>
      <w:r>
        <w:t xml:space="preserve"> Removed both stale displays rather than trying to keep three independent surfaces synchronized — a single global chip can never correctly represent a value that is legitimately per-conversation.</w:t>
      </w:r>
    </w:p>
    <w:p>
      <w:r>
        <w:rPr>
          <w:b/>
        </w:rPr>
        <w:t>Tests.</w:t>
      </w:r>
      <w:r>
        <w:t xml:space="preserve"> No new test needed (a UI removal); verified via the full suite passing after the change.</w:t>
      </w:r>
    </w:p>
    <w:p>
      <w:r>
        <w:rPr>
          <w:b/>
        </w:rPr>
        <w:t>Risk.</w:t>
      </w:r>
      <w:r>
        <w:t xml:space="preserve"> Removing Settings' "Active Model" card means there's no more in-app way to set a brand-new profile's default model from scratch — documented in </w:t>
      </w:r>
      <w:r>
        <w:rPr>
          <w:rFonts w:ascii="Consolas" w:hAnsi="Consolas"/>
          <w:color w:val="A00040"/>
        </w:rPr>
        <w:t>lat.md/provider-setup.md</w:t>
      </w:r>
      <w:r>
        <w:t>.</w:t>
      </w:r>
    </w:p>
    <w:p>
      <w:pPr>
        <w:jc w:val="center"/>
      </w:pPr>
      <w:r>
        <w:rPr>
          <w:color w:val="AAAAAA"/>
        </w:rPr>
        <w:t>――――――――――――――――――――――――――――――――――――――――</w:t>
      </w:r>
    </w:p>
    <w:p>
      <w:pPr>
        <w:pStyle w:val="Heading2"/>
      </w:pPr>
      <w:r>
        <w:t>Task 2 — Provider Switching Causes Agent Failure or Excessive Delay</w:t>
      </w:r>
    </w:p>
    <w:p>
      <w:r>
        <w:rPr>
          <w:b/>
        </w:rPr>
        <w:t>Symptom.</w:t>
      </w:r>
      <w:r>
        <w:t xml:space="preserve"> Switching providers/models from the composer may cause init failure, stale credentials, or excessive delay.</w:t>
      </w:r>
    </w:p>
    <w:p>
      <w:r>
        <w:rPr>
          <w:b/>
        </w:rPr>
        <w:t>Trace.</w:t>
      </w:r>
      <w:r>
        <w:t xml:space="preserve"> The dashboard transport's switch logic already has a cache-key guard (</w:t>
      </w:r>
      <w:r>
        <w:rPr>
          <w:rFonts w:ascii="Consolas" w:hAnsi="Consolas"/>
          <w:color w:val="A00040"/>
        </w:rPr>
        <w:t>appliedModelRef</w:t>
      </w:r>
      <w:r>
        <w:t>, skips the round trip entirely when nothing changed) and one bounded retry (</w:t>
      </w:r>
      <w:r>
        <w:rPr>
          <w:rFonts w:ascii="Consolas" w:hAnsi="Consolas"/>
          <w:color w:val="A00040"/>
        </w:rPr>
        <w:t>resetRuntimeSession</w:t>
      </w:r>
      <w:r>
        <w:t xml:space="preserve"> + one re-attempt, then a descriptive throw) — no retry storm or unbounded init loop exists. The one real routing-level cost, </w:t>
      </w:r>
      <w:r>
        <w:rPr>
          <w:rFonts w:ascii="Consolas" w:hAnsi="Consolas"/>
          <w:color w:val="A00040"/>
        </w:rPr>
        <w:t>shouldForceCliForSessionOverride</w:t>
      </w:r>
      <w:r>
        <w:t>, is documented as an intentional trade-off, not a bug.</w:t>
      </w:r>
    </w:p>
    <w:p>
      <w:r>
        <w:rPr>
          <w:b/>
        </w:rPr>
        <w:t>Live reproduction.</w:t>
      </w:r>
      <w:r>
        <w:t xml:space="preserve"> Once a second provider (Gemini) was actually configured, every turn sent after switching to it failed identically with </w:t>
      </w:r>
      <w:r>
        <w:rPr>
          <w:rFonts w:ascii="Consolas" w:hAnsi="Consolas"/>
          <w:color w:val="A00040"/>
        </w:rPr>
        <w:t>HTTP 400: Unknown name "thinking_config"</w:t>
      </w:r>
      <w:r>
        <w:t>. Root-caused to an exact line in the external agent runtime (</w:t>
      </w:r>
      <w:r>
        <w:rPr>
          <w:rFonts w:ascii="Consolas" w:hAnsi="Consolas"/>
          <w:color w:val="A00040"/>
        </w:rPr>
        <w:t>~/.hermes/hermes-agent</w:t>
      </w:r>
      <w:r>
        <w:t xml:space="preserve">, read-only, outside this repo's scope): </w:t>
      </w:r>
      <w:r>
        <w:rPr>
          <w:rFonts w:ascii="Consolas" w:hAnsi="Consolas"/>
          <w:color w:val="A00040"/>
        </w:rPr>
        <w:t>GeminiProfile.build_extra_body</w:t>
      </w:r>
      <w:r>
        <w:t xml:space="preserve"> places </w:t>
      </w:r>
      <w:r>
        <w:rPr>
          <w:rFonts w:ascii="Consolas" w:hAnsi="Consolas"/>
          <w:color w:val="A00040"/>
        </w:rPr>
        <w:t>thinking_config</w:t>
      </w:r>
      <w:r>
        <w:t xml:space="preserve"> at the top level of the request body for the native (non-OpenAI-compat) Gemini endpoint, which the real API rejects — the same failure shape the code already comments about for a different model family, just newly triggered by the native-endpoint branch.</w:t>
      </w:r>
    </w:p>
    <w:p>
      <w:r>
        <w:rPr>
          <w:b/>
        </w:rPr>
        <w:t>Fix.</w:t>
      </w:r>
      <w:r>
        <w:t xml:space="preserve"> None in this repo — the failure boundary sits in the agent runtime, outside this assignment's stated scope. Desktop's own part of the job (routing to the right endpoint/key) is confirmed correct: the request reaches Gemini and gets a real structured error back, not a Desktop-side routing failure or a silent stale fallback.</w:t>
      </w:r>
    </w:p>
    <w:p>
      <w:r>
        <w:rPr>
          <w:b/>
        </w:rPr>
        <w:t>Timing table — Gemini run</w:t>
      </w:r>
      <w:r>
        <w:t xml:space="preserve"> (composer-submit → first rendered content, same conversation, 3 turns before/after a live switch from </w:t>
      </w:r>
      <w:r>
        <w:rPr>
          <w:rFonts w:ascii="Consolas" w:hAnsi="Consolas"/>
          <w:color w:val="A00040"/>
        </w:rPr>
        <w:t>deepseek-flash</w:t>
      </w:r>
      <w:r>
        <w:t xml:space="preserve"> to </w:t>
      </w:r>
      <w:r>
        <w:rPr>
          <w:rFonts w:ascii="Consolas" w:hAnsi="Consolas"/>
          <w:color w:val="A00040"/>
        </w:rPr>
        <w:t>gemini-2.5-flash</w:t>
      </w:r>
      <w:r>
        <w:t>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Run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Provider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Time to first output</w:t>
            </w:r>
          </w:p>
        </w:tc>
      </w:tr>
      <w:tr>
        <w:tc>
          <w:tcPr>
            <w:tcW w:type="dxa" w:w="2160"/>
          </w:tcPr>
          <w:p>
            <w:r/>
            <w:r>
              <w:t>baseline-1</w:t>
            </w:r>
          </w:p>
        </w:tc>
        <w:tc>
          <w:tcPr>
            <w:tcW w:type="dxa" w:w="2160"/>
          </w:tcPr>
          <w:p>
            <w:r/>
            <w:r>
              <w:t>deepseek-flash</w:t>
            </w:r>
          </w:p>
        </w:tc>
        <w:tc>
          <w:tcPr>
            <w:tcW w:type="dxa" w:w="2160"/>
          </w:tcPr>
          <w:p>
            <w:r/>
            <w:r>
              <w:t>success</w:t>
            </w:r>
          </w:p>
        </w:tc>
        <w:tc>
          <w:tcPr>
            <w:tcW w:type="dxa" w:w="2160"/>
          </w:tcPr>
          <w:p>
            <w:r/>
            <w:r>
              <w:t>10.09 s *(cold start)*</w:t>
            </w:r>
          </w:p>
        </w:tc>
      </w:tr>
      <w:tr>
        <w:tc>
          <w:tcPr>
            <w:tcW w:type="dxa" w:w="2160"/>
          </w:tcPr>
          <w:p>
            <w:r/>
            <w:r>
              <w:t>baseline-2</w:t>
            </w:r>
          </w:p>
        </w:tc>
        <w:tc>
          <w:tcPr>
            <w:tcW w:type="dxa" w:w="2160"/>
          </w:tcPr>
          <w:p>
            <w:r/>
            <w:r>
              <w:t>deepseek-flash</w:t>
            </w:r>
          </w:p>
        </w:tc>
        <w:tc>
          <w:tcPr>
            <w:tcW w:type="dxa" w:w="2160"/>
          </w:tcPr>
          <w:p>
            <w:r/>
            <w:r>
              <w:t>success</w:t>
            </w:r>
          </w:p>
        </w:tc>
        <w:tc>
          <w:tcPr>
            <w:tcW w:type="dxa" w:w="2160"/>
          </w:tcPr>
          <w:p>
            <w:r/>
            <w:r>
              <w:t>2.02 s</w:t>
            </w:r>
          </w:p>
        </w:tc>
      </w:tr>
      <w:tr>
        <w:tc>
          <w:tcPr>
            <w:tcW w:type="dxa" w:w="2160"/>
          </w:tcPr>
          <w:p>
            <w:r/>
            <w:r>
              <w:t>baseline-3</w:t>
            </w:r>
          </w:p>
        </w:tc>
        <w:tc>
          <w:tcPr>
            <w:tcW w:type="dxa" w:w="2160"/>
          </w:tcPr>
          <w:p>
            <w:r/>
            <w:r>
              <w:t>deepseek-flash</w:t>
            </w:r>
          </w:p>
        </w:tc>
        <w:tc>
          <w:tcPr>
            <w:tcW w:type="dxa" w:w="2160"/>
          </w:tcPr>
          <w:p>
            <w:r/>
            <w:r>
              <w:t>success</w:t>
            </w:r>
          </w:p>
        </w:tc>
        <w:tc>
          <w:tcPr>
            <w:tcW w:type="dxa" w:w="2160"/>
          </w:tcPr>
          <w:p>
            <w:r/>
            <w:r>
              <w:t>1.64 s</w:t>
            </w:r>
          </w:p>
        </w:tc>
      </w:tr>
      <w:tr>
        <w:tc>
          <w:tcPr>
            <w:tcW w:type="dxa" w:w="2160"/>
          </w:tcPr>
          <w:p>
            <w:r/>
            <w:r>
              <w:t>switch-1</w:t>
            </w:r>
          </w:p>
        </w:tc>
        <w:tc>
          <w:tcPr>
            <w:tcW w:type="dxa" w:w="2160"/>
          </w:tcPr>
          <w:p>
            <w:r/>
            <w:r>
              <w:t>gemini-2.5-flash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failed — HTTP 400</w:t>
            </w:r>
          </w:p>
        </w:tc>
        <w:tc>
          <w:tcPr>
            <w:tcW w:type="dxa" w:w="2160"/>
          </w:tcPr>
          <w:p>
            <w:r/>
            <w:r>
              <w:t>5.05 s</w:t>
            </w:r>
          </w:p>
        </w:tc>
      </w:tr>
      <w:tr>
        <w:tc>
          <w:tcPr>
            <w:tcW w:type="dxa" w:w="2160"/>
          </w:tcPr>
          <w:p>
            <w:r/>
            <w:r>
              <w:t>switch-2</w:t>
            </w:r>
          </w:p>
        </w:tc>
        <w:tc>
          <w:tcPr>
            <w:tcW w:type="dxa" w:w="2160"/>
          </w:tcPr>
          <w:p>
            <w:r/>
            <w:r>
              <w:t>gemini-2.5-flash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failed — HTTP 400</w:t>
            </w:r>
          </w:p>
        </w:tc>
        <w:tc>
          <w:tcPr>
            <w:tcW w:type="dxa" w:w="2160"/>
          </w:tcPr>
          <w:p>
            <w:r/>
            <w:r>
              <w:t>6.63 s</w:t>
            </w:r>
          </w:p>
        </w:tc>
      </w:tr>
      <w:tr>
        <w:tc>
          <w:tcPr>
            <w:tcW w:type="dxa" w:w="2160"/>
          </w:tcPr>
          <w:p>
            <w:r/>
            <w:r>
              <w:t>switch-3</w:t>
            </w:r>
          </w:p>
        </w:tc>
        <w:tc>
          <w:tcPr>
            <w:tcW w:type="dxa" w:w="2160"/>
          </w:tcPr>
          <w:p>
            <w:r/>
            <w:r>
              <w:t>gemini-2.5-flash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failed — HTTP 400</w:t>
            </w:r>
          </w:p>
        </w:tc>
        <w:tc>
          <w:tcPr>
            <w:tcW w:type="dxa" w:w="2160"/>
          </w:tcPr>
          <w:p>
            <w:r/>
            <w:r>
              <w:t>6.60 s</w:t>
            </w:r>
          </w:p>
        </w:tc>
      </w:tr>
    </w:tbl>
    <w:p/>
    <w:p>
      <w:r>
        <w:t>The post-switch numbers are honestly time-to-error, not time-to-success — every attempt failed identically, but fast and deterministic (~5-7s), not a hang or retry storm.</w:t>
      </w:r>
    </w:p>
    <w:p>
      <w:r>
        <w:rPr>
          <w:b/>
        </w:rPr>
        <w:t>Timing table — re-verified with the current provider set</w:t>
      </w:r>
      <w:r>
        <w:t xml:space="preserve"> (the Gemini key was later removed from this environment; the two providers actually configured now are DeepSeek and OpenRouter/</w:t>
      </w:r>
      <w:r>
        <w:rPr>
          <w:rFonts w:ascii="Consolas" w:hAnsi="Consolas"/>
          <w:color w:val="A00040"/>
        </w:rPr>
        <w:t>amazon/nova-lite-v1</w:t>
      </w:r>
      <w:r>
        <w:t>). Re-ran the identical protocol against this pair: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Run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Provider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Time to first output</w:t>
            </w:r>
          </w:p>
        </w:tc>
      </w:tr>
      <w:tr>
        <w:tc>
          <w:tcPr>
            <w:tcW w:type="dxa" w:w="2160"/>
          </w:tcPr>
          <w:p>
            <w:r/>
            <w:r>
              <w:t>baseline-1</w:t>
            </w:r>
          </w:p>
        </w:tc>
        <w:tc>
          <w:tcPr>
            <w:tcW w:type="dxa" w:w="2160"/>
          </w:tcPr>
          <w:p>
            <w:r/>
            <w:r>
              <w:t>deepseek-flash</w:t>
            </w:r>
          </w:p>
        </w:tc>
        <w:tc>
          <w:tcPr>
            <w:tcW w:type="dxa" w:w="2160"/>
          </w:tcPr>
          <w:p>
            <w:r/>
            <w:r>
              <w:t>success</w:t>
            </w:r>
          </w:p>
        </w:tc>
        <w:tc>
          <w:tcPr>
            <w:tcW w:type="dxa" w:w="2160"/>
          </w:tcPr>
          <w:p>
            <w:r/>
            <w:r>
              <w:t>11.13 s *(cold start)*</w:t>
            </w:r>
          </w:p>
        </w:tc>
      </w:tr>
      <w:tr>
        <w:tc>
          <w:tcPr>
            <w:tcW w:type="dxa" w:w="2160"/>
          </w:tcPr>
          <w:p>
            <w:r/>
            <w:r>
              <w:t>baseline-2</w:t>
            </w:r>
          </w:p>
        </w:tc>
        <w:tc>
          <w:tcPr>
            <w:tcW w:type="dxa" w:w="2160"/>
          </w:tcPr>
          <w:p>
            <w:r/>
            <w:r>
              <w:t>deepseek-flash</w:t>
            </w:r>
          </w:p>
        </w:tc>
        <w:tc>
          <w:tcPr>
            <w:tcW w:type="dxa" w:w="2160"/>
          </w:tcPr>
          <w:p>
            <w:r/>
            <w:r>
              <w:t>success</w:t>
            </w:r>
          </w:p>
        </w:tc>
        <w:tc>
          <w:tcPr>
            <w:tcW w:type="dxa" w:w="2160"/>
          </w:tcPr>
          <w:p>
            <w:r/>
            <w:r>
              <w:t>2.06 s</w:t>
            </w:r>
          </w:p>
        </w:tc>
      </w:tr>
      <w:tr>
        <w:tc>
          <w:tcPr>
            <w:tcW w:type="dxa" w:w="2160"/>
          </w:tcPr>
          <w:p>
            <w:r/>
            <w:r>
              <w:t>baseline-3</w:t>
            </w:r>
          </w:p>
        </w:tc>
        <w:tc>
          <w:tcPr>
            <w:tcW w:type="dxa" w:w="2160"/>
          </w:tcPr>
          <w:p>
            <w:r/>
            <w:r>
              <w:t>deepseek-flash</w:t>
            </w:r>
          </w:p>
        </w:tc>
        <w:tc>
          <w:tcPr>
            <w:tcW w:type="dxa" w:w="2160"/>
          </w:tcPr>
          <w:p>
            <w:r/>
            <w:r>
              <w:t>success</w:t>
            </w:r>
          </w:p>
        </w:tc>
        <w:tc>
          <w:tcPr>
            <w:tcW w:type="dxa" w:w="2160"/>
          </w:tcPr>
          <w:p>
            <w:r/>
            <w:r>
              <w:t>2.03 s</w:t>
            </w:r>
          </w:p>
        </w:tc>
      </w:tr>
      <w:tr>
        <w:tc>
          <w:tcPr>
            <w:tcW w:type="dxa" w:w="2160"/>
          </w:tcPr>
          <w:p>
            <w:r/>
            <w:r>
              <w:t>switch-1</w:t>
            </w:r>
          </w:p>
        </w:tc>
        <w:tc>
          <w:tcPr>
            <w:tcW w:type="dxa" w:w="2160"/>
          </w:tcPr>
          <w:p>
            <w:r/>
            <w:r>
              <w:t>amazon/nova-lite-v1 (OpenRouter)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success</w:t>
            </w:r>
          </w:p>
        </w:tc>
        <w:tc>
          <w:tcPr>
            <w:tcW w:type="dxa" w:w="2160"/>
          </w:tcPr>
          <w:p>
            <w:r/>
            <w:r>
              <w:t>7.14 s</w:t>
            </w:r>
          </w:p>
        </w:tc>
      </w:tr>
      <w:tr>
        <w:tc>
          <w:tcPr>
            <w:tcW w:type="dxa" w:w="2160"/>
          </w:tcPr>
          <w:p>
            <w:r/>
            <w:r>
              <w:t>switch-2</w:t>
            </w:r>
          </w:p>
        </w:tc>
        <w:tc>
          <w:tcPr>
            <w:tcW w:type="dxa" w:w="2160"/>
          </w:tcPr>
          <w:p>
            <w:r/>
            <w:r>
              <w:t>amazon/nova-lite-v1 (OpenRouter)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success</w:t>
            </w:r>
          </w:p>
        </w:tc>
        <w:tc>
          <w:tcPr>
            <w:tcW w:type="dxa" w:w="2160"/>
          </w:tcPr>
          <w:p>
            <w:r/>
            <w:r>
              <w:t>4.09 s</w:t>
            </w:r>
          </w:p>
        </w:tc>
      </w:tr>
      <w:tr>
        <w:tc>
          <w:tcPr>
            <w:tcW w:type="dxa" w:w="2160"/>
          </w:tcPr>
          <w:p>
            <w:r/>
            <w:r>
              <w:t>switch-3</w:t>
            </w:r>
          </w:p>
        </w:tc>
        <w:tc>
          <w:tcPr>
            <w:tcW w:type="dxa" w:w="2160"/>
          </w:tcPr>
          <w:p>
            <w:r/>
            <w:r>
              <w:t>amazon/nova-lite-v1 (OpenRouter)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success</w:t>
            </w:r>
          </w:p>
        </w:tc>
        <w:tc>
          <w:tcPr>
            <w:tcW w:type="dxa" w:w="2160"/>
          </w:tcPr>
          <w:p>
            <w:r/>
            <w:r>
              <w:t>2.02 s</w:t>
            </w:r>
          </w:p>
        </w:tc>
      </w:tr>
    </w:tbl>
    <w:p/>
    <w:p>
      <w:r>
        <w:t>All six turns produced genuine, distinct, on-topic answers (verified by reading the rendered transcript, not just checking for an absent error). This confirms the switch mechanism itself has no inherent defect — the earlier failure was specific to Gemini's native-endpoint request shape (an external agent-runtime bug), not a general property of provider switching. The first post-switch turn costing more than the next two matches the "one extra round trip on the first call after a change" pattern the code trace already predicted, not a new anomaly.</w:t>
      </w:r>
    </w:p>
    <w:p>
      <w:r>
        <w:rPr>
          <w:b/>
        </w:rPr>
        <w:t>Tests.</w:t>
      </w:r>
      <w:r>
        <w:t xml:space="preserve"> No new automated test (runtime/provider integration failure, not a Desktop defect); full suite reconfirmed passing. The re-verification above is a second live reproduction, not an automated test.</w:t>
      </w:r>
    </w:p>
    <w:p>
      <w:r>
        <w:rPr>
          <w:b/>
        </w:rPr>
        <w:t>Risk.</w:t>
      </w:r>
      <w:r>
        <w:t xml:space="preserve"> The tempting "fix" — catch the 400 and silently retry without </w:t>
      </w:r>
      <w:r>
        <w:rPr>
          <w:rFonts w:ascii="Consolas" w:hAnsi="Consolas"/>
          <w:color w:val="A00040"/>
        </w:rPr>
        <w:t>thinking_config</w:t>
      </w:r>
      <w:r>
        <w:t xml:space="preserve"> — would be a workaround belonging in the agent runtime, not Desktop, which never constructs that payload itself.</w:t>
      </w:r>
    </w:p>
    <w:p>
      <w:pPr>
        <w:jc w:val="center"/>
      </w:pPr>
      <w:r>
        <w:rPr>
          <w:color w:val="AAAAAA"/>
        </w:rPr>
        <w:t>――――――――――――――――――――――――――――――――――――――――</w:t>
      </w:r>
    </w:p>
    <w:p>
      <w:pPr>
        <w:pStyle w:val="Heading2"/>
      </w:pPr>
      <w:r>
        <w:t>Task 3 — Add a Skill Upload / Import Location</w:t>
      </w:r>
    </w:p>
    <w:p>
      <w:r>
        <w:rPr>
          <w:b/>
        </w:rPr>
        <w:t>Symptom.</w:t>
      </w:r>
      <w:r>
        <w:t xml:space="preserve"> Settings → Skills had only "browse the bundled catalog and Install" / "Uninstall" — no way to add a skill of the user's own.</w:t>
      </w:r>
    </w:p>
    <w:p>
      <w:r>
        <w:rPr>
          <w:b/>
        </w:rPr>
        <w:t>Trace.</w:t>
      </w:r>
      <w:r>
        <w:t xml:space="preserve"> The CLI's install command (</w:t>
      </w:r>
      <w:r>
        <w:rPr>
          <w:rFonts w:ascii="Consolas" w:hAnsi="Consolas"/>
          <w:color w:val="A00040"/>
        </w:rPr>
        <w:t>hermes skills install &lt;identifier&gt; --yes</w:t>
      </w:r>
      <w:r>
        <w:t xml:space="preserve">) already accepts a hub id or a direct URL to a SKILL.md — confirmed via its own </w:t>
      </w:r>
      <w:r>
        <w:rPr>
          <w:rFonts w:ascii="Consolas" w:hAnsi="Consolas"/>
          <w:color w:val="A00040"/>
        </w:rPr>
        <w:t>--help</w:t>
      </w:r>
      <w:r>
        <w:t xml:space="preserve"> text. The backend already supported URL-based install; no UI ever collected anything but a pre-selected catalog card's name.</w:t>
      </w:r>
    </w:p>
    <w:p>
      <w:r>
        <w:rPr>
          <w:b/>
        </w:rPr>
        <w:t>Root cause.</w:t>
      </w:r>
      <w:r>
        <w:t xml:space="preserve"> A UI gap, not a backend gap.</w:t>
      </w:r>
    </w:p>
    <w:p>
      <w:r>
        <w:rPr>
          <w:b/>
        </w:rPr>
        <w:t>Fix.</w:t>
      </w:r>
      <w:r>
        <w:t xml:space="preserve"> Added an always-visible URL/identifier field wired to the existing </w:t>
      </w:r>
      <w:r>
        <w:rPr>
          <w:rFonts w:ascii="Consolas" w:hAnsi="Consolas"/>
          <w:color w:val="A00040"/>
        </w:rPr>
        <w:t>installSkill</w:t>
      </w:r>
      <w:r>
        <w:t xml:space="preserve"> IPC call (works in every connection mode unchanged), plus a genuinely new </w:t>
      </w:r>
      <w:r>
        <w:rPr>
          <w:rFonts w:ascii="Consolas" w:hAnsi="Consolas"/>
          <w:color w:val="A00040"/>
        </w:rPr>
        <w:t>installSkillFromPath</w:t>
      </w:r>
      <w:r>
        <w:t xml:space="preserve"> for local file/folder install (the CLI has no local-path equivalent) — validates SKILL.md presence/naming, slugifies the skill name, copies into </w:t>
      </w:r>
      <w:r>
        <w:rPr>
          <w:rFonts w:ascii="Consolas" w:hAnsi="Consolas"/>
          <w:color w:val="A00040"/>
        </w:rPr>
        <w:t>&lt;profile&gt;/skills/custom/&lt;slug&gt;/</w:t>
      </w:r>
      <w:r>
        <w:t>, and rejects a duplicate name with a descriptive error instead of silently overwriting. Local-file install is gated to local mode only, both in the renderer and independently in the main process.</w:t>
      </w:r>
    </w:p>
    <w:p>
      <w:r>
        <w:rPr>
          <w:b/>
        </w:rPr>
        <w:t>Tests.</w:t>
      </w:r>
      <w:r>
        <w:t xml:space="preserve"> Covered by the existing full suite; the catalog Install button's existing coverage confirms the new add-skill row didn't disturb it.</w:t>
      </w:r>
    </w:p>
    <w:p>
      <w:r>
        <w:rPr>
          <w:b/>
        </w:rPr>
        <w:t>Risk.</w:t>
      </w:r>
      <w:r>
        <w:t xml:space="preserve"> </w:t>
      </w:r>
      <w:r>
        <w:rPr>
          <w:rFonts w:ascii="Consolas" w:hAnsi="Consolas"/>
          <w:color w:val="A00040"/>
        </w:rPr>
        <w:t>installSkillFromPath</w:t>
      </w:r>
      <w:r>
        <w:t xml:space="preserve"> bypasses the CLI's own install-time security scan — an accepted trade-off since there's no local-path equivalent of that CLI command to defer to, documented in </w:t>
      </w:r>
      <w:r>
        <w:rPr>
          <w:rFonts w:ascii="Consolas" w:hAnsi="Consolas"/>
          <w:color w:val="A00040"/>
        </w:rPr>
        <w:t>lat.md/skills.md</w:t>
      </w:r>
      <w:r>
        <w:t>.</w:t>
      </w:r>
    </w:p>
    <w:p>
      <w:pPr>
        <w:jc w:val="center"/>
      </w:pPr>
      <w:r>
        <w:rPr>
          <w:color w:val="AAAAAA"/>
        </w:rPr>
        <w:t>――――――――――――――――――――――――――――――――――――――――</w:t>
      </w:r>
    </w:p>
    <w:p>
      <w:pPr>
        <w:pStyle w:val="Heading2"/>
      </w:pPr>
      <w:r>
        <w:t>Task 4 — Make Local and Remote Skill Invocation Paths Consistent</w:t>
      </w:r>
    </w:p>
    <w:p>
      <w:r>
        <w:rPr>
          <w:b/>
        </w:rPr>
        <w:t>Symptom.</w:t>
      </w:r>
      <w:r>
        <w:t xml:space="preserve"> Two distinct problems: the entire Skills screen was hidden behind a "not available" notice in remote mode even though its backend fully worked, and local mode read skills via direct CLI/filesystem while remote mode read via the gateway's HTTP API — two independently-maintained paths for one product contract.</w:t>
      </w:r>
    </w:p>
    <w:p>
      <w:r>
        <w:rPr>
          <w:b/>
        </w:rPr>
        <w:t>Trace.</w:t>
      </w:r>
      <w:r>
        <w:t xml:space="preserve"> </w:t>
      </w:r>
      <w:r>
        <w:rPr>
          <w:rFonts w:ascii="Consolas" w:hAnsi="Consolas"/>
          <w:color w:val="A00040"/>
        </w:rPr>
        <w:t>getApiUrl(profile, conn)</w:t>
      </w:r>
      <w:r>
        <w:t xml:space="preserve"> already resolves to the local per-profile gateway port when </w:t>
      </w:r>
      <w:r>
        <w:rPr>
          <w:rFonts w:ascii="Consolas" w:hAnsi="Consolas"/>
          <w:color w:val="A00040"/>
        </w:rPr>
        <w:t>conn.mode</w:t>
      </w:r>
      <w:r>
        <w:t xml:space="preserve"> is local, meaning the same </w:t>
      </w:r>
      <w:r>
        <w:rPr>
          <w:rFonts w:ascii="Consolas" w:hAnsi="Consolas"/>
          <w:color w:val="A00040"/>
        </w:rPr>
        <w:t>/api/skills*</w:t>
      </w:r>
      <w:r>
        <w:t xml:space="preserve"> routes remote mode used were reachable locally too, over a gateway process that already exists for chat. The remote client's auth-header helper was remote/SSH-only, and would have silently sent no auth header at all if reused as-is for local.</w:t>
      </w:r>
    </w:p>
    <w:p>
      <w:r>
        <w:rPr>
          <w:b/>
        </w:rPr>
        <w:t>Root cause.</w:t>
      </w:r>
      <w:r>
        <w:t xml:space="preserve"> Two separate defects: (a) local skill IPCs never attempted the gateway path at all, going straight to the CLI; (b) independently, the renderer unconditionally hid Skills in remote mode regardless of (a).</w:t>
      </w:r>
    </w:p>
    <w:p>
      <w:r>
        <w:rPr>
          <w:b/>
        </w:rPr>
        <w:t>Fix.</w:t>
      </w:r>
      <w:r>
        <w:t xml:space="preserve"> Renamed/generalized </w:t>
      </w:r>
      <w:r>
        <w:rPr>
          <w:rFonts w:ascii="Consolas" w:hAnsi="Consolas"/>
          <w:color w:val="A00040"/>
        </w:rPr>
        <w:t>remote-skills.ts</w:t>
      </w:r>
      <w:r>
        <w:t xml:space="preserve"> → </w:t>
      </w:r>
      <w:r>
        <w:rPr>
          <w:rFonts w:ascii="Consolas" w:hAnsi="Consolas"/>
          <w:color w:val="A00040"/>
        </w:rPr>
        <w:t>gateway-skills.ts</w:t>
      </w:r>
      <w:r>
        <w:t xml:space="preserve"> to work for local and remote alike (now </w:t>
      </w:r>
      <w:r>
        <w:rPr>
          <w:rFonts w:ascii="Consolas" w:hAnsi="Consolas"/>
          <w:color w:val="A00040"/>
        </w:rPr>
        <w:t>profile</w:t>
      </w:r>
      <w:r>
        <w:t xml:space="preserve">-aware, using the properly mode-aware auth-header composer). Local mode's read paths now try the gateway first (starting it if needed) and fall back to the direct CLI only on failure; the write paths (install/uninstall) intentionally stay on the local CLI in local mode, since it gives a synchronous real pass/fail result the gateway's async hub-install endpoints don't. Removed the </w:t>
      </w:r>
      <w:r>
        <w:rPr>
          <w:rFonts w:ascii="Consolas" w:hAnsi="Consolas"/>
          <w:color w:val="A00040"/>
        </w:rPr>
        <w:t>RemoteNotice</w:t>
      </w:r>
      <w:r>
        <w:t xml:space="preserve"> gate blocking Skills in remote mode entirely.</w:t>
      </w:r>
    </w:p>
    <w:p>
      <w:r>
        <w:rPr>
          <w:b/>
        </w:rPr>
        <w:t>Local/remote test matrix</w:t>
      </w:r>
      <w:r>
        <w:t xml:space="preserve"> — see the full table in </w:t>
      </w:r>
      <w:r>
        <w:rPr>
          <w:i/>
          <w:color w:val="0045A8"/>
        </w:rPr>
        <w:t>W4-4-skill-paths.md (./W4-4-skill-paths.md)</w:t>
      </w:r>
      <w:r>
        <w:t>; summary: list/install/uninstall/profile-switch all verified consistent by construction (same client, parameterized by mode) rather than by per-call logic that could drift.</w:t>
      </w:r>
    </w:p>
    <w:p>
      <w:r>
        <w:rPr>
          <w:b/>
        </w:rPr>
        <w:t>Tests.</w:t>
      </w:r>
      <w:r>
        <w:t xml:space="preserve"> </w:t>
      </w:r>
      <w:r>
        <w:rPr>
          <w:rFonts w:ascii="Consolas" w:hAnsi="Consolas"/>
          <w:color w:val="A00040"/>
        </w:rPr>
        <w:t>gateway-skills.test.ts</w:t>
      </w:r>
      <w:r>
        <w:t xml:space="preserve"> (renamed/updated) covers profile-scoped URLs, the throw-on-unreachable contract, and hub install/uninstall mapping directly. Full suite reconfirmed passing.</w:t>
      </w:r>
    </w:p>
    <w:p>
      <w:r>
        <w:rPr>
          <w:b/>
        </w:rPr>
        <w:t>Risk.</w:t>
      </w:r>
      <w:r>
        <w:t xml:space="preserve"> Local mode now waits on </w:t>
      </w:r>
      <w:r>
        <w:rPr>
          <w:rFonts w:ascii="Consolas" w:hAnsi="Consolas"/>
          <w:color w:val="A00040"/>
        </w:rPr>
        <w:t>startGatewayWithRecovery</w:t>
      </w:r>
      <w:r>
        <w:t xml:space="preserve"> before a first Skills-screen open if the gateway isn't already running — bounded added latency, with a fallback to the CLI (no gateway wait) if that call itself fails, so a machine where the gateway can't start doesn't lose Skills functionality.</w:t>
      </w:r>
    </w:p>
    <w:p>
      <w:pPr>
        <w:jc w:val="center"/>
      </w:pPr>
      <w:r>
        <w:rPr>
          <w:color w:val="AAAAAA"/>
        </w:rPr>
        <w:t>――――――――――――――――――――――――――――――――――――――――</w:t>
      </w:r>
    </w:p>
    <w:p>
      <w:pPr>
        <w:pStyle w:val="Heading2"/>
      </w:pPr>
      <w:r>
        <w:t>Task 5 — Make Existing Skills Selectable in Chat</w:t>
      </w:r>
    </w:p>
    <w:p>
      <w:r>
        <w:rPr>
          <w:b/>
        </w:rPr>
        <w:t>Symptom.</w:t>
      </w:r>
      <w:r>
        <w:t xml:space="preserve"> No way to browse/select an installed skill from the composer — a user had to already know and type </w:t>
      </w:r>
      <w:r>
        <w:rPr>
          <w:rFonts w:ascii="Consolas" w:hAnsi="Consolas"/>
          <w:color w:val="A00040"/>
        </w:rPr>
        <w:t>/skill-name</w:t>
      </w:r>
      <w:r>
        <w:t xml:space="preserve"> from memory.</w:t>
      </w:r>
    </w:p>
    <w:p>
      <w:r>
        <w:rPr>
          <w:b/>
        </w:rPr>
        <w:t>Trace.</w:t>
      </w:r>
      <w:r>
        <w:t xml:space="preserve"> The invocation contract already existed and was unmodified: </w:t>
      </w:r>
      <w:r>
        <w:rPr>
          <w:rFonts w:ascii="Consolas" w:hAnsi="Consolas"/>
          <w:color w:val="A00040"/>
        </w:rPr>
        <w:t>slashExec.ts</w:t>
      </w:r>
      <w:r>
        <w:t xml:space="preserve"> resolves a typed </w:t>
      </w:r>
      <w:r>
        <w:rPr>
          <w:rFonts w:ascii="Consolas" w:hAnsi="Consolas"/>
          <w:color w:val="A00040"/>
        </w:rPr>
        <w:t>/skill-name</w:t>
      </w:r>
      <w:r>
        <w:t xml:space="preserve"> identically regardless of how it got into the composer. </w:t>
      </w:r>
      <w:r>
        <w:rPr>
          <w:rFonts w:ascii="Consolas" w:hAnsi="Consolas"/>
          <w:color w:val="A00040"/>
        </w:rPr>
        <w:t>ChatInputHandle.setText(text)</w:t>
      </w:r>
      <w:r>
        <w:t xml:space="preserve"> fills the composer without sending — satisfying the assignment's explicit warning against a fake picker that only changes UI state or prepends an unverified phrase, since this picker fills the *exact* text a user would type and the existing send path takes over identically.</w:t>
      </w:r>
    </w:p>
    <w:p>
      <w:r>
        <w:rPr>
          <w:b/>
        </w:rPr>
        <w:t>Root cause.</w:t>
      </w:r>
      <w:r>
        <w:t xml:space="preserve"> No selection UI existed for a working invocation mechanism — not a backend gap.</w:t>
      </w:r>
    </w:p>
    <w:p>
      <w:r>
        <w:rPr>
          <w:b/>
        </w:rPr>
        <w:t>Fix.</w:t>
      </w:r>
      <w:r>
        <w:t xml:space="preserve"> Added </w:t>
      </w:r>
      <w:r>
        <w:rPr>
          <w:rFonts w:ascii="Consolas" w:hAnsi="Consolas"/>
          <w:color w:val="A00040"/>
        </w:rPr>
        <w:t>SkillPicker.tsx</w:t>
      </w:r>
      <w:r>
        <w:t xml:space="preserve">, a chat-toolbar popover matching the existing Model/ReasoningEffort picker shell. Fetches </w:t>
      </w:r>
      <w:r>
        <w:rPr>
          <w:rFonts w:ascii="Consolas" w:hAnsi="Consolas"/>
          <w:color w:val="A00040"/>
        </w:rPr>
        <w:t>listInstalledSkills(profile)</w:t>
      </w:r>
      <w:r>
        <w:t xml:space="preserve"> — the same profile-scoped, gateway-routed (per Task 4) call the Skills screen uses — and fills </w:t>
      </w:r>
      <w:r>
        <w:rPr>
          <w:rFonts w:ascii="Consolas" w:hAnsi="Consolas"/>
          <w:color w:val="A00040"/>
        </w:rPr>
        <w:t xml:space="preserve">/${name} </w:t>
      </w:r>
      <w:r>
        <w:t xml:space="preserve"> into the composer on selection; per-turn, not session-scoped, matching the existing </w:t>
      </w:r>
      <w:r>
        <w:rPr>
          <w:rFonts w:ascii="Consolas" w:hAnsi="Consolas"/>
          <w:color w:val="A00040"/>
        </w:rPr>
        <w:t>/skill-name</w:t>
      </w:r>
      <w:r>
        <w:t xml:space="preserve"> convention.</w:t>
      </w:r>
    </w:p>
    <w:p>
      <w:r>
        <w:rPr>
          <w:b/>
        </w:rPr>
        <w:t>Definition of done</w:t>
      </w:r>
      <w:r>
        <w:t xml:space="preserve"> — all five assignment bullets mapped and satisfied; see </w:t>
      </w:r>
      <w:r>
        <w:rPr>
          <w:i/>
          <w:color w:val="0045A8"/>
        </w:rPr>
        <w:t>W4-5-skill-selection.md (./W4-5-skill-selection.md)</w:t>
      </w:r>
      <w:r>
        <w:t xml:space="preserve"> for the point-by-point mapping.</w:t>
      </w:r>
    </w:p>
    <w:p>
      <w:r>
        <w:rPr>
          <w:b/>
        </w:rPr>
        <w:t>Tests.</w:t>
      </w:r>
      <w:r>
        <w:t xml:space="preserve"> </w:t>
      </w:r>
      <w:r>
        <w:rPr>
          <w:rFonts w:ascii="Consolas" w:hAnsi="Consolas"/>
          <w:color w:val="A00040"/>
        </w:rPr>
        <w:t>SkillPicker.test.tsx</w:t>
      </w:r>
      <w:r>
        <w:t xml:space="preserve"> (added — the component had shipped without one): lazy fetch, profile scoping, selection reporting, search filtering, empty state, popover close-on-select.</w:t>
      </w:r>
    </w:p>
    <w:p>
      <w:r>
        <w:rPr>
          <w:b/>
        </w:rPr>
        <w:t>Risk.</w:t>
      </w:r>
      <w:r>
        <w:t xml:space="preserve"> None beyond what Task 4 already covers for the underlying list call's local/remote consistency.</w:t>
      </w:r>
    </w:p>
    <w:p>
      <w:pPr>
        <w:jc w:val="center"/>
      </w:pPr>
      <w:r>
        <w:rPr>
          <w:color w:val="AAAAAA"/>
        </w:rPr>
        <w:t>――――――――――――――――――――――――――――――――――――――――</w:t>
      </w:r>
    </w:p>
    <w:p>
      <w:pPr>
        <w:pStyle w:val="Heading2"/>
      </w:pPr>
      <w:r>
        <w:t>Task 6 — Render and Complete Agent Confirmation Requests in Desktop UI</w:t>
      </w:r>
    </w:p>
    <w:p>
      <w:r>
        <w:rPr>
          <w:b/>
        </w:rPr>
        <w:t>Symptom.</w:t>
      </w:r>
      <w:r>
        <w:t xml:space="preserve"> The agent's mid-turn </w:t>
      </w:r>
      <w:r>
        <w:rPr>
          <w:rFonts w:ascii="Consolas" w:hAnsi="Consolas"/>
          <w:color w:val="A00040"/>
        </w:rPr>
        <w:t>approval.request</w:t>
      </w:r>
      <w:r>
        <w:t xml:space="preserve"> event, sent before a flagged tool call, was never surfaced to the user on any transport that could receive it.</w:t>
      </w:r>
    </w:p>
    <w:p>
      <w:r>
        <w:rPr>
          <w:b/>
        </w:rPr>
        <w:t>Trace.</w:t>
      </w:r>
      <w:r>
        <w:t xml:space="preserve"> Three independent delivery paths exist, not two: the main-process dashboard IPC transport (</w:t>
      </w:r>
      <w:r>
        <w:rPr>
          <w:rFonts w:ascii="Consolas" w:hAnsi="Consolas"/>
          <w:color w:val="A00040"/>
        </w:rPr>
        <w:t>sendMessageViaTuiGateway</w:t>
      </w:r>
      <w:r>
        <w:t>) auto-answered every request unconditionally; the runs/SSE transport (</w:t>
      </w:r>
      <w:r>
        <w:rPr>
          <w:rFonts w:ascii="Consolas" w:hAnsi="Consolas"/>
          <w:color w:val="A00040"/>
        </w:rPr>
        <w:t>sendMessageViaRuns</w:t>
      </w:r>
      <w:r>
        <w:t>) silently dropped it by aborting the run; and the renderer's own direct-WebSocket transport (</w:t>
      </w:r>
      <w:r>
        <w:rPr>
          <w:rFonts w:ascii="Consolas" w:hAnsi="Consolas"/>
          <w:color w:val="A00040"/>
        </w:rPr>
        <w:t>useDashboardChatTransport.ts</w:t>
      </w:r>
      <w:r>
        <w:t xml:space="preserve">) — which bypasses the main process entirely and is the one actually driving the packaged app whenever a local dashboard is running — had zero handling for the event type at all. This third path was the gap a first pass at this fix found live but didn't have time to close (documented honestly in an earlier commit on this branch, </w:t>
      </w:r>
      <w:r>
        <w:rPr>
          <w:rFonts w:ascii="Consolas" w:hAnsi="Consolas"/>
          <w:color w:val="A00040"/>
        </w:rPr>
        <w:t>f2ce28d</w:t>
      </w:r>
      <w:r>
        <w:t>) before being resolved in a follow-up (</w:t>
      </w:r>
      <w:r>
        <w:rPr>
          <w:rFonts w:ascii="Consolas" w:hAnsi="Consolas"/>
          <w:color w:val="A00040"/>
        </w:rPr>
        <w:t>16d08a5</w:t>
      </w:r>
      <w:r>
        <w:t>).</w:t>
      </w:r>
    </w:p>
    <w:p>
      <w:r>
        <w:rPr>
          <w:b/>
        </w:rPr>
        <w:t>Root cause.</w:t>
      </w:r>
      <w:r>
        <w:t xml:space="preserve"> No Desktop UI, IPC channel, or renderer-transport handling existed for </w:t>
      </w:r>
      <w:r>
        <w:rPr>
          <w:rFonts w:ascii="Consolas" w:hAnsi="Consolas"/>
          <w:color w:val="A00040"/>
        </w:rPr>
        <w:t>approval.request</w:t>
      </w:r>
      <w:r>
        <w:t xml:space="preserve"> on any of the three paths.</w:t>
      </w:r>
    </w:p>
    <w:p>
      <w:r>
        <w:rPr>
          <w:b/>
        </w:rPr>
        <w:t>Fix.</w:t>
      </w:r>
    </w:p>
    <w:p>
      <w:pPr>
        <w:pStyle w:val="ListBullet"/>
      </w:pPr>
      <w:r>
        <w:t xml:space="preserve">Main-process transports: a </w:t>
      </w:r>
      <w:r>
        <w:rPr>
          <w:rFonts w:ascii="Consolas" w:hAnsi="Consolas"/>
          <w:color w:val="A00040"/>
        </w:rPr>
        <w:t>pendingApproval</w:t>
      </w:r>
      <w:r>
        <w:t xml:space="preserve"> registry mirroring the existing </w:t>
      </w:r>
      <w:r>
        <w:rPr>
          <w:rFonts w:ascii="Consolas" w:hAnsi="Consolas"/>
          <w:color w:val="A00040"/>
        </w:rPr>
        <w:t>pendingClarify</w:t>
      </w:r>
      <w:r>
        <w:t xml:space="preserve"> pattern, </w:t>
      </w:r>
      <w:r>
        <w:rPr>
          <w:rFonts w:ascii="Consolas" w:hAnsi="Consolas"/>
          <w:color w:val="A00040"/>
        </w:rPr>
        <w:t>chat-approval-request</w:t>
      </w:r>
      <w:r>
        <w:t>/</w:t>
      </w:r>
      <w:r>
        <w:rPr>
          <w:rFonts w:ascii="Consolas" w:hAnsi="Consolas"/>
          <w:color w:val="A00040"/>
        </w:rPr>
        <w:t>approval-respond</w:t>
      </w:r>
      <w:r>
        <w:t xml:space="preserve"> IPC channels, and a POST to </w:t>
      </w:r>
      <w:r>
        <w:rPr>
          <w:rFonts w:ascii="Consolas" w:hAnsi="Consolas"/>
          <w:color w:val="A00040"/>
        </w:rPr>
        <w:t>/v1/runs/{run_id}/approval</w:t>
      </w:r>
      <w:r>
        <w:t xml:space="preserve"> for the runs transport.</w:t>
      </w:r>
    </w:p>
    <w:p>
      <w:pPr>
        <w:pStyle w:val="ListBullet"/>
      </w:pPr>
      <w:r>
        <w:t xml:space="preserve">Renderer direct-WS transport: </w:t>
      </w:r>
      <w:r>
        <w:rPr>
          <w:rFonts w:ascii="Consolas" w:hAnsi="Consolas"/>
          <w:color w:val="A00040"/>
        </w:rPr>
        <w:t>dashboardEventAdapter.ts</w:t>
      </w:r>
      <w:r>
        <w:t xml:space="preserve"> renders the event into an </w:t>
      </w:r>
      <w:r>
        <w:rPr>
          <w:rFonts w:ascii="Consolas" w:hAnsi="Consolas"/>
          <w:color w:val="A00040"/>
        </w:rPr>
        <w:t>ApprovalMessage</w:t>
      </w:r>
      <w:r>
        <w:t xml:space="preserve"> (minting a synthetic id, since this transport's event carries no real </w:t>
      </w:r>
      <w:r>
        <w:rPr>
          <w:rFonts w:ascii="Consolas" w:hAnsi="Consolas"/>
          <w:color w:val="A00040"/>
        </w:rPr>
        <w:t>request_id</w:t>
      </w:r>
      <w:r>
        <w:t xml:space="preserve">), and a new </w:t>
      </w:r>
      <w:r>
        <w:rPr>
          <w:rFonts w:ascii="Consolas" w:hAnsi="Consolas"/>
          <w:color w:val="A00040"/>
        </w:rPr>
        <w:t>respondApprovalDirect</w:t>
      </w:r>
      <w:r>
        <w:t xml:space="preserve"> resolver answers it directly over the same WebSocket connection using the gateway's session-scoped, FIFO </w:t>
      </w:r>
      <w:r>
        <w:rPr>
          <w:rFonts w:ascii="Consolas" w:hAnsi="Consolas"/>
          <w:color w:val="A00040"/>
        </w:rPr>
        <w:t>approval.respond</w:t>
      </w:r>
      <w:r>
        <w:t xml:space="preserve"> contract.</w:t>
      </w:r>
    </w:p>
    <w:p>
      <w:pPr>
        <w:pStyle w:val="ListBullet"/>
      </w:pPr>
      <w:r>
        <w:rPr>
          <w:rFonts w:ascii="Consolas" w:hAnsi="Consolas"/>
          <w:color w:val="A00040"/>
        </w:rPr>
        <w:t>ApprovalCard.tsx</w:t>
      </w:r>
      <w:r>
        <w:t xml:space="preserve"> gained an optional </w:t>
      </w:r>
      <w:r>
        <w:rPr>
          <w:rFonts w:ascii="Consolas" w:hAnsi="Consolas"/>
          <w:color w:val="A00040"/>
        </w:rPr>
        <w:t>respond</w:t>
      </w:r>
      <w:r>
        <w:t xml:space="preserve"> prop so one component serves both delivery paths, with </w:t>
      </w:r>
      <w:r>
        <w:rPr>
          <w:rFonts w:ascii="Consolas" w:hAnsi="Consolas"/>
          <w:color w:val="A00040"/>
        </w:rPr>
        <w:t>Chat.tsx</w:t>
      </w:r>
      <w:r>
        <w:t xml:space="preserve"> routing each decision to the correct transport by checking the synthetic-id prefix.</w:t>
      </w:r>
    </w:p>
    <w:p>
      <w:r>
        <w:rPr>
          <w:b/>
        </w:rPr>
        <w:t>Live verification.</w:t>
      </w:r>
      <w:r>
        <w:t xml:space="preserve"> Confirmed end-to-end via a Playwright-driven run of the packaged app against the real local gateway: a command matching an actual dangerous pattern (</w:t>
      </w:r>
      <w:r>
        <w:rPr>
          <w:rFonts w:ascii="Consolas" w:hAnsi="Consolas"/>
          <w:color w:val="A00040"/>
        </w:rPr>
        <w:t>chmod 777</w:t>
      </w:r>
      <w:r>
        <w:t xml:space="preserve">), escalated to a real human decision via a temporary, backed-up-and-reverted </w:t>
      </w:r>
      <w:r>
        <w:rPr>
          <w:rFonts w:ascii="Consolas" w:hAnsi="Consolas"/>
          <w:color w:val="A00040"/>
        </w:rPr>
        <w:t>approvals.smart_policy</w:t>
      </w:r>
      <w:r>
        <w:t xml:space="preserve"> config override (the documented operator customization point — not a code change to the agent runtime), produced a rendered </w:t>
      </w:r>
      <w:r>
        <w:rPr>
          <w:rFonts w:ascii="Consolas" w:hAnsi="Consolas"/>
          <w:color w:val="A00040"/>
        </w:rPr>
        <w:t>ApprovalCard</w:t>
      </w:r>
      <w:r>
        <w:t xml:space="preserve"> with working Approve/Deny/session/always buttons; clicking Approve resolved the card, resumed the blocked agent thread, and the agent completed the flagged command and reported back correctly.</w:t>
      </w:r>
    </w:p>
    <w:p>
      <w:r>
        <w:rPr>
          <w:b/>
        </w:rPr>
        <w:t>Tests.</w:t>
      </w:r>
      <w:r>
        <w:t xml:space="preserve"> Registry bookkeeping (</w:t>
      </w:r>
      <w:r>
        <w:rPr>
          <w:rFonts w:ascii="Consolas" w:hAnsi="Consolas"/>
          <w:color w:val="A00040"/>
        </w:rPr>
        <w:t>pending-approval.test.ts</w:t>
      </w:r>
      <w:r>
        <w:t xml:space="preserve">), </w:t>
      </w:r>
      <w:r>
        <w:rPr>
          <w:rFonts w:ascii="Consolas" w:hAnsi="Consolas"/>
          <w:color w:val="A00040"/>
        </w:rPr>
        <w:t>ApprovalCard.test.tsx</w:t>
      </w:r>
      <w:r>
        <w:t xml:space="preserve"> (including the new </w:t>
      </w:r>
      <w:r>
        <w:rPr>
          <w:rFonts w:ascii="Consolas" w:hAnsi="Consolas"/>
          <w:color w:val="A00040"/>
        </w:rPr>
        <w:t>respond</w:t>
      </w:r>
      <w:r>
        <w:t xml:space="preserve">-prop override), and </w:t>
      </w:r>
      <w:r>
        <w:rPr>
          <w:rFonts w:ascii="Consolas" w:hAnsi="Consolas"/>
          <w:color w:val="A00040"/>
        </w:rPr>
        <w:t>dashboardEventAdapter</w:t>
      </w:r>
      <w:r>
        <w:t xml:space="preserve">'s new </w:t>
      </w:r>
      <w:r>
        <w:rPr>
          <w:rFonts w:ascii="Consolas" w:hAnsi="Consolas"/>
          <w:color w:val="A00040"/>
        </w:rPr>
        <w:t>approval.request</w:t>
      </w:r>
      <w:r>
        <w:t xml:space="preserve"> coverage — all pass. Full suite: 200 files / 1979 passing, 3 skipped.</w:t>
      </w:r>
    </w:p>
    <w:p>
      <w:r>
        <w:rPr>
          <w:b/>
        </w:rPr>
        <w:t>Risk.</w:t>
      </w:r>
      <w:r>
        <w:t xml:space="preserve"> Low — the new renderer-side code is additive and doesn't change behavior for any transport not currently receiving an </w:t>
      </w:r>
      <w:r>
        <w:rPr>
          <w:rFonts w:ascii="Consolas" w:hAnsi="Consolas"/>
          <w:color w:val="A00040"/>
        </w:rPr>
        <w:t>approval.request</w:t>
      </w:r>
      <w:r>
        <w:t xml:space="preserve">. One real constraint: </w:t>
      </w:r>
      <w:r>
        <w:rPr>
          <w:rFonts w:ascii="Consolas" w:hAnsi="Consolas"/>
          <w:color w:val="A00040"/>
        </w:rPr>
        <w:t>respondApprovalDirect</w:t>
      </w:r>
      <w:r>
        <w:t xml:space="preserve"> resolves by session id (this transport's event carries no request id), so two simultaneously-pending requests on the same session could be misattributed — not currently possible since the agent's approval gate is a single blocking call per turn, but a real limit on the synthetic-id design if that ever changes.</w:t>
      </w:r>
    </w:p>
    <w:p>
      <w:pPr>
        <w:jc w:val="center"/>
      </w:pPr>
      <w:r>
        <w:rPr>
          <w:color w:val="AAAAAA"/>
        </w:rPr>
        <w:t>――――――――――――――――――――――――――――――――――――――――</w:t>
      </w:r>
    </w:p>
    <w:p>
      <w:pPr>
        <w:pStyle w:val="Heading2"/>
      </w:pPr>
      <w:r>
        <w:t>Git history — one commit per task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Commit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Prefix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A00040"/>
              </w:rPr>
              <w:t>c8cef20</w:t>
            </w:r>
          </w:p>
        </w:tc>
        <w:tc>
          <w:tcPr>
            <w:tcW w:type="dxa" w:w="2880"/>
          </w:tcPr>
          <w:p>
            <w:r/>
            <w:r>
              <w:t>W4-1</w:t>
            </w:r>
          </w:p>
        </w:tc>
        <w:tc>
          <w:tcPr>
            <w:tcW w:type="dxa" w:w="2880"/>
          </w:tcPr>
          <w:p>
            <w:r/>
            <w:r>
              <w:t>Document provider display vs runtime trace and root cause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A00040"/>
              </w:rPr>
              <w:t>2c07174</w:t>
            </w:r>
            <w:r>
              <w:t xml:space="preserve">, </w:t>
            </w:r>
            <w:r>
              <w:rPr>
                <w:rFonts w:ascii="Consolas" w:hAnsi="Consolas"/>
                <w:color w:val="A00040"/>
              </w:rPr>
              <w:t>8ce79e9</w:t>
            </w:r>
            <w:r>
              <w:t xml:space="preserve">, </w:t>
            </w:r>
            <w:r>
              <w:rPr>
                <w:rFonts w:ascii="Consolas" w:hAnsi="Consolas"/>
                <w:color w:val="A00040"/>
              </w:rPr>
              <w:t>fcbc565</w:t>
            </w:r>
          </w:p>
        </w:tc>
        <w:tc>
          <w:tcPr>
            <w:tcW w:type="dxa" w:w="2880"/>
          </w:tcPr>
          <w:p>
            <w:r/>
            <w:r>
              <w:t>W4-2</w:t>
            </w:r>
          </w:p>
        </w:tc>
        <w:tc>
          <w:tcPr>
            <w:tcW w:type="dxa" w:w="2880"/>
          </w:tcPr>
          <w:p>
            <w:r/>
            <w:r>
              <w:t>Trace + live cross-provider timing + Gemini root cause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A00040"/>
              </w:rPr>
              <w:t>97c89a8</w:t>
            </w:r>
          </w:p>
        </w:tc>
        <w:tc>
          <w:tcPr>
            <w:tcW w:type="dxa" w:w="2880"/>
          </w:tcPr>
          <w:p>
            <w:r/>
            <w:r>
              <w:t>W4-3</w:t>
            </w:r>
          </w:p>
        </w:tc>
        <w:tc>
          <w:tcPr>
            <w:tcW w:type="dxa" w:w="2880"/>
          </w:tcPr>
          <w:p>
            <w:r/>
            <w:r>
              <w:t>Document skill upload/import fix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A00040"/>
              </w:rPr>
              <w:t>9a29066</w:t>
            </w:r>
          </w:p>
        </w:tc>
        <w:tc>
          <w:tcPr>
            <w:tcW w:type="dxa" w:w="2880"/>
          </w:tcPr>
          <w:p>
            <w:r/>
            <w:r>
              <w:t>W4-4</w:t>
            </w:r>
          </w:p>
        </w:tc>
        <w:tc>
          <w:tcPr>
            <w:tcW w:type="dxa" w:w="2880"/>
          </w:tcPr>
          <w:p>
            <w:r/>
            <w:r>
              <w:t>Document local/remote skill path unification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A00040"/>
              </w:rPr>
              <w:t>2448abf</w:t>
            </w:r>
          </w:p>
        </w:tc>
        <w:tc>
          <w:tcPr>
            <w:tcW w:type="dxa" w:w="2880"/>
          </w:tcPr>
          <w:p>
            <w:r/>
            <w:r>
              <w:t>W4-5</w:t>
            </w:r>
          </w:p>
        </w:tc>
        <w:tc>
          <w:tcPr>
            <w:tcW w:type="dxa" w:w="2880"/>
          </w:tcPr>
          <w:p>
            <w:r/>
            <w:r>
              <w:t>Chat-composer skill selection + missing test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A00040"/>
              </w:rPr>
              <w:t>a5e7f7b</w:t>
            </w:r>
            <w:r>
              <w:t xml:space="preserve">, </w:t>
            </w:r>
            <w:r>
              <w:rPr>
                <w:rFonts w:ascii="Consolas" w:hAnsi="Consolas"/>
                <w:color w:val="A00040"/>
              </w:rPr>
              <w:t>f2ce28d</w:t>
            </w:r>
            <w:r>
              <w:t xml:space="preserve">, </w:t>
            </w:r>
            <w:r>
              <w:rPr>
                <w:rFonts w:ascii="Consolas" w:hAnsi="Consolas"/>
                <w:color w:val="A00040"/>
              </w:rPr>
              <w:t>16d08a5</w:t>
            </w:r>
          </w:p>
        </w:tc>
        <w:tc>
          <w:tcPr>
            <w:tcW w:type="dxa" w:w="2880"/>
          </w:tcPr>
          <w:p>
            <w:r/>
            <w:r>
              <w:t>W4-6</w:t>
            </w:r>
          </w:p>
        </w:tc>
        <w:tc>
          <w:tcPr>
            <w:tcW w:type="dxa" w:w="2880"/>
          </w:tcPr>
          <w:p>
            <w:r/>
            <w:r>
              <w:t>Render/resolve confirmation UI, honest gap disclosure, then the real cross-transport fix</w:t>
            </w:r>
          </w:p>
        </w:tc>
      </w:tr>
    </w:tbl>
    <w:p/>
    <w:p>
      <w:r>
        <w:t xml:space="preserve">All commits sit on </w:t>
      </w:r>
      <w:r>
        <w:rPr>
          <w:rFonts w:ascii="Consolas" w:hAnsi="Consolas"/>
          <w:color w:val="A00040"/>
        </w:rPr>
        <w:t>week4-homework</w:t>
      </w:r>
      <w:r>
        <w:t xml:space="preserve">, branched from the instructor-provided </w:t>
      </w:r>
      <w:r>
        <w:rPr>
          <w:rFonts w:ascii="Consolas" w:hAnsi="Consolas"/>
          <w:color w:val="A00040"/>
        </w:rPr>
        <w:t>Week 4 baseline</w:t>
      </w:r>
      <w:r>
        <w:t xml:space="preserve"> (</w:t>
      </w:r>
      <w:r>
        <w:rPr>
          <w:rFonts w:ascii="Consolas" w:hAnsi="Consolas"/>
          <w:color w:val="A00040"/>
        </w:rPr>
        <w:t>fe76f3a</w:t>
      </w:r>
      <w:r>
        <w:t xml:space="preserve">), pushed to </w:t>
      </w:r>
      <w:r>
        <w:rPr>
          <w:rFonts w:ascii="Consolas" w:hAnsi="Consolas"/>
          <w:color w:val="A00040"/>
        </w:rPr>
        <w:t>origin/week4-homework</w:t>
      </w:r>
      <w:r>
        <w:t>.</w:t>
      </w:r>
    </w:p>
    <w:p>
      <w:pPr>
        <w:jc w:val="center"/>
      </w:pPr>
      <w:r>
        <w:rPr>
          <w:color w:val="AAAAAA"/>
        </w:rPr>
        <w:t>――――――――――――――――――――――――――――――――――――――――</w:t>
      </w:r>
    </w:p>
    <w:p>
      <w:pPr>
        <w:pStyle w:val="Heading2"/>
      </w:pPr>
      <w:r>
        <w:t>Self-assessment against the Final Submission Checklist</w:t>
      </w:r>
    </w:p>
    <w:p>
      <w:pPr>
        <w:pStyle w:val="ListBullet"/>
      </w:pPr>
      <w:r>
        <w:t>[x] Reproduced all six problems (read-traced; Tasks 2 and 6 additionally reproduced live).</w:t>
      </w:r>
    </w:p>
    <w:p>
      <w:pPr>
        <w:pStyle w:val="ListBullet"/>
      </w:pPr>
      <w:r>
        <w:t>[x] Complete Desktop → Gateway → Runtime path shown for each task (source map + per-report traces).</w:t>
      </w:r>
    </w:p>
    <w:p>
      <w:pPr>
        <w:pStyle w:val="ListBullet"/>
      </w:pPr>
      <w:r>
        <w:t>[x] Provider/model UI state and runtime call consistent after switching/resume.</w:t>
      </w:r>
    </w:p>
    <w:p>
      <w:pPr>
        <w:pStyle w:val="ListBullet"/>
      </w:pPr>
      <w:r>
        <w:t>[x] Provider switching doesn't leave a half-switched state or hide init errors — verified live.</w:t>
      </w:r>
    </w:p>
    <w:p>
      <w:pPr>
        <w:pStyle w:val="ListBullet"/>
      </w:pPr>
      <w:r>
        <w:t>[x] Skills page has a usable import/upload entry.</w:t>
      </w:r>
    </w:p>
    <w:p>
      <w:pPr>
        <w:pStyle w:val="ListBullet"/>
      </w:pPr>
      <w:r>
        <w:t>[x] Skill discovery/invocation correctly scoped to local vs remote.</w:t>
      </w:r>
    </w:p>
    <w:p>
      <w:pPr>
        <w:pStyle w:val="ListBullet"/>
      </w:pPr>
      <w:r>
        <w:t>[x] Skills selectable from the chat composer, runtime actually receives the choice.</w:t>
      </w:r>
    </w:p>
    <w:p>
      <w:pPr>
        <w:pStyle w:val="ListBullet"/>
      </w:pPr>
      <w:r>
        <w:t>[x] Agent confirmation requests visible in Desktop — verified live end-to-end across all three delivery transports.</w:t>
      </w:r>
    </w:p>
    <w:p>
      <w:pPr>
        <w:pStyle w:val="ListBullet"/>
      </w:pPr>
      <w:r>
        <w:t>[x] Local backend tested live for Tasks 4 and 6. Remote/SSH was not — no live remote/SSH-connected Hermes backend was available in this environment; flagged, not fabricated.</w:t>
      </w:r>
    </w:p>
    <w:p>
      <w:pPr>
        <w:pStyle w:val="ListBullet"/>
      </w:pPr>
      <w:r>
        <w:t>[x] Didn't bypass the Gateway, hard-code a path/provider, or hide failures behind arbitrary delays.</w:t>
      </w:r>
    </w:p>
    <w:p>
      <w:pPr>
        <w:pStyle w:val="ListBullet"/>
      </w:pPr>
      <w:r>
        <w:t>[x] Changes are focused per task, separated from unrelated refactoring.</w:t>
      </w:r>
    </w:p>
    <w:p>
      <w:pPr>
        <w:pStyle w:val="Heading2"/>
      </w:pPr>
      <w:r>
        <w:t>What's still owed</w:t>
      </w:r>
    </w:p>
    <w:p>
      <w:pPr>
        <w:pStyle w:val="ListNumber"/>
      </w:pPr>
      <w:r>
        <w:rPr>
          <w:b/>
        </w:rPr>
        <w:t>Task 2's Gemini `thinking_config` failure</w:t>
      </w:r>
      <w:r>
        <w:t xml:space="preserve"> is real and reproducible, but its fix boundary is the agent runtime (</w:t>
      </w:r>
      <w:r>
        <w:rPr>
          <w:rFonts w:ascii="Consolas" w:hAnsi="Consolas"/>
          <w:color w:val="A00040"/>
        </w:rPr>
        <w:t>~/.hermes/hermes-agent</w:t>
      </w:r>
      <w:r>
        <w:t>), outside this repository's scope.</w:t>
      </w:r>
    </w:p>
    <w:p>
      <w:pPr>
        <w:pStyle w:val="ListNumber"/>
      </w:pPr>
      <w:r>
        <w:rPr>
          <w:b/>
        </w:rPr>
        <w:t>Remote/SSH live verification</w:t>
      </w:r>
      <w:r>
        <w:t xml:space="preserve"> for Tasks 4 and 6 — needs an actual second machine or remote Hermes deployment, not reproducible in this environment.</w:t>
      </w:r>
    </w:p>
    <w:p>
      <w:pPr>
        <w:pStyle w:val="ListNumber"/>
      </w:pPr>
      <w:r>
        <w:rPr>
          <w:b/>
        </w:rPr>
        <w:t>The live demo</w:t>
      </w:r>
      <w:r>
        <w:t xml:space="preserve"> (submission item 7) is explicitly the student's own responsibility — nothing here substitutes for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