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5000" w:type="pct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7594"/>
        <w:gridCol w:w="1334"/>
      </w:tblGrid>
      <w:tr w14:paraId="73A01F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c>
          <w:tcPr>
            <w:tcW w:w="65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E9F25"/>
        </w:tc>
        <w:tc>
          <w:tcPr>
            <w:tcW w:w="3700" w:type="pc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E79143">
            <w:pPr>
              <w:widowControl/>
              <w:spacing w:before="0" w:after="40" w:line="240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35"/>
              </w:rPr>
              <w:t>木月羊</w:t>
            </w:r>
          </w:p>
          <w:p w14:paraId="60211EED">
            <w:pPr>
              <w:widowControl/>
              <w:spacing w:before="0" w:after="40" w:line="240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i w:val="0"/>
                <w:color w:val="000000"/>
                <w:sz w:val="17"/>
              </w:rPr>
              <w:t>muyueyang@gmail.com  |  XX省XX市</w:t>
            </w:r>
          </w:p>
          <w:p w14:paraId="415849A1"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18"/>
              </w:rPr>
              <w:t>求职意向：</w:t>
            </w:r>
            <w:bookmarkStart w:id="0" w:name="_GoBack"/>
            <w:bookmarkEnd w:id="0"/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18"/>
              </w:rPr>
              <w:t>产品运营</w:t>
            </w:r>
            <w:r>
              <w:rPr>
                <w:rFonts w:ascii="Times New Roman" w:hAnsi="Times New Roman" w:eastAsia="微软雅黑" w:cs="Times New Roman"/>
                <w:b w:val="0"/>
                <w:i w:val="0"/>
                <w:color w:val="000000"/>
                <w:sz w:val="18"/>
              </w:rPr>
              <w:t xml:space="preserve">  |  每周可实习5天 · 可连续实习3个月</w:t>
            </w:r>
          </w:p>
        </w:tc>
        <w:tc>
          <w:tcPr>
            <w:tcW w:w="650" w:type="pct"/>
            <w:tcMar>
              <w:top w:w="0" w:type="dxa"/>
              <w:left w:w="80" w:type="dxa"/>
              <w:bottom w:w="0" w:type="dxa"/>
              <w:right w:w="0" w:type="dxa"/>
            </w:tcMar>
            <w:vAlign w:val="top"/>
          </w:tcPr>
          <w:p w14:paraId="588C528B">
            <w:pPr>
              <w:widowControl/>
              <w:spacing w:before="0" w:after="0" w:line="240" w:lineRule="auto"/>
              <w:jc w:val="right"/>
            </w:pPr>
            <w:r>
              <w:drawing>
                <wp:inline distT="0" distB="0" distL="114300" distR="114300">
                  <wp:extent cx="701675" cy="935990"/>
                  <wp:effectExtent l="0" t="0" r="952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0B3E2">
      <w:pPr>
        <w:widowControl/>
        <w:pBdr>
          <w:bottom w:val="single" w:color="000000" w:sz="8" w:space="2"/>
        </w:pBdr>
        <w:spacing w:before="60" w:after="2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教育背景</w:t>
      </w:r>
    </w:p>
    <w:p w14:paraId="1ECC0D1F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XX大学 · XX专业 · 硕士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2024.09 - 2027.06</w:t>
      </w:r>
    </w:p>
    <w:p w14:paraId="2B600B04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GPA 3.73/4.0（专业前15%）；主修计算机组成原理、计算机网络、人工智能、操作系统、数据库、密码学与人工智能安全；优秀学生奖学金、全国大学生信息安全竞赛三等奖</w:t>
      </w:r>
    </w:p>
    <w:p w14:paraId="267C6D8F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XX大学 · XX专业 · 本科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2020.09 - 2024.06</w:t>
      </w:r>
    </w:p>
    <w:p w14:paraId="72692E20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GPA 3.</w:t>
      </w:r>
      <w:r>
        <w:rPr>
          <w:rFonts w:hint="eastAsia" w:cs="Times New Roman"/>
          <w:b w:val="0"/>
          <w:i w:val="0"/>
          <w:color w:val="000000"/>
          <w:sz w:val="18"/>
          <w:lang w:val="en-US" w:eastAsia="zh-CN"/>
        </w:rPr>
        <w:t>5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/4.0（专业前15%）；主修计算机组成原理、计算机网络、人工智能、操作系统、数据库、密码学与人工智能安全</w:t>
      </w:r>
    </w:p>
    <w:p w14:paraId="6D1F10AB">
      <w:pPr>
        <w:widowControl/>
        <w:pBdr>
          <w:bottom w:val="single" w:color="000000" w:sz="8" w:space="2"/>
        </w:pBdr>
        <w:spacing w:before="60" w:after="2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实习经历</w:t>
      </w:r>
    </w:p>
    <w:p w14:paraId="23568111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XX科技公司 | 运营实习生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2024.06 - 2025.09</w:t>
      </w:r>
    </w:p>
    <w:p w14:paraId="0807DDF0">
      <w:pPr>
        <w:widowControl/>
        <w:spacing w:before="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参与海外DSP广告运营，围绕广告主增长、投放效率和渠道转化开展数据分析与运营优化。</w:t>
      </w:r>
    </w:p>
    <w:p w14:paraId="567B41E8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经营分析与策略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监控消耗、CPA、eCPM、CTR、CVR、竞价与预算等指标，对比内外盘及竞对平台数据，定位素材、定向和出价差异；使用AIGC工具优化低过审率素材，推动账户日耗最高提升75%。</w:t>
      </w:r>
    </w:p>
    <w:p w14:paraId="142CA0FB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客户与渠道增长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对接10+海外广告主，定期输出账号分析与优化方案，连续6周实现广告消耗正增长；优化官网来信SOP并协同商务团队推动15+新客接入，新拓客业务增长10%。</w:t>
      </w:r>
    </w:p>
    <w:p w14:paraId="418D5B7E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XX公司 | C端用户增长产品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2023.09 - 2024.05</w:t>
      </w:r>
    </w:p>
    <w:p w14:paraId="16FA82D8">
      <w:pPr>
        <w:widowControl/>
        <w:spacing w:before="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面向C端用户增长与内容消费场景，围绕内容分发、兑换转化和版本交付推进产品迭代。</w:t>
      </w:r>
    </w:p>
    <w:p w14:paraId="4F2895B1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内容产品迭代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基于竞品差异化分析与用户画像研究，主导“上新专区”和“图鉴系统”迭代，输出高保真原型与PRD并重构信息架构；图鉴系统引入热区交互后，用户渗透率突破40%，平均停留时长提升15%。</w:t>
      </w:r>
    </w:p>
    <w:p w14:paraId="55325F48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指标体系与实验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建立产品数据监控指标体系，通过漏斗分析定位兑换与浏览流失点，主导简化验证码兑换流程并协同完成埋点和A/B测试，使兑换流程转化率提升23%。</w:t>
      </w:r>
    </w:p>
    <w:p w14:paraId="301C6D8B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跨团队交付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作为核心接口人统筹研发、测试、UI、B端及算法模型团队，建立敏捷开发SOP与风险预警机制，推进多端联调并保障版本按期上线率达100%。</w:t>
      </w:r>
    </w:p>
    <w:p w14:paraId="5C36B19E">
      <w:pPr>
        <w:widowControl/>
        <w:pBdr>
          <w:bottom w:val="single" w:color="000000" w:sz="8" w:space="2"/>
        </w:pBdr>
        <w:spacing w:before="60" w:after="2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项目经历</w:t>
      </w:r>
    </w:p>
    <w:p w14:paraId="714E823F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智能课后反馈系统-workflow | 项目负责人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2024.07 - 2024.10</w:t>
      </w:r>
    </w:p>
    <w:p w14:paraId="48888B0D">
      <w:pPr>
        <w:widowControl/>
        <w:spacing w:before="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针对教师撰写个性化课后评语耗时且内容雷同的问题，设计自动化生成与历史匹配工作流。</w:t>
      </w:r>
    </w:p>
    <w:p w14:paraId="57B20759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AI工作流设计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将教师诉求拆解为“身份识别-历史检索-模板生成”三步流程，基于Dify完成编排，设计学生身份识别与历史匹配规则，并以模板化Prompt调用Qwen3-32B输出结构化反馈。</w:t>
      </w:r>
    </w:p>
    <w:p w14:paraId="3538D8D8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效率与采纳验证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以生成时长和教师采纳率验证方案效果，将单条反馈生成时间由5分钟缩短至30秒内，教师采纳率达到80%以上，形成可复用的反馈生成流程。</w:t>
      </w:r>
    </w:p>
    <w:p w14:paraId="4B77498A">
      <w:pPr>
        <w:widowControl/>
        <w:tabs>
          <w:tab w:val="right" w:pos="10035"/>
        </w:tabs>
        <w:spacing w:before="4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>PPT转演讲稿 Agent Skill | 项目负责人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ab/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7"/>
        </w:rPr>
        <w:t>2024.05 - 2024.06</w:t>
      </w:r>
    </w:p>
    <w:p w14:paraId="3EEB21FC">
      <w:pPr>
        <w:widowControl/>
        <w:spacing w:before="0" w:after="1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针对PPT转演讲稿依赖人工整理或高成本API、难以接入Agent平台的问题，设计可一键安装和原生调用的技能。</w:t>
      </w:r>
    </w:p>
    <w:p w14:paraId="19D9ED11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Agent技能设计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遵循Anthropic SKILLS协议设计技能结构，使其可被Claude、OpenClaw等Agent平台调用；采用“结构化提取+Agent撰写”的轻量方案，支持自动分析PPT图文并生成演讲稿。</w:t>
      </w:r>
    </w:p>
    <w:p w14:paraId="60A8E0B3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安装与成本优化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面向国内用户设计一键环境配置，集成镜像源自动安装依赖；通过低价API与平台原生调用降低配置门槛和使用成本，形成可复用的安装与使用流程。</w:t>
      </w:r>
    </w:p>
    <w:p w14:paraId="3BED80AF">
      <w:pPr>
        <w:widowControl/>
        <w:pBdr>
          <w:bottom w:val="single" w:color="000000" w:sz="8" w:space="2"/>
        </w:pBdr>
        <w:spacing w:before="60" w:after="2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个人技能</w:t>
      </w:r>
    </w:p>
    <w:p w14:paraId="4DAC8F78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AI与自动化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熟悉Claude Code、OpenClaw、Dify及Prompt设计，理解RAG、MCP、Agent与大语言模型能力边界</w:t>
      </w:r>
      <w:r>
        <w:rPr>
          <w:rFonts w:hint="eastAsia" w:cs="Times New Roman"/>
          <w:b w:val="0"/>
          <w:i w:val="0"/>
          <w:color w:val="000000"/>
          <w:sz w:val="18"/>
          <w:lang w:eastAsia="zh-CN"/>
        </w:rPr>
        <w:t>。</w:t>
      </w:r>
    </w:p>
    <w:p w14:paraId="58F6497E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数据与产品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熟悉漏斗分析、埋点、A/B测试及GMV、转化率、ROI、CPA、CTR、CVR等指标；可输出PRD、高保真原型、数据报告与运营SOP。</w:t>
      </w:r>
    </w:p>
    <w:p w14:paraId="35211FBF">
      <w:pPr>
        <w:widowControl/>
        <w:pBdr>
          <w:bottom w:val="single" w:color="000000" w:sz="8" w:space="2"/>
        </w:pBdr>
        <w:spacing w:before="60" w:after="20" w:line="240" w:lineRule="auto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自我评价</w:t>
      </w:r>
    </w:p>
    <w:p w14:paraId="6176D9A4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业务与实验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能将用户与经营问题拆解为指标、策略和实验，通过数据验证产品及运营迭代。</w:t>
      </w:r>
    </w:p>
    <w:p w14:paraId="734D39DC">
      <w:pPr>
        <w:pStyle w:val="16"/>
        <w:widowControl/>
        <w:spacing w:before="0" w:after="10" w:line="240" w:lineRule="auto"/>
        <w:ind w:left="272" w:hanging="159"/>
      </w:pPr>
      <w:r>
        <w:rPr>
          <w:rFonts w:ascii="Times New Roman" w:hAnsi="Times New Roman" w:eastAsia="微软雅黑" w:cs="Times New Roman"/>
          <w:b/>
          <w:i w:val="0"/>
          <w:color w:val="000000"/>
          <w:sz w:val="18"/>
        </w:rPr>
        <w:t xml:space="preserve">人机协同  </w:t>
      </w:r>
      <w:r>
        <w:rPr>
          <w:rFonts w:ascii="Times New Roman" w:hAnsi="Times New Roman" w:eastAsia="微软雅黑" w:cs="Times New Roman"/>
          <w:b w:val="0"/>
          <w:i w:val="0"/>
          <w:color w:val="000000"/>
          <w:sz w:val="18"/>
        </w:rPr>
        <w:t>持续使用AI工具完成问题拆解、工作流设计与内容生成，并结合业务目标判断输出质量和适用边界。</w:t>
      </w:r>
    </w:p>
    <w:sectPr>
      <w:pgSz w:w="11906" w:h="16838"/>
      <w:pgMar w:top="652" w:right="822" w:bottom="652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BIZ UD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BIZ UDGothic">
    <w:panose1 w:val="020B0400000000000000"/>
    <w:charset w:val="80"/>
    <w:family w:val="auto"/>
    <w:pitch w:val="default"/>
    <w:sig w:usb0="E00002F7" w:usb1="2AC7EDF8" w:usb2="00000012" w:usb3="00000000" w:csb0="20020009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DD11AC"/>
    <w:rsid w:val="59BC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color w:val="000000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微软雅黑"/>
      <w:color w:val="000000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1589</Characters>
  <Lines>0</Lines>
  <Paragraphs>0</Paragraphs>
  <TotalTime>1</TotalTime>
  <ScaleCrop>false</ScaleCrop>
  <LinksUpToDate>false</LinksUpToDate>
  <CharactersWithSpaces>1673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Rainie</cp:lastModifiedBy>
  <dcterms:modified xsi:type="dcterms:W3CDTF">2026-07-23T12:05:18Z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eyJoZGlkIjoiMTc3Mzk2ZmEzNjNiNDlmYmNlMTFiNWMyMDNmZmQxZDMiLCJ1c2VySWQiOiIxNjc0MDQxNzU3In0=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8B013FE6D478409AA8783F78D7AF3FAD_12</vt:lpwstr>
  </property>
</Properties>
</file>