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1"/>
        <w:gridCol w:w="8336"/>
      </w:tblGrid>
      <w:tr w14:paraId="42F65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pct"/>
            <w:tcBorders>
              <w:bottom w:val="single" w:color="7CB762" w:sz="8" w:space="0"/>
            </w:tcBorders>
            <w:shd w:val="clear" w:color="auto" w:fill="EFF6EC"/>
            <w:tcMar>
              <w:top w:w="397" w:type="dxa"/>
              <w:left w:w="340" w:type="dxa"/>
              <w:bottom w:w="397" w:type="dxa"/>
              <w:right w:w="283" w:type="dxa"/>
            </w:tcMar>
            <w:vAlign w:val="top"/>
          </w:tcPr>
          <w:p w14:paraId="4D72B8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jc w:val="left"/>
              <w:textAlignment w:val="auto"/>
            </w:pPr>
            <w:r>
              <w:drawing>
                <wp:inline distT="0" distB="0" distL="114300" distR="114300">
                  <wp:extent cx="1151890" cy="1511935"/>
                  <wp:effectExtent l="0" t="0" r="381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5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0C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37"/>
              </w:rPr>
              <w:t>木月羊</w:t>
            </w:r>
          </w:p>
          <w:p w14:paraId="66353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产品运营 / AI应用运营</w:t>
            </w:r>
          </w:p>
          <w:p w14:paraId="368D8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每周可实习5天 · 可连续实习3个月</w:t>
            </w:r>
          </w:p>
          <w:p w14:paraId="2FEA1EC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20"/>
                <w:szCs w:val="20"/>
              </w:rPr>
              <w:t>联系方式</w:t>
            </w:r>
          </w:p>
          <w:p w14:paraId="7B6D7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muyueyang@gmail.com</w:t>
            </w:r>
          </w:p>
          <w:p w14:paraId="7D03A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XX省XX市</w:t>
            </w:r>
          </w:p>
          <w:p w14:paraId="7C764022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20"/>
                <w:szCs w:val="20"/>
              </w:rPr>
              <w:t>个人技能</w:t>
            </w:r>
          </w:p>
          <w:p w14:paraId="1E7C1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>AI与自动化：</w:t>
            </w: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熟悉Claude Code、OpenClaw、Dify及Prompt设计，理解RAG、MCP、Agent与大语言模型能力边界，具备Python编程基础。</w:t>
            </w:r>
          </w:p>
          <w:p w14:paraId="481614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>数据与产品：</w:t>
            </w: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熟悉漏斗分析、埋点、A/B测试及GMV、转化率、ROI、CPA、CTR、CVR等指标；可输出PRD、高保真原型、数据报告与运营SOP。</w:t>
            </w:r>
          </w:p>
          <w:p w14:paraId="1D589A8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0"/>
                <w:szCs w:val="20"/>
              </w:rPr>
            </w:pPr>
            <w:r>
              <w:rPr>
                <w:rFonts w:ascii="Times New Roman" w:hAnsi="Times New Roman" w:eastAsia="微软雅黑" w:cs="Times New Roman"/>
                <w:b/>
                <w:color w:val="7CB762"/>
                <w:sz w:val="20"/>
                <w:szCs w:val="20"/>
              </w:rPr>
              <w:t>自我评价</w:t>
            </w:r>
          </w:p>
          <w:p w14:paraId="52B29D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>业务与实验：</w:t>
            </w: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能将用户与经营问题拆解为指标、策略和实验，通过数据验证产品及运营迭代。</w:t>
            </w:r>
          </w:p>
          <w:p w14:paraId="7F6B9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>人机协同：</w:t>
            </w:r>
            <w:r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  <w:t>持续使用AI工具完成问题拆解、工作流设计与内容生成，并结合业务目标判断输出质量和适用边界。</w:t>
            </w:r>
          </w:p>
          <w:p w14:paraId="0C126D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57475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0379DF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54816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4A9E1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73AC8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57726D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019B5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143DA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6BFBD8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5017F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40528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6C720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4CDE6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7D7BA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63EA3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21704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167E64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063B4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190FE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635398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  <w:p w14:paraId="0CA25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textAlignment w:val="auto"/>
              <w:rPr>
                <w:rFonts w:ascii="Times New Roman" w:hAnsi="Times New Roman" w:eastAsia="微软雅黑" w:cs="Times New Roman"/>
                <w:b w:val="0"/>
                <w:color w:val="555555"/>
                <w:sz w:val="17"/>
                <w:szCs w:val="17"/>
              </w:rPr>
            </w:pPr>
          </w:p>
        </w:tc>
        <w:tc>
          <w:tcPr>
            <w:tcW w:w="3473" w:type="pct"/>
            <w:tcMar>
              <w:top w:w="397" w:type="dxa"/>
              <w:left w:w="397" w:type="dxa"/>
              <w:bottom w:w="113" w:type="dxa"/>
              <w:right w:w="397" w:type="dxa"/>
            </w:tcMar>
            <w:vAlign w:val="top"/>
          </w:tcPr>
          <w:p w14:paraId="43E95B8C">
            <w:pPr>
              <w:keepNext/>
              <w:keepLines w:val="0"/>
              <w:pageBreakBefore w:val="0"/>
              <w:widowControl/>
              <w:pBdr>
                <w:left w:val="single" w:color="7CB762" w:sz="22" w:space="5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24"/>
                <w:szCs w:val="24"/>
              </w:rPr>
              <w:t>教育背景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1A18F7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19C5803B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XX大学 · XX专业 · 硕士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311B1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2024.09 - 2027.06</w:t>
                  </w:r>
                </w:p>
              </w:tc>
            </w:tr>
          </w:tbl>
          <w:p w14:paraId="48C4E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6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GPA 3.73/4.0（专业前15%）；主修计算机组成原理、计算机网络、人工智能、操作系统、数据库、密码学与人工智能安全；优秀学生奖学金、全国大学生信息安全竞赛三等奖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2F12BA2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452DF10B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XX大学 · XX专业 · 本科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6BE8DC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2020.09 - 2024.06</w:t>
                  </w:r>
                </w:p>
              </w:tc>
            </w:tr>
          </w:tbl>
          <w:p w14:paraId="53932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主修计算机组成原理、计算机网络、人工智能、操作系统、数据库、密码学与人工智能安全</w:t>
            </w:r>
          </w:p>
          <w:p w14:paraId="419C6107">
            <w:pPr>
              <w:keepNext/>
              <w:keepLines w:val="0"/>
              <w:pageBreakBefore w:val="0"/>
              <w:widowControl/>
              <w:pBdr>
                <w:left w:val="single" w:color="7CB762" w:sz="22" w:space="5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24"/>
                <w:szCs w:val="24"/>
              </w:rPr>
              <w:t>实习经历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7F6348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2EC6C453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XX科技公司 · 运营实习生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CA17E9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2024.06 - 2025.09</w:t>
                  </w:r>
                </w:p>
              </w:tc>
            </w:tr>
          </w:tbl>
          <w:p w14:paraId="625FC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参与海外DSP广告运营，围绕广告主增长、投放效率和渠道转化开展数据分析与运营优化。</w:t>
            </w:r>
          </w:p>
          <w:p w14:paraId="234E1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经营分析与策略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监控消耗、CPA、eCPM、CTR、CVR、竞价与预算等指标，对比内外盘及竞对平台数据，定位素材、定向和出价差异；使用AIGC工具优化低过审率素材，推动账户日耗最高提升75%。</w:t>
            </w:r>
          </w:p>
          <w:p w14:paraId="40C3E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客户与渠道增长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对接10+海外广告主，定期输出账号分析与优化方案，连续6周实现广告消耗正增长；优化官网来信SOP并协同商务团队推动15+新客接入，新拓客业务增长10%。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1483604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4B9D5385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XX公司 · C端用户增长产品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19988F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2023.09 - 2024.05</w:t>
                  </w:r>
                </w:p>
              </w:tc>
            </w:tr>
          </w:tbl>
          <w:p w14:paraId="58A66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面向C端用户增长与内容消费场景，围绕内容分发、兑换转化和版本交付推进产品迭代。</w:t>
            </w:r>
          </w:p>
          <w:p w14:paraId="6CABBD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内容产品迭代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基于竞品差异化分析与用户画像研究，主导“上新专区”和“图鉴系统”迭代，输出高保真原型与PRD并重构信息架构；图鉴系统引入热区交互后，用户渗透率突破40%，平均停留时长提升15%。</w:t>
            </w:r>
          </w:p>
          <w:p w14:paraId="06A36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指标体系与实验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建立产品数据监控指标体系，通过漏斗分析定位兑换与浏览流失点，主导简化验证码兑换流程并协同完成埋点和A/B测试，使兑换流程转化率提升23%。</w:t>
            </w:r>
          </w:p>
          <w:p w14:paraId="10F7CF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跨团队交付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作为核心接口人统筹研发、测试、UI、B端及算法模型团队，建立敏捷开发SOP与风险预警机制，推进多端联调并保障版本按期上线率达100%。</w:t>
            </w:r>
          </w:p>
          <w:p w14:paraId="35875918">
            <w:pPr>
              <w:keepNext/>
              <w:keepLines w:val="0"/>
              <w:pageBreakBefore w:val="0"/>
              <w:widowControl/>
              <w:pBdr>
                <w:left w:val="single" w:color="7CB762" w:sz="22" w:space="5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5" w:lineRule="auto"/>
              <w:textAlignment w:val="auto"/>
              <w:rPr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24"/>
                <w:szCs w:val="24"/>
              </w:rPr>
              <w:t>项目经历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066725A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78D2665B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智能课后反馈系统-workflow · 项目负责人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637C75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2024.07 - 2024.10</w:t>
                  </w:r>
                </w:p>
              </w:tc>
            </w:tr>
          </w:tbl>
          <w:p w14:paraId="19B6F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针对教师撰写个性化课后评语耗时且内容雷同的问题，设计自动化生成与历史匹配工作流。</w:t>
            </w:r>
          </w:p>
          <w:p w14:paraId="7C255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AI工作流设计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将教师诉求拆解为“身份识别-历史检索-模板生成”三步流程，基于Dify完成编排，设计学生身份识别与历史匹配规则，并以模板化Prompt调用Qwen3-32B输出结构化反馈。</w:t>
            </w:r>
          </w:p>
          <w:p w14:paraId="30AB2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效率与采纳验证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以生成时长和教师采纳率验证方案效果，将单条反馈生成时间由5分钟缩短至30秒内，教师采纳率达到80%以上，形成可复用的反馈生成流程。</w:t>
            </w:r>
          </w:p>
          <w:tbl>
            <w:tblPr>
              <w:tblStyle w:val="32"/>
              <w:tblW w:w="754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0"/>
              <w:gridCol w:w="2041"/>
            </w:tblGrid>
            <w:tr w14:paraId="6990C5E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499" w:type="dxa"/>
                  <w:tcMar>
                    <w:top w:w="0" w:type="dxa"/>
                    <w:left w:w="0" w:type="dxa"/>
                    <w:bottom w:w="0" w:type="dxa"/>
                    <w:right w:w="20" w:type="dxa"/>
                  </w:tcMar>
                </w:tcPr>
                <w:p w14:paraId="1A6C0C45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/>
                      <w:color w:val="222222"/>
                      <w:sz w:val="20"/>
                      <w:szCs w:val="20"/>
                    </w:rPr>
                    <w:t>PPT转演讲稿 Agent Skill · 项目负责人</w:t>
                  </w:r>
                </w:p>
              </w:tc>
              <w:tc>
                <w:tcPr>
                  <w:tcW w:w="204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2BD5E1">
                  <w:pPr>
                    <w:keepNext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5" w:lineRule="auto"/>
                    <w:jc w:val="right"/>
                    <w:textAlignment w:val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微软雅黑" w:cs="Times New Roman"/>
                      <w:b w:val="0"/>
                      <w:color w:val="555555"/>
                      <w:sz w:val="20"/>
                      <w:szCs w:val="20"/>
                    </w:rPr>
                    <w:t>2024.05 - 2024.06</w:t>
                  </w:r>
                </w:p>
              </w:tc>
            </w:tr>
          </w:tbl>
          <w:p w14:paraId="5BC51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项目背景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针对PPT转演讲稿依赖人工整理或高成本API、难以接入Agent平台的问题，设计可一键安装和原生调用的技能。</w:t>
            </w:r>
          </w:p>
          <w:p w14:paraId="6AD790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  <w:rPr>
                <w:sz w:val="17"/>
                <w:szCs w:val="17"/>
              </w:rPr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Agent技能设计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遵循Anthropic SKILLS协议设计技能结构，使其可被Claude、OpenClaw等Agent平台调用；采用“结构化提取+Agent撰写”的轻量方案，支持自动分析PPT图文并生成演讲稿。</w:t>
            </w:r>
          </w:p>
          <w:p w14:paraId="0B032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215" w:hanging="147"/>
              <w:textAlignment w:val="auto"/>
            </w:pPr>
            <w:r>
              <w:rPr>
                <w:rFonts w:ascii="Times New Roman" w:hAnsi="Times New Roman" w:eastAsia="微软雅黑" w:cs="Times New Roman"/>
                <w:b w:val="0"/>
                <w:color w:val="7CB762"/>
                <w:sz w:val="17"/>
                <w:szCs w:val="17"/>
              </w:rPr>
              <w:t xml:space="preserve">• </w:t>
            </w:r>
            <w:r>
              <w:rPr>
                <w:rFonts w:ascii="Times New Roman" w:hAnsi="Times New Roman" w:eastAsia="微软雅黑" w:cs="Times New Roman"/>
                <w:b/>
                <w:color w:val="222222"/>
                <w:sz w:val="17"/>
                <w:szCs w:val="17"/>
              </w:rPr>
              <w:t xml:space="preserve">安装与成本优化  </w:t>
            </w:r>
            <w:r>
              <w:rPr>
                <w:rFonts w:ascii="Times New Roman" w:hAnsi="Times New Roman" w:eastAsia="微软雅黑" w:cs="Times New Roman"/>
                <w:b w:val="0"/>
                <w:color w:val="222222"/>
                <w:sz w:val="17"/>
                <w:szCs w:val="17"/>
              </w:rPr>
              <w:t>面向国内用户设计一键环境配置，集成镜像源自动安装依赖；通过低价API与平台原生调用降低配置门槛和使用成本，形成可复用的安装与使用流程。</w:t>
            </w:r>
          </w:p>
        </w:tc>
      </w:tr>
    </w:tbl>
    <w:p w14:paraId="0FDE20DB">
      <w:pPr>
        <w:spacing w:after="0" w:line="240" w:lineRule="auto"/>
      </w:pPr>
    </w:p>
    <w:sectPr>
      <w:pgSz w:w="11906" w:h="16838"/>
      <w:pgMar w:top="0" w:right="397" w:bottom="0" w:left="3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BIZ UD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BIZ UDGothic">
    <w:panose1 w:val="020B0400000000000000"/>
    <w:charset w:val="80"/>
    <w:family w:val="auto"/>
    <w:pitch w:val="default"/>
    <w:sig w:usb0="E00002F7" w:usb1="2AC7EDF8" w:usb2="00000012" w:usb3="00000000" w:csb0="2002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AF4EBA"/>
    <w:rsid w:val="6AE85CC0"/>
    <w:rsid w:val="6CC4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1308</Words>
  <Characters>1600</Characters>
  <Lines>0</Lines>
  <Paragraphs>0</Paragraphs>
  <TotalTime>27</TotalTime>
  <ScaleCrop>false</ScaleCrop>
  <LinksUpToDate>false</LinksUpToDate>
  <CharactersWithSpaces>1674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Rainie</cp:lastModifiedBy>
  <dcterms:modified xsi:type="dcterms:W3CDTF">2026-07-23T10:07:58Z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eyJoZGlkIjoiMTc3Mzk2ZmEzNjNiNDlmYmNlMTFiNWMyMDNmZmQxZDMiLCJ1c2VySWQiOiIxNjc0MDQxNzU3In0=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19DEEA76057A4D1987256BC5D4B0CBA9_12</vt:lpwstr>
  </property>
</Properties>
</file>