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F4E79"/>
          <w:sz w:val="52"/>
          <w:szCs w:val="52"/>
        </w:rPr>
        <w:t xml:space="preserve">ANTI-AGING SUPPLEMENTS</w:t>
      </w:r>
    </w:p>
    <w:p>
      <w:pPr>
        <w:spacing w:after="200"/>
        <w:jc w:val="center"/>
      </w:pPr>
      <w:r>
        <w:rPr>
          <w:rFonts w:ascii="Arial" w:cs="Arial" w:eastAsia="Arial" w:hAnsi="Arial"/>
          <w:color w:val="2E75B6"/>
          <w:sz w:val="36"/>
          <w:szCs w:val="36"/>
        </w:rPr>
        <w:t xml:space="preserve">Evidence-Based Research Review</w:t>
      </w:r>
    </w:p>
    <w:p>
      <w:pPr>
        <w:spacing w:after="400"/>
        <w:jc w:val="center"/>
      </w:pPr>
      <w:r>
        <w:rPr>
          <w:rFonts w:ascii="Arial" w:cs="Arial" w:eastAsia="Arial" w:hAnsi="Arial"/>
          <w:i/>
          <w:iCs/>
          <w:color w:val="666666"/>
          <w:sz w:val="24"/>
          <w:szCs w:val="24"/>
        </w:rPr>
        <w:t xml:space="preserve">Which Dietary Supplements Have Proven Life-Extension Effects?</w:t>
      </w:r>
    </w:p>
    <w:p>
      <w:pPr>
        <w:pBdr>
          <w:top w:val="single" w:color="2E75B6" w:sz="2" w:space="12"/>
        </w:pBdr>
        <w:spacing w:before="600" w:after="200"/>
        <w:jc w:val="center"/>
      </w:pPr>
      <w:r>
        <w:rPr>
          <w:rFonts w:ascii="Arial" w:cs="Arial" w:eastAsia="Arial" w:hAnsi="Arial"/>
          <w:color w:val="888888"/>
          <w:sz w:val="20"/>
          <w:szCs w:val="20"/>
        </w:rPr>
        <w:t xml:space="preserve">Compiled March 2026 • Based on peer-reviewed research through 2025</w:t>
      </w:r>
    </w:p>
    <w:p>
      <w:r>
        <w:br/>
        <w:t xml:space="preserve"/>
      </w:r>
    </w:p>
    <w:p>
      <w:pPr>
        <w:pStyle w:val="Heading1"/>
      </w:pPr>
      <w:r>
        <w:t xml:space="preserve">Executive Summary</w:t>
      </w:r>
    </w:p>
    <w:p>
      <w:pPr>
        <w:spacing w:after="160"/>
      </w:pPr>
      <w:r>
        <w:rPr>
          <w:rFonts w:ascii="Arial" w:cs="Arial" w:eastAsia="Arial" w:hAnsi="Arial"/>
          <w:sz w:val="22"/>
          <w:szCs w:val="22"/>
        </w:rPr>
        <w:t xml:space="preserve">This report provides a comprehensive, evidence-based analysis of dietary supplements that have demonstrated life-extension or healthspan-extending effects in scientific research. Each supplement is evaluated based on the strength of evidence from animal studies and human clinical trials. A critical distinction is maintained throughout: many supplements show strong results in animal models, but only a subset have compelling human data. No supplement has yet been proven in a large randomized controlled trial (RCT) to extend human lifespan. However, several show promising signals from cohort studies, smaller clinical trials, and robust preclinical evidence.</w:t>
      </w:r>
    </w:p>
    <w:p>
      <w:pPr>
        <w:spacing w:after="160"/>
      </w:pPr>
      <w:r>
        <w:rPr>
          <w:rFonts w:ascii="Arial" w:cs="Arial" w:eastAsia="Arial" w:hAnsi="Arial"/>
          <w:b/>
          <w:bCs/>
          <w:sz w:val="22"/>
          <w:szCs w:val="22"/>
        </w:rPr>
        <w:t xml:space="preserve">Important caveat: </w:t>
      </w:r>
      <w:r>
        <w:rPr>
          <w:rFonts w:ascii="Arial" w:cs="Arial" w:eastAsia="Arial" w:hAnsi="Arial"/>
          <w:sz w:val="22"/>
          <w:szCs w:val="22"/>
        </w:rPr>
        <w:t xml:space="preserve">As the US FDA stated in 2023, no medication has been proven to slow or reverse the aging process in humans. The supplements discussed here show varying degrees of promise, but readers should consult healthcare professionals before starting any supplementation regimen.</w:t>
      </w:r>
    </w:p>
    <w:p>
      <w:r>
        <w:br/>
        <w:t xml:space="preserve"/>
      </w:r>
    </w:p>
    <w:p>
      <w:pPr>
        <w:pStyle w:val="Heading1"/>
      </w:pPr>
      <w:r>
        <w:t xml:space="preserve">Summary of Evidence</w:t>
      </w:r>
    </w:p>
    <w:p>
      <w:pPr>
        <w:spacing w:after="160"/>
      </w:pPr>
      <w:r>
        <w:rPr>
          <w:rFonts w:ascii="Arial" w:cs="Arial" w:eastAsia="Arial" w:hAnsi="Arial"/>
          <w:sz w:val="22"/>
          <w:szCs w:val="22"/>
        </w:rPr>
        <w:t xml:space="preserve">The table below provides a quick-reference overview of the most studied longevity supplements, rated by the strength of their evidence base.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160"/>
        <w:gridCol w:w="2800"/>
        <w:gridCol w:w="140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Supplement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Evidence Level</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Mechanism</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Key Studies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Typical Dose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Rapamycin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Strong (animal)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mTOR inhibition, autophagy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Harrison et al. 2009 (Nature); NIA ITP multiple studies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Rx only; 1–6 mg/wk (off-label)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Spermidine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Strong (animal) + epidemiological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Autophagy induction, cardioprotection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Eisenberg et al. 2016 (Nat Med); Kiechl et al. 2018 (Am J Clin Nutr)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1–6 mg/day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Taurine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Strong (animal) + observational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Anti-senescence, DNA repair, mitochondrial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Singh et al. 2023 (Science)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1–3 g/day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NMN / NR (NAD+ boosters)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Moderate (early human trials)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NAD+ repletion, sirtuin activation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Yi et al. 2022 (GeroScience); Imai 2024 (bioRxiv)</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250–900 mg/day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Omega-3 (EPA/DHA)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Strong (epidemiological + RCTs)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Anti-inflammatory, cardiovascular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Harris et al. 2021 (Am J Clin Nutr); VITAL trial sub-analyses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1–4 g/day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Glucosamine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Moderate (epidemiological)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Anti-inflammatory, AMPK activation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Li et al. 2020 (Ann Rheum Dis); NHANES cohort 2020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1500 mg/day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Vitamin D3 + K2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Moderate (epidemiological)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Immune, bone, cardiovascular support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Multiple meta-analyses; VITAL trial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2000–5000 IU D3 + 100–200 µg K2</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Metformin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Moderate (observational)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AMPK activation, CR mimetic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Bannister et al. 2014 (Diabetes Obes Metab); TAME trial ongoing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Rx only; 500–1500 mg/day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Resveratrol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Weak (failed in ITP mice)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SIRT1 activation (disputed)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ITP negative; French Paradox observational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250–1000 mg/day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Fisetin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Early (small pilot)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Senolytic, NF-κB inhibition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2024 pilot study in adults &gt;50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100–500 mg intermittently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Creatine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Moderate (healthspan)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Brain energy, muscle preservation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Multiple RCTs on cognition and sarcopenia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3–5 g/day</w:t>
            </w:r>
          </w:p>
        </w:tc>
      </w:tr>
    </w:tbl>
    <w:p>
      <w:pPr>
        <w:spacing w:before="120" w:after="120"/>
      </w:pPr>
    </w:p>
    <w:p>
      <w:r>
        <w:br/>
        <w:t xml:space="preserve"/>
      </w:r>
    </w:p>
    <w:p>
      <w:pPr>
        <w:pStyle w:val="Heading1"/>
      </w:pPr>
      <w:r>
        <w:t xml:space="preserve">Tier 1: Strongest Animal Evidence for Lifespan Extension</w:t>
      </w:r>
    </w:p>
    <w:p>
      <w:pPr>
        <w:pStyle w:val="Heading2"/>
      </w:pPr>
      <w:r>
        <w:t xml:space="preserve">1. Rapamycin (mTOR Inhibitor)</w:t>
      </w:r>
    </w:p>
    <w:p>
      <w:pPr>
        <w:spacing w:after="160"/>
      </w:pPr>
      <w:r>
        <w:rPr>
          <w:rFonts w:ascii="Arial" w:cs="Arial" w:eastAsia="Arial" w:hAnsi="Arial"/>
          <w:sz w:val="22"/>
          <w:szCs w:val="22"/>
        </w:rPr>
        <w:t xml:space="preserve">Rapamycin is widely considered the most robustly validated pharmacological life-extension compound in mammals. Originally approved as an immunosuppressant for organ transplant patients, it inhibits the mTORC1 pathway, which regulates cell growth and metabolism. Its activity increases with age and contributes to age-related pathologies.</w:t>
      </w:r>
    </w:p>
    <w:p>
      <w:pPr>
        <w:spacing w:after="160"/>
      </w:pPr>
      <w:r>
        <w:rPr>
          <w:rFonts w:ascii="Arial" w:cs="Arial" w:eastAsia="Arial" w:hAnsi="Arial"/>
          <w:b/>
          <w:bCs/>
          <w:sz w:val="22"/>
          <w:szCs w:val="22"/>
        </w:rPr>
        <w:t xml:space="preserve">Animal evidence: </w:t>
      </w:r>
      <w:r>
        <w:rPr>
          <w:rFonts w:ascii="Arial" w:cs="Arial" w:eastAsia="Arial" w:hAnsi="Arial"/>
          <w:sz w:val="22"/>
          <w:szCs w:val="22"/>
        </w:rPr>
        <w:t xml:space="preserve">The landmark 2009 study by Harrison et al. in Nature demonstrated that rapamycin initiated in middle-aged mice extended median lifespan by 9–14%. This was replicated across multiple sites in the NIA Interventions Testing Program (ITP), the gold standard for longevity drug testing. A 2022 study showed that even transient rapamycin treatment during development extended lifespan in male mice. A 2025 study in Nature Aging found that combining rapamycin with trametinib (a MEK inhibitor) produced additive lifespan and healthspan benefits in mice.</w:t>
      </w:r>
    </w:p>
    <w:p>
      <w:pPr>
        <w:spacing w:after="160"/>
      </w:pPr>
      <w:r>
        <w:rPr>
          <w:rFonts w:ascii="Arial" w:cs="Arial" w:eastAsia="Arial" w:hAnsi="Arial"/>
          <w:b/>
          <w:bCs/>
          <w:sz w:val="22"/>
          <w:szCs w:val="22"/>
        </w:rPr>
        <w:t xml:space="preserve">Human evidence: </w:t>
      </w:r>
      <w:r>
        <w:rPr>
          <w:rFonts w:ascii="Arial" w:cs="Arial" w:eastAsia="Arial" w:hAnsi="Arial"/>
          <w:sz w:val="22"/>
          <w:szCs w:val="22"/>
        </w:rPr>
        <w:t xml:space="preserve">Translation to humans remains uncertain. Early clinical studies by Mannick et al. (2014) showed short-term rapamycin analogs may improve immune function in older adults, measured by vaccine response. However, long-term human data on aging outcomes do not yet exist. Side effects in clinical use include glucose intolerance, hyperlipidemia, and immunosuppression, making off-label use controversial.</w:t>
      </w:r>
    </w:p>
    <w:p>
      <w:pPr>
        <w:spacing w:after="160"/>
      </w:pPr>
      <w:r>
        <w:rPr>
          <w:rFonts w:ascii="Arial" w:cs="Arial" w:eastAsia="Arial" w:hAnsi="Arial"/>
          <w:b/>
          <w:bCs/>
          <w:sz w:val="22"/>
          <w:szCs w:val="22"/>
        </w:rPr>
        <w:t xml:space="preserve">Key references: </w:t>
      </w:r>
      <w:r>
        <w:rPr>
          <w:rFonts w:ascii="Arial" w:cs="Arial" w:eastAsia="Arial" w:hAnsi="Arial"/>
          <w:sz w:val="22"/>
          <w:szCs w:val="22"/>
        </w:rPr>
        <w:t xml:space="preserve">Harrison DE et al. “Rapamycin fed late in life extends lifespan in genetically heterogeneous mice.” Nature. 2009;460:392–395. | Gkioni L et al. Nature Aging. 2025;5(7):1249–1265. | Mannick JB et al. Sci Transl Med. 2014.</w:t>
      </w:r>
    </w:p>
    <w:p>
      <w:pPr>
        <w:spacing w:after="160"/>
      </w:pPr>
      <w:r>
        <w:rPr>
          <w:rFonts w:ascii="Arial" w:cs="Arial" w:eastAsia="Arial" w:hAnsi="Arial"/>
          <w:b/>
          <w:bCs/>
          <w:sz w:val="22"/>
          <w:szCs w:val="22"/>
        </w:rPr>
        <w:t xml:space="preserve">Note: </w:t>
      </w:r>
      <w:r>
        <w:rPr>
          <w:rFonts w:ascii="Arial" w:cs="Arial" w:eastAsia="Arial" w:hAnsi="Arial"/>
          <w:sz w:val="22"/>
          <w:szCs w:val="22"/>
        </w:rPr>
        <w:t xml:space="preserve">Rapamycin is a prescription drug, not a dietary supplement. It is included here because it is the benchmark against which supplements are compared.</w:t>
      </w:r>
    </w:p>
    <w:p>
      <w:pPr>
        <w:spacing w:before="120" w:after="120"/>
      </w:pPr>
    </w:p>
    <w:p>
      <w:pPr>
        <w:pStyle w:val="Heading2"/>
      </w:pPr>
      <w:r>
        <w:t xml:space="preserve">2. Spermidine</w:t>
      </w:r>
    </w:p>
    <w:p>
      <w:pPr>
        <w:spacing w:after="160"/>
      </w:pPr>
      <w:r>
        <w:rPr>
          <w:rFonts w:ascii="Arial" w:cs="Arial" w:eastAsia="Arial" w:hAnsi="Arial"/>
          <w:sz w:val="22"/>
          <w:szCs w:val="22"/>
        </w:rPr>
        <w:t xml:space="preserve">Spermidine is a naturally occurring polyamine found in wheat germ, soybeans, mushrooms, and aged cheese. It is one of the most consistent life-extension compounds across species, working primarily through autophagy induction — the cellular cleanup process that degrades damaged proteins and organelles.</w:t>
      </w:r>
    </w:p>
    <w:p>
      <w:pPr>
        <w:spacing w:after="160"/>
      </w:pPr>
      <w:r>
        <w:rPr>
          <w:rFonts w:ascii="Arial" w:cs="Arial" w:eastAsia="Arial" w:hAnsi="Arial"/>
          <w:b/>
          <w:bCs/>
          <w:sz w:val="22"/>
          <w:szCs w:val="22"/>
        </w:rPr>
        <w:t xml:space="preserve">Animal evidence: </w:t>
      </w:r>
      <w:r>
        <w:rPr>
          <w:rFonts w:ascii="Arial" w:cs="Arial" w:eastAsia="Arial" w:hAnsi="Arial"/>
          <w:sz w:val="22"/>
          <w:szCs w:val="22"/>
        </w:rPr>
        <w:t xml:space="preserve">Spermidine supplementation extends lifespan in yeast, nematodes, flies, and mice. In mice, it confers significant cardioprotection, reducing age-related cardiac hypertrophy, diastolic dysfunction, and ventricular stiffness independently of blood pressure, lipids, or metabolic changes (Eisenberg et al., Nature Medicine, 2016). A 2024 study published in Nature Cell Biology demonstrated that spermidine is essential for fasting-mediated autophagy and longevity, and that even rapamycin’s lifespan extension depends on functional spermidine metabolism.</w:t>
      </w:r>
    </w:p>
    <w:p>
      <w:pPr>
        <w:spacing w:after="160"/>
      </w:pPr>
      <w:r>
        <w:rPr>
          <w:rFonts w:ascii="Arial" w:cs="Arial" w:eastAsia="Arial" w:hAnsi="Arial"/>
          <w:b/>
          <w:bCs/>
          <w:sz w:val="22"/>
          <w:szCs w:val="22"/>
        </w:rPr>
        <w:t xml:space="preserve">Human evidence: </w:t>
      </w:r>
      <w:r>
        <w:rPr>
          <w:rFonts w:ascii="Arial" w:cs="Arial" w:eastAsia="Arial" w:hAnsi="Arial"/>
          <w:sz w:val="22"/>
          <w:szCs w:val="22"/>
        </w:rPr>
        <w:t xml:space="preserve">Two large independent epidemiological cohorts have shown that higher dietary spermidine intake is associated with significantly reduced all-cause mortality, particularly from cardiovascular disease and cancer (Kiechl et al., Am J Clin Nutr, 2018). Spermidine blood levels have been found to be elevated in centenarians. However, large-scale RCTs specifically measuring lifespan are lacking.</w:t>
      </w:r>
    </w:p>
    <w:p>
      <w:pPr>
        <w:spacing w:after="160"/>
      </w:pPr>
      <w:r>
        <w:rPr>
          <w:rFonts w:ascii="Arial" w:cs="Arial" w:eastAsia="Arial" w:hAnsi="Arial"/>
          <w:b/>
          <w:bCs/>
          <w:sz w:val="22"/>
          <w:szCs w:val="22"/>
        </w:rPr>
        <w:t xml:space="preserve">Key references: </w:t>
      </w:r>
      <w:r>
        <w:rPr>
          <w:rFonts w:ascii="Arial" w:cs="Arial" w:eastAsia="Arial" w:hAnsi="Arial"/>
          <w:sz w:val="22"/>
          <w:szCs w:val="22"/>
        </w:rPr>
        <w:t xml:space="preserve">Eisenberg T et al. “Cardioprotection and lifespan extension by the natural polyamine spermidine.” Nat Med. 2016;22(12):1428–1438. | Hofer SJ et al. “Spermidine is essential for fasting-mediated autophagy and longevity.” Nat Cell Biol. 2024. | Kiechl S et al. Am J Clin Nutr. 2018;108(2):371–380.</w:t>
      </w:r>
    </w:p>
    <w:p>
      <w:pPr>
        <w:spacing w:before="120" w:after="120"/>
      </w:pPr>
    </w:p>
    <w:p>
      <w:pPr>
        <w:pStyle w:val="Heading2"/>
      </w:pPr>
      <w:r>
        <w:t xml:space="preserve">3. Taurine</w:t>
      </w:r>
    </w:p>
    <w:p>
      <w:pPr>
        <w:spacing w:after="160"/>
      </w:pPr>
      <w:r>
        <w:rPr>
          <w:rFonts w:ascii="Arial" w:cs="Arial" w:eastAsia="Arial" w:hAnsi="Arial"/>
          <w:sz w:val="22"/>
          <w:szCs w:val="22"/>
        </w:rPr>
        <w:t xml:space="preserve">Taurine is a semi-essential amino acid abundantly present in animal tissues and found in meat, fish, and dairy. It is also a common ingredient in energy drinks. A groundbreaking 2023 study in Science brought taurine to the forefront of aging research.</w:t>
      </w:r>
    </w:p>
    <w:p>
      <w:pPr>
        <w:spacing w:after="160"/>
      </w:pPr>
      <w:r>
        <w:rPr>
          <w:rFonts w:ascii="Arial" w:cs="Arial" w:eastAsia="Arial" w:hAnsi="Arial"/>
          <w:b/>
          <w:bCs/>
          <w:sz w:val="22"/>
          <w:szCs w:val="22"/>
        </w:rPr>
        <w:t xml:space="preserve">Animal evidence: </w:t>
      </w:r>
      <w:r>
        <w:rPr>
          <w:rFonts w:ascii="Arial" w:cs="Arial" w:eastAsia="Arial" w:hAnsi="Arial"/>
          <w:sz w:val="22"/>
          <w:szCs w:val="22"/>
        </w:rPr>
        <w:t xml:space="preserve">Singh et al. (Science, 2023) demonstrated that circulating taurine levels decline dramatically with age across mice, monkeys, and humans — by approximately 80% over the human lifespan. When middle-aged mice were supplemented with taurine, median lifespan increased by 10–12%, and life expectancy at 28 months rose by 18–25%. Taurine also extended lifespan in C. elegans worms in a dose-dependent manner. In monkeys, taurine supplementation improved healthspan markers including bone density, metabolic function, and immune parameters.</w:t>
      </w:r>
    </w:p>
    <w:p>
      <w:pPr>
        <w:spacing w:after="160"/>
      </w:pPr>
      <w:r>
        <w:rPr>
          <w:rFonts w:ascii="Arial" w:cs="Arial" w:eastAsia="Arial" w:hAnsi="Arial"/>
          <w:b/>
          <w:bCs/>
          <w:sz w:val="22"/>
          <w:szCs w:val="22"/>
        </w:rPr>
        <w:t xml:space="preserve">Mechanistically, </w:t>
      </w:r>
      <w:r>
        <w:rPr>
          <w:rFonts w:ascii="Arial" w:cs="Arial" w:eastAsia="Arial" w:hAnsi="Arial"/>
          <w:sz w:val="22"/>
          <w:szCs w:val="22"/>
        </w:rPr>
        <w:t xml:space="preserve">taurine reduced cellular senescence, protected against telomerase deficiency, suppressed mitochondrial dysfunction, decreased DNA damage, and attenuated chronic low-grade inflammation (“inflammaging”).</w:t>
      </w:r>
    </w:p>
    <w:p>
      <w:pPr>
        <w:spacing w:after="160"/>
      </w:pPr>
      <w:r>
        <w:rPr>
          <w:rFonts w:ascii="Arial" w:cs="Arial" w:eastAsia="Arial" w:hAnsi="Arial"/>
          <w:b/>
          <w:bCs/>
          <w:sz w:val="22"/>
          <w:szCs w:val="22"/>
        </w:rPr>
        <w:t xml:space="preserve">Human evidence: </w:t>
      </w:r>
      <w:r>
        <w:rPr>
          <w:rFonts w:ascii="Arial" w:cs="Arial" w:eastAsia="Arial" w:hAnsi="Arial"/>
          <w:sz w:val="22"/>
          <w:szCs w:val="22"/>
        </w:rPr>
        <w:t xml:space="preserve">In the EPIC-Norfolk cohort of nearly 12,000 subjects, lower taurine levels correlated with multiple age-related diseases including obesity, hypertension, and type 2 diabetes. Taurine concentrations also increased after acute endurance exercise, suggesting exercise may partially mediate its benefits. However, a 2025 study by Marcangeli et al. (Aging Cell) found no clear association between circulating taurine levels and age, muscle mass, strength, or mitochondrial function in a human cohort, challenging the direct translatability of the mouse findings. Clinical trials specifically testing taurine for lifespan extension in humans have been called for but are not yet completed.</w:t>
      </w:r>
    </w:p>
    <w:p>
      <w:pPr>
        <w:spacing w:after="160"/>
      </w:pPr>
      <w:r>
        <w:rPr>
          <w:rFonts w:ascii="Arial" w:cs="Arial" w:eastAsia="Arial" w:hAnsi="Arial"/>
          <w:b/>
          <w:bCs/>
          <w:sz w:val="22"/>
          <w:szCs w:val="22"/>
        </w:rPr>
        <w:t xml:space="preserve">Key references: </w:t>
      </w:r>
      <w:r>
        <w:rPr>
          <w:rFonts w:ascii="Arial" w:cs="Arial" w:eastAsia="Arial" w:hAnsi="Arial"/>
          <w:sz w:val="22"/>
          <w:szCs w:val="22"/>
        </w:rPr>
        <w:t xml:space="preserve">Singh P et al. “Taurine deficiency as a driver of aging.” Science. 2023;380(6649):eabn9257. | Marcangeli V et al. “Experimental evidence against taurine deficiency as a driver of aging in humans.” Aging Cell. 2025.</w:t>
      </w:r>
    </w:p>
    <w:p>
      <w:r>
        <w:br/>
        <w:t xml:space="preserve"/>
      </w:r>
    </w:p>
    <w:p>
      <w:pPr>
        <w:pStyle w:val="Heading1"/>
      </w:pPr>
      <w:r>
        <w:t xml:space="preserve">Tier 2: Promising Human Evidence (Clinical Trials and Large Cohort Studies)</w:t>
      </w:r>
    </w:p>
    <w:p>
      <w:pPr>
        <w:pStyle w:val="Heading2"/>
      </w:pPr>
      <w:r>
        <w:t xml:space="preserve">4. NMN and NR (NAD+ Precursors)</w:t>
      </w:r>
    </w:p>
    <w:p>
      <w:pPr>
        <w:spacing w:after="160"/>
      </w:pPr>
      <w:r>
        <w:rPr>
          <w:rFonts w:ascii="Arial" w:cs="Arial" w:eastAsia="Arial" w:hAnsi="Arial"/>
          <w:sz w:val="22"/>
          <w:szCs w:val="22"/>
        </w:rPr>
        <w:t xml:space="preserve">Nicotinamide mononucleotide (NMN) and nicotinamide riboside (NR) are precursors to NAD+ (nicotinamide adenine dinucleotide), a coenzyme essential for energy metabolism, DNA repair, and sirtuin activity. NAD+ levels decline by approximately 50% in some tissues by middle age.</w:t>
      </w:r>
    </w:p>
    <w:p>
      <w:pPr>
        <w:spacing w:after="160"/>
      </w:pPr>
      <w:r>
        <w:rPr>
          <w:rFonts w:ascii="Arial" w:cs="Arial" w:eastAsia="Arial" w:hAnsi="Arial"/>
          <w:b/>
          <w:bCs/>
          <w:sz w:val="22"/>
          <w:szCs w:val="22"/>
        </w:rPr>
        <w:t xml:space="preserve">Animal evidence: </w:t>
      </w:r>
      <w:r>
        <w:rPr>
          <w:rFonts w:ascii="Arial" w:cs="Arial" w:eastAsia="Arial" w:hAnsi="Arial"/>
          <w:sz w:val="22"/>
          <w:szCs w:val="22"/>
        </w:rPr>
        <w:t xml:space="preserve">NMN supplementation in mice restores NAD+ levels, enhances mitochondrial function, improves insulin sensitivity, and reverses aspects of age-related decline. A 2024 bioRxiv preprint from David Sinclair’s lab reported that long-term NMN treatment increased lifespan in female mice and delayed frailty in both sexes, with associated improvements in gut microbiome health.</w:t>
      </w:r>
    </w:p>
    <w:p>
      <w:pPr>
        <w:spacing w:after="160"/>
      </w:pPr>
      <w:r>
        <w:rPr>
          <w:rFonts w:ascii="Arial" w:cs="Arial" w:eastAsia="Arial" w:hAnsi="Arial"/>
          <w:b/>
          <w:bCs/>
          <w:sz w:val="22"/>
          <w:szCs w:val="22"/>
        </w:rPr>
        <w:t xml:space="preserve">Human clinical trials: </w:t>
      </w:r>
      <w:r>
        <w:rPr>
          <w:rFonts w:ascii="Arial" w:cs="Arial" w:eastAsia="Arial" w:hAnsi="Arial"/>
          <w:sz w:val="22"/>
          <w:szCs w:val="22"/>
        </w:rPr>
        <w:t xml:space="preserve">A randomized, multicenter, double-blind, placebo-controlled trial (Yi et al., GeroScience, 2022) involving 80 healthy middle-aged adults showed that NMN at 300–900 mg/day safely and significantly increased blood NAD+ levels over 60 days. Biological age (measured by Aging.Ai 3.0) increased in the placebo group but stayed unchanged in NMN groups. Physical performance (6-minute walking test) improved most at 600 mg/day. A Japanese trial (Imai et al., 2022) in men 65+ found NMN at 250 mg/day for 12 weeks safely elevated NAD+ metabolites with nominal improvements in gait speed and grip strength. A 2023 trial showed NMN reduced arterial stiffness, cholesterol, body weight, and diastolic blood pressure.</w:t>
      </w:r>
    </w:p>
    <w:p>
      <w:pPr>
        <w:spacing w:after="160"/>
      </w:pPr>
      <w:r>
        <w:rPr>
          <w:rFonts w:ascii="Arial" w:cs="Arial" w:eastAsia="Arial" w:hAnsi="Arial"/>
          <w:b/>
          <w:bCs/>
          <w:sz w:val="22"/>
          <w:szCs w:val="22"/>
        </w:rPr>
        <w:t xml:space="preserve">Limitations: </w:t>
      </w:r>
      <w:r>
        <w:rPr>
          <w:rFonts w:ascii="Arial" w:cs="Arial" w:eastAsia="Arial" w:hAnsi="Arial"/>
          <w:sz w:val="22"/>
          <w:szCs w:val="22"/>
        </w:rPr>
        <w:t xml:space="preserve">While NMN reliably raises NAD+ by 130–150%, short-term human studies have shown minimal improvements in cognition, vascular function, or muscle performance. Study size, duration, and dosing remain key limitations. No human lifespan study has been conducted.</w:t>
      </w:r>
    </w:p>
    <w:p>
      <w:pPr>
        <w:spacing w:after="160"/>
      </w:pPr>
      <w:r>
        <w:rPr>
          <w:rFonts w:ascii="Arial" w:cs="Arial" w:eastAsia="Arial" w:hAnsi="Arial"/>
          <w:b/>
          <w:bCs/>
          <w:sz w:val="22"/>
          <w:szCs w:val="22"/>
        </w:rPr>
        <w:t xml:space="preserve">Key references: </w:t>
      </w:r>
      <w:r>
        <w:rPr>
          <w:rFonts w:ascii="Arial" w:cs="Arial" w:eastAsia="Arial" w:hAnsi="Arial"/>
          <w:sz w:val="22"/>
          <w:szCs w:val="22"/>
        </w:rPr>
        <w:t xml:space="preserve">Yi L et al. “The efficacy and safety of β-NMN supplementation in healthy middle-aged adults.” GeroScience. 2022. | Imai SI et al. “Chronic NMN supplementation elevates blood NAD+ levels and alters muscle function in healthy older men.” NPJ Aging. 2022. | Sinclair lab, bioRxiv. 2024.</w:t>
      </w:r>
    </w:p>
    <w:p>
      <w:pPr>
        <w:spacing w:before="120" w:after="120"/>
      </w:pPr>
    </w:p>
    <w:p>
      <w:pPr>
        <w:pStyle w:val="Heading2"/>
      </w:pPr>
      <w:r>
        <w:t xml:space="preserve">5. Omega-3 Fatty Acids (EPA / DHA)</w:t>
      </w:r>
    </w:p>
    <w:p>
      <w:pPr>
        <w:spacing w:after="160"/>
      </w:pPr>
      <w:r>
        <w:rPr>
          <w:rFonts w:ascii="Arial" w:cs="Arial" w:eastAsia="Arial" w:hAnsi="Arial"/>
          <w:sz w:val="22"/>
          <w:szCs w:val="22"/>
        </w:rPr>
        <w:t xml:space="preserve">Omega-3 fatty acids, particularly EPA and DHA from marine sources, are among the most extensively studied supplements for human health and longevity.</w:t>
      </w:r>
    </w:p>
    <w:p>
      <w:pPr>
        <w:spacing w:after="160"/>
      </w:pPr>
      <w:r>
        <w:rPr>
          <w:rFonts w:ascii="Arial" w:cs="Arial" w:eastAsia="Arial" w:hAnsi="Arial"/>
          <w:b/>
          <w:bCs/>
          <w:sz w:val="22"/>
          <w:szCs w:val="22"/>
        </w:rPr>
        <w:t xml:space="preserve">Evidence for life extension: </w:t>
      </w:r>
      <w:r>
        <w:rPr>
          <w:rFonts w:ascii="Arial" w:cs="Arial" w:eastAsia="Arial" w:hAnsi="Arial"/>
          <w:sz w:val="22"/>
          <w:szCs w:val="22"/>
        </w:rPr>
        <w:t xml:space="preserve">A 2021 study in the American Journal of Clinical Nutrition (Harris et al.) found that higher blood omega-3 levels were associated with a 4.7-year increase in life expectancy, with omega-3 status being as strong a predictor of mortality risk as smoking. A meta-analysis of 17 prospective studies confirmed that higher circulating omega-3 levels are associated with an 18% reduction in all-cause mortality. A further meta-analysis of 38 RCTs demonstrated reduced cardiovascular mortality, heart attacks, and coronary heart disease with omega-3 supplementation.</w:t>
      </w:r>
    </w:p>
    <w:p>
      <w:pPr>
        <w:spacing w:after="160"/>
      </w:pPr>
      <w:r>
        <w:rPr>
          <w:rFonts w:ascii="Arial" w:cs="Arial" w:eastAsia="Arial" w:hAnsi="Arial"/>
          <w:b/>
          <w:bCs/>
          <w:sz w:val="22"/>
          <w:szCs w:val="22"/>
        </w:rPr>
        <w:t xml:space="preserve">Epigenetic aging: </w:t>
      </w:r>
      <w:r>
        <w:rPr>
          <w:rFonts w:ascii="Arial" w:cs="Arial" w:eastAsia="Arial" w:hAnsi="Arial"/>
          <w:sz w:val="22"/>
          <w:szCs w:val="22"/>
        </w:rPr>
        <w:t xml:space="preserve">Sub-analyses from the VITAL trial (25,871 participants) and related studies showed that omega-3 supplementation reduced biological age as measured by the PhenoAge and GrimAge2 epigenetic clocks, with additive benefits when combined with vitamin D and exercise.</w:t>
      </w:r>
    </w:p>
    <w:p>
      <w:pPr>
        <w:spacing w:after="160"/>
      </w:pPr>
      <w:r>
        <w:rPr>
          <w:rFonts w:ascii="Arial" w:cs="Arial" w:eastAsia="Arial" w:hAnsi="Arial"/>
          <w:b/>
          <w:bCs/>
          <w:sz w:val="22"/>
          <w:szCs w:val="22"/>
        </w:rPr>
        <w:t xml:space="preserve">Key references: </w:t>
      </w:r>
      <w:r>
        <w:rPr>
          <w:rFonts w:ascii="Arial" w:cs="Arial" w:eastAsia="Arial" w:hAnsi="Arial"/>
          <w:sz w:val="22"/>
          <w:szCs w:val="22"/>
        </w:rPr>
        <w:t xml:space="preserve">Harris WS et al. Am J Clin Nutr. 2021. | McBurney MI et al. “Using an erythrocyte fatty acid fingerprint to predict risk of all-cause mortality.” Am J Clin Nutr. 2021. | Bischoff-Ferrari HA et al. (VITAL/DO-HEALTH sub-analyses).</w:t>
      </w:r>
    </w:p>
    <w:p>
      <w:pPr>
        <w:spacing w:before="120" w:after="120"/>
      </w:pPr>
    </w:p>
    <w:p>
      <w:pPr>
        <w:pStyle w:val="Heading2"/>
      </w:pPr>
      <w:r>
        <w:t xml:space="preserve">6. Glucosamine</w:t>
      </w:r>
    </w:p>
    <w:p>
      <w:pPr>
        <w:spacing w:after="160"/>
      </w:pPr>
      <w:r>
        <w:rPr>
          <w:rFonts w:ascii="Arial" w:cs="Arial" w:eastAsia="Arial" w:hAnsi="Arial"/>
          <w:sz w:val="22"/>
          <w:szCs w:val="22"/>
        </w:rPr>
        <w:t xml:space="preserve">Glucosamine, commonly used for joint health, has emerged as a surprisingly promising longevity-associated supplement based on multiple large observational studies.</w:t>
      </w:r>
    </w:p>
    <w:p>
      <w:pPr>
        <w:spacing w:after="160"/>
      </w:pPr>
      <w:r>
        <w:rPr>
          <w:rFonts w:ascii="Arial" w:cs="Arial" w:eastAsia="Arial" w:hAnsi="Arial"/>
          <w:b/>
          <w:bCs/>
          <w:sz w:val="22"/>
          <w:szCs w:val="22"/>
        </w:rPr>
        <w:t xml:space="preserve">Epidemiological evidence: </w:t>
      </w:r>
      <w:r>
        <w:rPr>
          <w:rFonts w:ascii="Arial" w:cs="Arial" w:eastAsia="Arial" w:hAnsi="Arial"/>
          <w:sz w:val="22"/>
          <w:szCs w:val="22"/>
        </w:rPr>
        <w:t xml:space="preserve">A UK Biobank study of 495,077 participants (Li et al., Ann Rheum Dis, 2020) found that regular glucosamine use was associated with 15% lower all-cause mortality, 18% lower CVD mortality, 27% lower respiratory mortality, and 26% lower digestive disease mortality over 8.9 years of follow-up. A US NHANES cohort study (King &amp; Xiang, 2020) found that glucosamine/chondroitin users of one year or more had 27% lower all-cause mortality and 58% lower cardiovascular mortality after multivariable adjustment. A 2025 UK Biobank propensity-matched study found glucosamine use associated with 8–27% lower risk of seven age-related chronic diseases.</w:t>
      </w:r>
    </w:p>
    <w:p>
      <w:pPr>
        <w:spacing w:after="160"/>
      </w:pPr>
      <w:r>
        <w:rPr>
          <w:rFonts w:ascii="Arial" w:cs="Arial" w:eastAsia="Arial" w:hAnsi="Arial"/>
          <w:b/>
          <w:bCs/>
          <w:sz w:val="22"/>
          <w:szCs w:val="22"/>
        </w:rPr>
        <w:t xml:space="preserve">Proposed mechanism: </w:t>
      </w:r>
      <w:r>
        <w:rPr>
          <w:rFonts w:ascii="Arial" w:cs="Arial" w:eastAsia="Arial" w:hAnsi="Arial"/>
          <w:sz w:val="22"/>
          <w:szCs w:val="22"/>
        </w:rPr>
        <w:t xml:space="preserve">Glucosamine may mimic caloric restriction by impairing glucose metabolism and activating AMPK, a key energy-sensing enzyme. It also exhibits anti-inflammatory properties through NF-κB inhibition.</w:t>
      </w:r>
    </w:p>
    <w:p>
      <w:pPr>
        <w:spacing w:after="160"/>
      </w:pPr>
      <w:r>
        <w:rPr>
          <w:rFonts w:ascii="Arial" w:cs="Arial" w:eastAsia="Arial" w:hAnsi="Arial"/>
          <w:b/>
          <w:bCs/>
          <w:sz w:val="22"/>
          <w:szCs w:val="22"/>
        </w:rPr>
        <w:t xml:space="preserve">Important caveat: </w:t>
      </w:r>
      <w:r>
        <w:rPr>
          <w:rFonts w:ascii="Arial" w:cs="Arial" w:eastAsia="Arial" w:hAnsi="Arial"/>
          <w:sz w:val="22"/>
          <w:szCs w:val="22"/>
        </w:rPr>
        <w:t xml:space="preserve">A 2022 analysis by Suissa (Pharmacoepidemiology and Drug Safety) demonstrated that all 11 observational studies on glucosamine used prevalent cohort designs susceptible to selection bias from collider stratification. The 16% average mortality reduction may be partially or fully explained by this bias. No RCT has tested glucosamine for longevity.</w:t>
      </w:r>
    </w:p>
    <w:p>
      <w:pPr>
        <w:spacing w:after="160"/>
      </w:pPr>
      <w:r>
        <w:rPr>
          <w:rFonts w:ascii="Arial" w:cs="Arial" w:eastAsia="Arial" w:hAnsi="Arial"/>
          <w:b/>
          <w:bCs/>
          <w:sz w:val="22"/>
          <w:szCs w:val="22"/>
        </w:rPr>
        <w:t xml:space="preserve">Key references: </w:t>
      </w:r>
      <w:r>
        <w:rPr>
          <w:rFonts w:ascii="Arial" w:cs="Arial" w:eastAsia="Arial" w:hAnsi="Arial"/>
          <w:sz w:val="22"/>
          <w:szCs w:val="22"/>
        </w:rPr>
        <w:t xml:space="preserve">Li ZH et al. Ann Rheum Dis. 2020;79(6):829–836. | King DE &amp; Xiang J. J Am Board Fam Med. 2020;33:842–847. | Suissa S. Pharmacoepidemiol Drug Saf. 2022;31(12):1360–1365.</w:t>
      </w:r>
    </w:p>
    <w:p>
      <w:pPr>
        <w:spacing w:before="120" w:after="120"/>
      </w:pPr>
    </w:p>
    <w:p>
      <w:pPr>
        <w:pStyle w:val="Heading2"/>
      </w:pPr>
      <w:r>
        <w:t xml:space="preserve">7. Vitamin D3 (+ K2)</w:t>
      </w:r>
    </w:p>
    <w:p>
      <w:pPr>
        <w:spacing w:after="160"/>
      </w:pPr>
      <w:r>
        <w:rPr>
          <w:rFonts w:ascii="Arial" w:cs="Arial" w:eastAsia="Arial" w:hAnsi="Arial"/>
          <w:sz w:val="22"/>
          <w:szCs w:val="22"/>
        </w:rPr>
        <w:t xml:space="preserve">Vitamin D deficiency is associated with increased mortality in observational studies, and the vitamin D receptor is expressed across tissues throughout the body, mediating anti-inflammatory, antiproliferative, and immunomodulatory effects.</w:t>
      </w:r>
    </w:p>
    <w:p>
      <w:pPr>
        <w:spacing w:after="160"/>
      </w:pPr>
      <w:r>
        <w:rPr>
          <w:rFonts w:ascii="Arial" w:cs="Arial" w:eastAsia="Arial" w:hAnsi="Arial"/>
          <w:b/>
          <w:bCs/>
          <w:sz w:val="22"/>
          <w:szCs w:val="22"/>
        </w:rPr>
        <w:t xml:space="preserve">Evidence: </w:t>
      </w:r>
      <w:r>
        <w:rPr>
          <w:rFonts w:ascii="Arial" w:cs="Arial" w:eastAsia="Arial" w:hAnsi="Arial"/>
          <w:sz w:val="22"/>
          <w:szCs w:val="22"/>
        </w:rPr>
        <w:t xml:space="preserve">Meta-analyses of observational studies consistently associate low vitamin D status with increased all-cause mortality. However, the large VITAL trial (25,871 participants, median 5.3 years follow-up) found no mortality benefit from vitamin D3 supplementation — though only 12.7% of participants had deficient baseline levels, suggesting the benefit may be limited to those who are deficient. Sub-analyses combining omega-3, vitamin D, and exercise showed additive reductions in epigenetic aging. Vitamin K2 is often co-supplemented to direct calcium away from arteries and toward bones.</w:t>
      </w:r>
    </w:p>
    <w:p>
      <w:pPr>
        <w:spacing w:after="160"/>
      </w:pPr>
      <w:r>
        <w:rPr>
          <w:rFonts w:ascii="Arial" w:cs="Arial" w:eastAsia="Arial" w:hAnsi="Arial"/>
          <w:b/>
          <w:bCs/>
          <w:sz w:val="22"/>
          <w:szCs w:val="22"/>
        </w:rPr>
        <w:t xml:space="preserve">Key references: </w:t>
      </w:r>
      <w:r>
        <w:rPr>
          <w:rFonts w:ascii="Arial" w:cs="Arial" w:eastAsia="Arial" w:hAnsi="Arial"/>
          <w:sz w:val="22"/>
          <w:szCs w:val="22"/>
        </w:rPr>
        <w:t xml:space="preserve">Manson JE et al. VITAL trial, NEJM. 2019. | Bischoff-Ferrari HA et al. (DO-HEALTH). | Multiple meta-analyses reviewed in PMC6388383.</w:t>
      </w:r>
    </w:p>
    <w:p>
      <w:r>
        <w:br/>
        <w:t xml:space="preserve"/>
      </w:r>
    </w:p>
    <w:p>
      <w:pPr>
        <w:pStyle w:val="Heading1"/>
      </w:pPr>
      <w:r>
        <w:t xml:space="preserve">Tier 3: Promising Preclinical Evidence, Limited or Mixed Human Data</w:t>
      </w:r>
    </w:p>
    <w:p>
      <w:pPr>
        <w:pStyle w:val="Heading2"/>
      </w:pPr>
      <w:r>
        <w:t xml:space="preserve">8. Metformin</w:t>
      </w:r>
    </w:p>
    <w:p>
      <w:pPr>
        <w:spacing w:after="160"/>
      </w:pPr>
      <w:r>
        <w:rPr>
          <w:rFonts w:ascii="Arial" w:cs="Arial" w:eastAsia="Arial" w:hAnsi="Arial"/>
          <w:sz w:val="22"/>
          <w:szCs w:val="22"/>
        </w:rPr>
        <w:t xml:space="preserve">Metformin is a widely prescribed diabetes drug that has attracted attention as a potential anti-aging compound due to its ability to activate AMPK and mimic aspects of caloric restriction.</w:t>
      </w:r>
    </w:p>
    <w:p>
      <w:pPr>
        <w:spacing w:after="160"/>
      </w:pPr>
      <w:r>
        <w:rPr>
          <w:rFonts w:ascii="Arial" w:cs="Arial" w:eastAsia="Arial" w:hAnsi="Arial"/>
          <w:b/>
          <w:bCs/>
          <w:sz w:val="22"/>
          <w:szCs w:val="22"/>
        </w:rPr>
        <w:t xml:space="preserve">Evidence: </w:t>
      </w:r>
      <w:r>
        <w:rPr>
          <w:rFonts w:ascii="Arial" w:cs="Arial" w:eastAsia="Arial" w:hAnsi="Arial"/>
          <w:sz w:val="22"/>
          <w:szCs w:val="22"/>
        </w:rPr>
        <w:t xml:space="preserve">Observational data from Bannister et al. (Diabetes, Obesity and Metabolism, 2014) showed that diabetics taking metformin actually lived longer than matched non-diabetic controls — an unusual finding for a disease-management drug. Metformin extends lifespan in various model organisms. However, it failed to extend lifespan in the NIA Interventions Testing Program (ITP) in mice. The TAME (Targeting Aging with Metformin) trial, a landmark clinical study, is currently underway to test metformin specifically for aging-related outcomes in non-diabetic adults.</w:t>
      </w:r>
    </w:p>
    <w:p>
      <w:pPr>
        <w:spacing w:after="160"/>
      </w:pPr>
      <w:r>
        <w:rPr>
          <w:rFonts w:ascii="Arial" w:cs="Arial" w:eastAsia="Arial" w:hAnsi="Arial"/>
          <w:b/>
          <w:bCs/>
          <w:sz w:val="22"/>
          <w:szCs w:val="22"/>
        </w:rPr>
        <w:t xml:space="preserve">Key references: </w:t>
      </w:r>
      <w:r>
        <w:rPr>
          <w:rFonts w:ascii="Arial" w:cs="Arial" w:eastAsia="Arial" w:hAnsi="Arial"/>
          <w:sz w:val="22"/>
          <w:szCs w:val="22"/>
        </w:rPr>
        <w:t xml:space="preserve">Bannister CA et al. Diabetes Obes Metab. 2014. | TAME trial (clinicaltrials.gov). | NIA ITP results.</w:t>
      </w:r>
    </w:p>
    <w:p>
      <w:pPr>
        <w:spacing w:before="120" w:after="120"/>
      </w:pPr>
    </w:p>
    <w:p>
      <w:pPr>
        <w:pStyle w:val="Heading2"/>
      </w:pPr>
      <w:r>
        <w:t xml:space="preserve">9. Resveratrol</w:t>
      </w:r>
    </w:p>
    <w:p>
      <w:pPr>
        <w:spacing w:after="160"/>
      </w:pPr>
      <w:r>
        <w:rPr>
          <w:rFonts w:ascii="Arial" w:cs="Arial" w:eastAsia="Arial" w:hAnsi="Arial"/>
          <w:sz w:val="22"/>
          <w:szCs w:val="22"/>
        </w:rPr>
        <w:t xml:space="preserve">Resveratrol, a polyphenol found in grape skins and red wine, gained fame through the “French Paradox” and initial claims of sirtuin activation.</w:t>
      </w:r>
    </w:p>
    <w:p>
      <w:pPr>
        <w:spacing w:after="160"/>
      </w:pPr>
      <w:r>
        <w:rPr>
          <w:rFonts w:ascii="Arial" w:cs="Arial" w:eastAsia="Arial" w:hAnsi="Arial"/>
          <w:b/>
          <w:bCs/>
          <w:sz w:val="22"/>
          <w:szCs w:val="22"/>
        </w:rPr>
        <w:t xml:space="preserve">Reality check: </w:t>
      </w:r>
      <w:r>
        <w:rPr>
          <w:rFonts w:ascii="Arial" w:cs="Arial" w:eastAsia="Arial" w:hAnsi="Arial"/>
          <w:sz w:val="22"/>
          <w:szCs w:val="22"/>
        </w:rPr>
        <w:t xml:space="preserve">Despite enormous initial excitement, resveratrol has disappointed in rigorous longevity testing. It failed to extend lifespan in the NIA Interventions Testing Program in normal mice and only showed benefits in metabolically compromised (obese) animals. Subsequent research showed it does not directly activate SIRT1 as originally claimed. Bioavailability is poor, and human trial results have been inconsistent. The ITP results established that rapamycin, acarbose, and 17α-estradiol offer more robust lifespan extension in standardized mouse models.</w:t>
      </w:r>
    </w:p>
    <w:p>
      <w:pPr>
        <w:spacing w:after="160"/>
      </w:pPr>
      <w:r>
        <w:rPr>
          <w:rFonts w:ascii="Arial" w:cs="Arial" w:eastAsia="Arial" w:hAnsi="Arial"/>
          <w:b/>
          <w:bCs/>
          <w:sz w:val="22"/>
          <w:szCs w:val="22"/>
        </w:rPr>
        <w:t xml:space="preserve">Key references: </w:t>
      </w:r>
      <w:r>
        <w:rPr>
          <w:rFonts w:ascii="Arial" w:cs="Arial" w:eastAsia="Arial" w:hAnsi="Arial"/>
          <w:sz w:val="22"/>
          <w:szCs w:val="22"/>
        </w:rPr>
        <w:t xml:space="preserve">NIA ITP multiple studies. | Baur JA et al. Nature. 2006 (obese mice). | Healthspan review of ITP findings, 2024.</w:t>
      </w:r>
    </w:p>
    <w:p>
      <w:pPr>
        <w:spacing w:before="120" w:after="120"/>
      </w:pPr>
    </w:p>
    <w:p>
      <w:pPr>
        <w:pStyle w:val="Heading2"/>
      </w:pPr>
      <w:r>
        <w:t xml:space="preserve">10. Fisetin (Senolytic)</w:t>
      </w:r>
    </w:p>
    <w:p>
      <w:pPr>
        <w:spacing w:after="160"/>
      </w:pPr>
      <w:r>
        <w:rPr>
          <w:rFonts w:ascii="Arial" w:cs="Arial" w:eastAsia="Arial" w:hAnsi="Arial"/>
          <w:sz w:val="22"/>
          <w:szCs w:val="22"/>
        </w:rPr>
        <w:t xml:space="preserve">Fisetin is a flavonoid found in strawberries, apples, and onions that has attracted interest as a senolytic compound — one that selectively eliminates senescent (“zombie”) cells that accumulate with age and secrete inflammatory molecules.</w:t>
      </w:r>
    </w:p>
    <w:p>
      <w:pPr>
        <w:spacing w:after="160"/>
      </w:pPr>
      <w:r>
        <w:rPr>
          <w:rFonts w:ascii="Arial" w:cs="Arial" w:eastAsia="Arial" w:hAnsi="Arial"/>
          <w:b/>
          <w:bCs/>
          <w:sz w:val="22"/>
          <w:szCs w:val="22"/>
        </w:rPr>
        <w:t xml:space="preserve">Evidence: </w:t>
      </w:r>
      <w:r>
        <w:rPr>
          <w:rFonts w:ascii="Arial" w:cs="Arial" w:eastAsia="Arial" w:hAnsi="Arial"/>
          <w:sz w:val="22"/>
          <w:szCs w:val="22"/>
        </w:rPr>
        <w:t xml:space="preserve">A 2024 pilot study in healthy adults over 50 showed that 4 out of 10 participants experienced a reduction in biological age after fisetin supplementation. Preclinical studies in mice have shown fisetin reduces senescent cell burden and extends healthspan. However, large-scale human trials are still in early stages.</w:t>
      </w:r>
    </w:p>
    <w:p>
      <w:pPr>
        <w:spacing w:after="160"/>
      </w:pPr>
      <w:r>
        <w:rPr>
          <w:rFonts w:ascii="Arial" w:cs="Arial" w:eastAsia="Arial" w:hAnsi="Arial"/>
          <w:b/>
          <w:bCs/>
          <w:sz w:val="22"/>
          <w:szCs w:val="22"/>
        </w:rPr>
        <w:t xml:space="preserve">Key references: </w:t>
      </w:r>
      <w:r>
        <w:rPr>
          <w:rFonts w:ascii="Arial" w:cs="Arial" w:eastAsia="Arial" w:hAnsi="Arial"/>
          <w:sz w:val="22"/>
          <w:szCs w:val="22"/>
        </w:rPr>
        <w:t xml:space="preserve">Yousefzadeh MJ et al. EBioMedicine. 2018. | 2024 pilot study data (preliminary).</w:t>
      </w:r>
    </w:p>
    <w:p>
      <w:pPr>
        <w:spacing w:before="120" w:after="120"/>
      </w:pPr>
    </w:p>
    <w:p>
      <w:pPr>
        <w:pStyle w:val="Heading2"/>
      </w:pPr>
      <w:r>
        <w:t xml:space="preserve">11. Creatine</w:t>
      </w:r>
    </w:p>
    <w:p>
      <w:pPr>
        <w:spacing w:after="160"/>
      </w:pPr>
      <w:r>
        <w:rPr>
          <w:rFonts w:ascii="Arial" w:cs="Arial" w:eastAsia="Arial" w:hAnsi="Arial"/>
          <w:sz w:val="22"/>
          <w:szCs w:val="22"/>
        </w:rPr>
        <w:t xml:space="preserve">Creatine is best known for athletic performance, but emerging evidence suggests broader healthspan benefits, particularly for brain health and sarcopenia prevention in aging populations.</w:t>
      </w:r>
    </w:p>
    <w:p>
      <w:pPr>
        <w:spacing w:after="160"/>
      </w:pPr>
      <w:r>
        <w:rPr>
          <w:rFonts w:ascii="Arial" w:cs="Arial" w:eastAsia="Arial" w:hAnsi="Arial"/>
          <w:b/>
          <w:bCs/>
          <w:sz w:val="22"/>
          <w:szCs w:val="22"/>
        </w:rPr>
        <w:t xml:space="preserve">Evidence: </w:t>
      </w:r>
      <w:r>
        <w:rPr>
          <w:rFonts w:ascii="Arial" w:cs="Arial" w:eastAsia="Arial" w:hAnsi="Arial"/>
          <w:sz w:val="22"/>
          <w:szCs w:val="22"/>
        </w:rPr>
        <w:t xml:space="preserve">Multiple RCTs demonstrate creatine improves memory, focus, and mental processing speed, especially in individuals with low dietary intake or during sleep deprivation. Creatine helps preserve lean muscle mass in older adults when combined with resistance training. It supports brain energy reserves and neurotransmitter production, with potential protective effects against age-related cognitive decline.</w:t>
      </w:r>
    </w:p>
    <w:p>
      <w:pPr>
        <w:spacing w:after="160"/>
      </w:pPr>
      <w:r>
        <w:rPr>
          <w:rFonts w:ascii="Arial" w:cs="Arial" w:eastAsia="Arial" w:hAnsi="Arial"/>
          <w:b/>
          <w:bCs/>
          <w:sz w:val="22"/>
          <w:szCs w:val="22"/>
        </w:rPr>
        <w:t xml:space="preserve">Key references: </w:t>
      </w:r>
      <w:r>
        <w:rPr>
          <w:rFonts w:ascii="Arial" w:cs="Arial" w:eastAsia="Arial" w:hAnsi="Arial"/>
          <w:sz w:val="22"/>
          <w:szCs w:val="22"/>
        </w:rPr>
        <w:t xml:space="preserve">Multiple systematic reviews on creatine, cognition, and aging (see PMC review literature).</w:t>
      </w:r>
    </w:p>
    <w:p>
      <w:r>
        <w:br/>
        <w:t xml:space="preserve"/>
      </w:r>
    </w:p>
    <w:p>
      <w:pPr>
        <w:pStyle w:val="Heading1"/>
      </w:pPr>
      <w:r>
        <w:t xml:space="preserve">Critical Analysis: Challenges in Anti-Aging Supplement Research</w:t>
      </w:r>
    </w:p>
    <w:p>
      <w:pPr>
        <w:pStyle w:val="Heading2"/>
      </w:pPr>
      <w:r>
        <w:t xml:space="preserve">The Translation Problem</w:t>
      </w:r>
    </w:p>
    <w:p>
      <w:pPr>
        <w:spacing w:after="160"/>
      </w:pPr>
      <w:r>
        <w:rPr>
          <w:rFonts w:ascii="Arial" w:cs="Arial" w:eastAsia="Arial" w:hAnsi="Arial"/>
          <w:sz w:val="22"/>
          <w:szCs w:val="22"/>
        </w:rPr>
        <w:t xml:space="preserve">A major review in Aging Cell (Burdusel et al., 2024) systematically examined the translatability of life-extending pharmacological treatments across species, focusing on metformin, resveratrol, rapamycin, spermidine, and chloroquine. The findings underscore a key challenge: results in yeast, worms, and flies often do not translate to mice, and mouse results may not translate to humans. Even within rodent studies, outcomes vary by strain, sex, dosing, and diet.</w:t>
      </w:r>
    </w:p>
    <w:p>
      <w:pPr>
        <w:pStyle w:val="Heading2"/>
      </w:pPr>
      <w:r>
        <w:t xml:space="preserve">The NIA Interventions Testing Program (ITP)</w:t>
      </w:r>
    </w:p>
    <w:p>
      <w:pPr>
        <w:spacing w:after="160"/>
      </w:pPr>
      <w:r>
        <w:rPr>
          <w:rFonts w:ascii="Arial" w:cs="Arial" w:eastAsia="Arial" w:hAnsi="Arial"/>
          <w:sz w:val="22"/>
          <w:szCs w:val="22"/>
        </w:rPr>
        <w:t xml:space="preserve">The ITP represents the gold standard for evaluating longevity compounds in mice. Notably, rapamycin and acarbose (separately and in combination) have shown the most robust lifespan extension. Metformin and resveratrol — two of the most popular longevity compounds — did not significantly extend lifespan in ITP models, highlighting the complexity of translating preclinical and observational findings.</w:t>
      </w:r>
    </w:p>
    <w:p>
      <w:pPr>
        <w:pStyle w:val="Heading2"/>
      </w:pPr>
      <w:r>
        <w:t xml:space="preserve">Observational vs. Interventional Evidence</w:t>
      </w:r>
    </w:p>
    <w:p>
      <w:pPr>
        <w:spacing w:after="160"/>
      </w:pPr>
      <w:r>
        <w:rPr>
          <w:rFonts w:ascii="Arial" w:cs="Arial" w:eastAsia="Arial" w:hAnsi="Arial"/>
          <w:sz w:val="22"/>
          <w:szCs w:val="22"/>
        </w:rPr>
        <w:t xml:space="preserve">Many of the most impressive mortality reduction figures for supplements like glucosamine and omega-3s come from observational cohort studies, which are subject to confounding and selection bias. People who take supplements tend to be healthier, more health-conscious, wealthier, and more physically active — all factors that independently reduce mortality. Only RCTs can establish causality, and very few supplements have been tested in RCTs with lifespan as an endpoint.</w:t>
      </w:r>
    </w:p>
    <w:p>
      <w:r>
        <w:br/>
        <w:t xml:space="preserve"/>
      </w:r>
    </w:p>
    <w:p>
      <w:pPr>
        <w:pStyle w:val="Heading1"/>
      </w:pPr>
      <w:r>
        <w:t xml:space="preserve">Conclusions and Practical Takeaways</w:t>
      </w:r>
    </w:p>
    <w:p>
      <w:pPr>
        <w:spacing w:after="160"/>
      </w:pPr>
      <w:r>
        <w:rPr>
          <w:rFonts w:ascii="Arial" w:cs="Arial" w:eastAsia="Arial" w:hAnsi="Arial"/>
          <w:sz w:val="22"/>
          <w:szCs w:val="22"/>
        </w:rPr>
        <w:t xml:space="preserve">Based on the current evidence as of early 2026, the following hierarchy emerges:</w:t>
      </w:r>
    </w:p>
    <w:p>
      <w:pPr>
        <w:spacing w:after="160"/>
      </w:pPr>
      <w:r>
        <w:rPr>
          <w:rFonts w:ascii="Arial" w:cs="Arial" w:eastAsia="Arial" w:hAnsi="Arial"/>
          <w:b/>
          <w:bCs/>
          <w:sz w:val="22"/>
          <w:szCs w:val="22"/>
        </w:rPr>
        <w:t xml:space="preserve">Strongest overall evidence for life extension (animal): </w:t>
      </w:r>
      <w:r>
        <w:rPr>
          <w:rFonts w:ascii="Arial" w:cs="Arial" w:eastAsia="Arial" w:hAnsi="Arial"/>
          <w:sz w:val="22"/>
          <w:szCs w:val="22"/>
        </w:rPr>
        <w:t xml:space="preserve">Rapamycin (prescription drug, not a supplement), spermidine, and taurine each show reproducible lifespan extension in multiple species with plausible mechanisms.</w:t>
      </w:r>
    </w:p>
    <w:p>
      <w:pPr>
        <w:spacing w:after="160"/>
      </w:pPr>
      <w:r>
        <w:rPr>
          <w:rFonts w:ascii="Arial" w:cs="Arial" w:eastAsia="Arial" w:hAnsi="Arial"/>
          <w:b/>
          <w:bCs/>
          <w:sz w:val="22"/>
          <w:szCs w:val="22"/>
        </w:rPr>
        <w:t xml:space="preserve">Strongest human evidence for reduced mortality / biological aging: </w:t>
      </w:r>
      <w:r>
        <w:rPr>
          <w:rFonts w:ascii="Arial" w:cs="Arial" w:eastAsia="Arial" w:hAnsi="Arial"/>
          <w:sz w:val="22"/>
          <w:szCs w:val="22"/>
        </w:rPr>
        <w:t xml:space="preserve">Omega-3 fatty acids (EPA/DHA) have the most consistent epidemiological and interventional data showing reduced mortality and slowed epigenetic aging. Glucosamine shows impressive observational signals but with notable bias concerns.</w:t>
      </w:r>
    </w:p>
    <w:p>
      <w:pPr>
        <w:spacing w:after="160"/>
      </w:pPr>
      <w:r>
        <w:rPr>
          <w:rFonts w:ascii="Arial" w:cs="Arial" w:eastAsia="Arial" w:hAnsi="Arial"/>
          <w:b/>
          <w:bCs/>
          <w:sz w:val="22"/>
          <w:szCs w:val="22"/>
        </w:rPr>
        <w:t xml:space="preserve">Most promising NAD+ strategy: </w:t>
      </w:r>
      <w:r>
        <w:rPr>
          <w:rFonts w:ascii="Arial" w:cs="Arial" w:eastAsia="Arial" w:hAnsi="Arial"/>
          <w:sz w:val="22"/>
          <w:szCs w:val="22"/>
        </w:rPr>
        <w:t xml:space="preserve">NMN at 600 mg/day reliably raises NAD+ levels and shows early clinical signals for improved metabolic and vascular health, but functional aging benefits in humans remain modest in short-term trials.</w:t>
      </w:r>
    </w:p>
    <w:p>
      <w:pPr>
        <w:spacing w:after="160"/>
      </w:pPr>
      <w:r>
        <w:rPr>
          <w:rFonts w:ascii="Arial" w:cs="Arial" w:eastAsia="Arial" w:hAnsi="Arial"/>
          <w:b/>
          <w:bCs/>
          <w:sz w:val="22"/>
          <w:szCs w:val="22"/>
        </w:rPr>
        <w:t xml:space="preserve">Foundational supplements: </w:t>
      </w:r>
      <w:r>
        <w:rPr>
          <w:rFonts w:ascii="Arial" w:cs="Arial" w:eastAsia="Arial" w:hAnsi="Arial"/>
          <w:sz w:val="22"/>
          <w:szCs w:val="22"/>
        </w:rPr>
        <w:t xml:space="preserve">Vitamin D3 (especially if deficient), vitamin K2, magnesium, and adequate protein intake (1.0–1.5 g/kg/day) form the baseline of evidence-supported healthy aging nutrition.</w:t>
      </w:r>
    </w:p>
    <w:p>
      <w:pPr>
        <w:spacing w:after="160"/>
      </w:pPr>
      <w:r>
        <w:rPr>
          <w:rFonts w:ascii="Arial" w:cs="Arial" w:eastAsia="Arial" w:hAnsi="Arial"/>
          <w:i/>
          <w:iCs/>
          <w:sz w:val="22"/>
          <w:szCs w:val="22"/>
        </w:rPr>
        <w:t xml:space="preserve">The field is moving rapidly. The TAME trial for metformin, ongoing NMN long-term studies, and expanding epigenetic clock research will likely reshape our understanding within the next few years. Until then, the evidence supports a cautious, evidence-informed approach: prioritize lifestyle interventions (exercise, diet, sleep), address nutritional deficiencies, and consider the best-supported supplements in consultation with a healthcare provider.</w:t>
      </w:r>
    </w:p>
    <w:p>
      <w:r>
        <w:br/>
        <w:t xml:space="preserve"/>
      </w:r>
    </w:p>
    <w:p>
      <w:pPr>
        <w:pStyle w:val="Heading1"/>
      </w:pPr>
      <w:r>
        <w:t xml:space="preserve">Key References</w:t>
      </w:r>
    </w:p>
    <w:p>
      <w:pPr>
        <w:spacing w:after="160"/>
      </w:pPr>
      <w:r>
        <w:rPr>
          <w:rFonts w:ascii="Arial" w:cs="Arial" w:eastAsia="Arial" w:hAnsi="Arial"/>
          <w:sz w:val="22"/>
          <w:szCs w:val="22"/>
        </w:rPr>
        <w:t xml:space="preserve">Below is a selection of the most important primary studies and reviews cited in this report:</w:t>
      </w:r>
    </w:p>
    <w:p>
      <w:pPr>
        <w:spacing w:before="120" w:after="120"/>
      </w:pPr>
    </w:p>
    <w:p>
      <w:pPr>
        <w:pStyle w:val="ListParagraph"/>
        <w:numPr>
          <w:ilvl w:val="0"/>
          <w:numId w:val="2"/>
        </w:numPr>
        <w:spacing w:after="80"/>
      </w:pPr>
      <w:r>
        <w:rPr>
          <w:rFonts w:ascii="Arial" w:cs="Arial" w:eastAsia="Arial" w:hAnsi="Arial"/>
          <w:sz w:val="22"/>
          <w:szCs w:val="22"/>
        </w:rPr>
        <w:t xml:space="preserve">Harrison DE et al. “Rapamycin fed late in life extends lifespan in genetically heterogeneous mice.” Nature. 2009;460:392–395.</w:t>
      </w:r>
    </w:p>
    <w:p>
      <w:pPr>
        <w:pStyle w:val="ListParagraph"/>
        <w:numPr>
          <w:ilvl w:val="0"/>
          <w:numId w:val="2"/>
        </w:numPr>
        <w:spacing w:after="80"/>
      </w:pPr>
      <w:r>
        <w:rPr>
          <w:rFonts w:ascii="Arial" w:cs="Arial" w:eastAsia="Arial" w:hAnsi="Arial"/>
          <w:sz w:val="22"/>
          <w:szCs w:val="22"/>
        </w:rPr>
        <w:t xml:space="preserve">Eisenberg T et al. “Cardioprotection and lifespan extension by the natural polyamine spermidine.” Nature Medicine. 2016;22(12):1428–1438.</w:t>
      </w:r>
    </w:p>
    <w:p>
      <w:pPr>
        <w:pStyle w:val="ListParagraph"/>
        <w:numPr>
          <w:ilvl w:val="0"/>
          <w:numId w:val="2"/>
        </w:numPr>
        <w:spacing w:after="80"/>
      </w:pPr>
      <w:r>
        <w:rPr>
          <w:rFonts w:ascii="Arial" w:cs="Arial" w:eastAsia="Arial" w:hAnsi="Arial"/>
          <w:sz w:val="22"/>
          <w:szCs w:val="22"/>
        </w:rPr>
        <w:t xml:space="preserve">Kiechl S et al. “Higher spermidine intake is linked to lower mortality.” Am J Clin Nutr. 2018;108(2):371–380.</w:t>
      </w:r>
    </w:p>
    <w:p>
      <w:pPr>
        <w:pStyle w:val="ListParagraph"/>
        <w:numPr>
          <w:ilvl w:val="0"/>
          <w:numId w:val="2"/>
        </w:numPr>
        <w:spacing w:after="80"/>
      </w:pPr>
      <w:r>
        <w:rPr>
          <w:rFonts w:ascii="Arial" w:cs="Arial" w:eastAsia="Arial" w:hAnsi="Arial"/>
          <w:sz w:val="22"/>
          <w:szCs w:val="22"/>
        </w:rPr>
        <w:t xml:space="preserve">Singh P et al. “Taurine deficiency as a driver of aging.” Science. 2023;380(6649):eabn9257.</w:t>
      </w:r>
    </w:p>
    <w:p>
      <w:pPr>
        <w:pStyle w:val="ListParagraph"/>
        <w:numPr>
          <w:ilvl w:val="0"/>
          <w:numId w:val="2"/>
        </w:numPr>
        <w:spacing w:after="80"/>
      </w:pPr>
      <w:r>
        <w:rPr>
          <w:rFonts w:ascii="Arial" w:cs="Arial" w:eastAsia="Arial" w:hAnsi="Arial"/>
          <w:sz w:val="22"/>
          <w:szCs w:val="22"/>
        </w:rPr>
        <w:t xml:space="preserve">Marcangeli V et al. “Experimental evidence against taurine deficiency as a driver of aging in humans.” Aging Cell. 2025;e70191.</w:t>
      </w:r>
    </w:p>
    <w:p>
      <w:pPr>
        <w:pStyle w:val="ListParagraph"/>
        <w:numPr>
          <w:ilvl w:val="0"/>
          <w:numId w:val="2"/>
        </w:numPr>
        <w:spacing w:after="80"/>
      </w:pPr>
      <w:r>
        <w:rPr>
          <w:rFonts w:ascii="Arial" w:cs="Arial" w:eastAsia="Arial" w:hAnsi="Arial"/>
          <w:sz w:val="22"/>
          <w:szCs w:val="22"/>
        </w:rPr>
        <w:t xml:space="preserve">Yi L et al. “The efficacy and safety of β-NMN supplementation in healthy middle-aged adults.” GeroScience. 2022.</w:t>
      </w:r>
    </w:p>
    <w:p>
      <w:pPr>
        <w:pStyle w:val="ListParagraph"/>
        <w:numPr>
          <w:ilvl w:val="0"/>
          <w:numId w:val="2"/>
        </w:numPr>
        <w:spacing w:after="80"/>
      </w:pPr>
      <w:r>
        <w:rPr>
          <w:rFonts w:ascii="Arial" w:cs="Arial" w:eastAsia="Arial" w:hAnsi="Arial"/>
          <w:sz w:val="22"/>
          <w:szCs w:val="22"/>
        </w:rPr>
        <w:t xml:space="preserve">Imai SI et al. “Chronic NMN supplementation elevates blood NAD+ levels in healthy older men.” NPJ Aging. 2022;8(1):5.</w:t>
      </w:r>
    </w:p>
    <w:p>
      <w:pPr>
        <w:pStyle w:val="ListParagraph"/>
        <w:numPr>
          <w:ilvl w:val="0"/>
          <w:numId w:val="2"/>
        </w:numPr>
        <w:spacing w:after="80"/>
      </w:pPr>
      <w:r>
        <w:rPr>
          <w:rFonts w:ascii="Arial" w:cs="Arial" w:eastAsia="Arial" w:hAnsi="Arial"/>
          <w:sz w:val="22"/>
          <w:szCs w:val="22"/>
        </w:rPr>
        <w:t xml:space="preserve">Harris WS et al. “Blood n-3 fatty acid levels and total and cause-specific mortality.” Am J Clin Nutr. 2021.</w:t>
      </w:r>
    </w:p>
    <w:p>
      <w:pPr>
        <w:pStyle w:val="ListParagraph"/>
        <w:numPr>
          <w:ilvl w:val="0"/>
          <w:numId w:val="2"/>
        </w:numPr>
        <w:spacing w:after="80"/>
      </w:pPr>
      <w:r>
        <w:rPr>
          <w:rFonts w:ascii="Arial" w:cs="Arial" w:eastAsia="Arial" w:hAnsi="Arial"/>
          <w:sz w:val="22"/>
          <w:szCs w:val="22"/>
        </w:rPr>
        <w:t xml:space="preserve">Li ZH et al. “Associations of regular glucosamine use with all-cause and cause-specific mortality.” Ann Rheum Dis. 2020;79(6):829–836.</w:t>
      </w:r>
    </w:p>
    <w:p>
      <w:pPr>
        <w:pStyle w:val="ListParagraph"/>
        <w:numPr>
          <w:ilvl w:val="0"/>
          <w:numId w:val="2"/>
        </w:numPr>
        <w:spacing w:after="80"/>
      </w:pPr>
      <w:r>
        <w:rPr>
          <w:rFonts w:ascii="Arial" w:cs="Arial" w:eastAsia="Arial" w:hAnsi="Arial"/>
          <w:sz w:val="22"/>
          <w:szCs w:val="22"/>
        </w:rPr>
        <w:t xml:space="preserve">King DE &amp; Xiang J. “Glucosamine/chondroitin and mortality in a US NHANES cohort.” J Am Board Fam Med. 2020;33:842–847.</w:t>
      </w:r>
    </w:p>
    <w:p>
      <w:pPr>
        <w:pStyle w:val="ListParagraph"/>
        <w:numPr>
          <w:ilvl w:val="0"/>
          <w:numId w:val="2"/>
        </w:numPr>
        <w:spacing w:after="80"/>
      </w:pPr>
      <w:r>
        <w:rPr>
          <w:rFonts w:ascii="Arial" w:cs="Arial" w:eastAsia="Arial" w:hAnsi="Arial"/>
          <w:sz w:val="22"/>
          <w:szCs w:val="22"/>
        </w:rPr>
        <w:t xml:space="preserve">Suissa S. “Glucosamine and lower mortality: Selection bias in observational studies.” Pharmacoepidemiol Drug Saf. 2022.</w:t>
      </w:r>
    </w:p>
    <w:p>
      <w:pPr>
        <w:pStyle w:val="ListParagraph"/>
        <w:numPr>
          <w:ilvl w:val="0"/>
          <w:numId w:val="2"/>
        </w:numPr>
        <w:spacing w:after="80"/>
      </w:pPr>
      <w:r>
        <w:rPr>
          <w:rFonts w:ascii="Arial" w:cs="Arial" w:eastAsia="Arial" w:hAnsi="Arial"/>
          <w:sz w:val="22"/>
          <w:szCs w:val="22"/>
        </w:rPr>
        <w:t xml:space="preserve">Mannick JB et al. “mTOR inhibition improves immune function in the elderly.” Sci Transl Med. 2014.</w:t>
      </w:r>
    </w:p>
    <w:p>
      <w:pPr>
        <w:pStyle w:val="ListParagraph"/>
        <w:numPr>
          <w:ilvl w:val="0"/>
          <w:numId w:val="2"/>
        </w:numPr>
        <w:spacing w:after="80"/>
      </w:pPr>
      <w:r>
        <w:rPr>
          <w:rFonts w:ascii="Arial" w:cs="Arial" w:eastAsia="Arial" w:hAnsi="Arial"/>
          <w:sz w:val="22"/>
          <w:szCs w:val="22"/>
        </w:rPr>
        <w:t xml:space="preserve">Burdusel AC et al. “Translatability of life-extending treatments between species.” Aging Cell. 2024;e14208.</w:t>
      </w:r>
    </w:p>
    <w:p>
      <w:pPr>
        <w:pStyle w:val="ListParagraph"/>
        <w:numPr>
          <w:ilvl w:val="0"/>
          <w:numId w:val="2"/>
        </w:numPr>
        <w:spacing w:after="80"/>
      </w:pPr>
      <w:r>
        <w:rPr>
          <w:rFonts w:ascii="Arial" w:cs="Arial" w:eastAsia="Arial" w:hAnsi="Arial"/>
          <w:sz w:val="22"/>
          <w:szCs w:val="22"/>
        </w:rPr>
        <w:t xml:space="preserve">Hofer SJ et al. “Spermidine is essential for fasting-mediated autophagy and longevity.” Nat Cell Biol. 2024.</w:t>
      </w:r>
    </w:p>
    <w:p>
      <w:pPr>
        <w:pStyle w:val="ListParagraph"/>
        <w:numPr>
          <w:ilvl w:val="0"/>
          <w:numId w:val="2"/>
        </w:numPr>
        <w:spacing w:after="80"/>
      </w:pPr>
      <w:r>
        <w:rPr>
          <w:rFonts w:ascii="Arial" w:cs="Arial" w:eastAsia="Arial" w:hAnsi="Arial"/>
          <w:sz w:val="22"/>
          <w:szCs w:val="22"/>
        </w:rPr>
        <w:t xml:space="preserve">Gkioni L et al. “Trametinib and rapamycin combine additively to extend mouse healthspan and lifespan.” Nat Aging. 2025;5(7):1249–1265.</w:t>
      </w:r>
    </w:p>
    <w:p>
      <w:pPr>
        <w:pStyle w:val="ListParagraph"/>
        <w:numPr>
          <w:ilvl w:val="0"/>
          <w:numId w:val="2"/>
        </w:numPr>
        <w:spacing w:after="80"/>
      </w:pPr>
      <w:r>
        <w:rPr>
          <w:rFonts w:ascii="Arial" w:cs="Arial" w:eastAsia="Arial" w:hAnsi="Arial"/>
          <w:sz w:val="22"/>
          <w:szCs w:val="22"/>
        </w:rPr>
        <w:t xml:space="preserve">Sinclair lab. “Long-term NMN treatment increases lifespan and healthspan in mice.” bioRxiv. 2024.</w:t>
      </w:r>
    </w:p>
    <w:p>
      <w:pPr>
        <w:pStyle w:val="ListParagraph"/>
        <w:numPr>
          <w:ilvl w:val="0"/>
          <w:numId w:val="2"/>
        </w:numPr>
        <w:spacing w:after="80"/>
      </w:pPr>
      <w:r>
        <w:rPr>
          <w:rFonts w:ascii="Arial" w:cs="Arial" w:eastAsia="Arial" w:hAnsi="Arial"/>
          <w:sz w:val="22"/>
          <w:szCs w:val="22"/>
        </w:rPr>
        <w:t xml:space="preserve">Kaufman MW et al. “Nutritional supplements for healthy aging: A critical analysis.” Am J Lifestyle Med. 2024;19(3):346–360.</w:t>
      </w:r>
    </w:p>
    <w:p>
      <w:pPr>
        <w:pStyle w:val="ListParagraph"/>
        <w:numPr>
          <w:ilvl w:val="0"/>
          <w:numId w:val="2"/>
        </w:numPr>
        <w:spacing w:after="80"/>
      </w:pPr>
      <w:r>
        <w:rPr>
          <w:rFonts w:ascii="Arial" w:cs="Arial" w:eastAsia="Arial" w:hAnsi="Arial"/>
          <w:sz w:val="22"/>
          <w:szCs w:val="22"/>
        </w:rPr>
        <w:t xml:space="preserve">Manson JE et al. “VITAL trial: Vitamin D and omega-3 supplementation.” NEJM. 2019.</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Anti-Aging Supplements: Evidence-Based Research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2026-03-03T20:01:49.329Z</dcterms:created>
  <dcterms:modified xsi:type="dcterms:W3CDTF">2026-03-03T20:01:49.330Z</dcterms:modified>
</cp:coreProperties>
</file>

<file path=docProps/custom.xml><?xml version="1.0" encoding="utf-8"?>
<Properties xmlns="http://schemas.openxmlformats.org/officeDocument/2006/custom-properties" xmlns:vt="http://schemas.openxmlformats.org/officeDocument/2006/docPropsVTypes"/>
</file>