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0" w:line="324" w:lineRule="auto"/>
      </w:pPr>
      <w:r>
        <w:rPr>
          <w:rFonts w:ascii="Microsoft YaHei" w:hAnsi="Microsoft YaHei" w:eastAsia="微软雅黑"/>
          <w:b/>
          <w:color w:val="1769C2"/>
          <w:sz w:val="20"/>
        </w:rPr>
        <w:t>全国大学生电子设计竞赛信息科技前沿专题赛 · 瑞萨杯</w:t>
      </w:r>
    </w:p>
    <w:p>
      <w:pPr>
        <w:keepNext/>
        <w:spacing w:before="0" w:after="240" w:line="264" w:lineRule="auto"/>
      </w:pPr>
      <w:r>
        <w:rPr>
          <w:rFonts w:ascii="Microsoft YaHei" w:hAnsi="Microsoft YaHei" w:eastAsia="微软雅黑"/>
          <w:b/>
          <w:color w:val="102033"/>
          <w:sz w:val="54"/>
        </w:rPr>
        <w:t>RA8P1 当前实现与原文档差异对照</w:t>
      </w:r>
    </w:p>
    <w:p>
      <w:pPr>
        <w:keepNext w:val="0"/>
        <w:spacing w:before="0" w:after="360" w:line="324" w:lineRule="auto"/>
      </w:pPr>
      <w:r>
        <w:rPr>
          <w:rFonts w:ascii="Microsoft YaHei" w:hAnsi="Microsoft YaHei" w:eastAsia="微软雅黑"/>
          <w:b/>
          <w:color w:val="1769C2"/>
          <w:sz w:val="30"/>
        </w:rPr>
        <w:t>文档修订、证据与剩余验证项</w:t>
      </w:r>
    </w:p>
    <w:p>
      <w:pPr>
        <w:keepNext w:val="0"/>
        <w:spacing w:before="0" w:after="440" w:line="324" w:lineRule="auto"/>
      </w:pPr>
      <w:r>
        <w:rPr>
          <w:rFonts w:ascii="Microsoft YaHei" w:hAnsi="Microsoft YaHei" w:eastAsia="微软雅黑"/>
          <w:b w:val="0"/>
          <w:color w:val="5B6573"/>
          <w:sz w:val="23"/>
        </w:rPr>
        <w:t>用于报告修订、答辩口径统一与版本审查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8000" cy="4632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63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作品机械结构三维设计示意</w:t>
      </w:r>
    </w:p>
    <w:p>
      <w:pPr>
        <w:keepNext w:val="0"/>
        <w:spacing w:before="0" w:after="80" w:line="324" w:lineRule="auto"/>
        <w:jc w:val="center"/>
      </w:pPr>
      <w:r>
        <w:rPr>
          <w:rFonts w:ascii="Microsoft YaHei" w:hAnsi="Microsoft YaHei" w:eastAsia="微软雅黑"/>
          <w:b/>
          <w:color w:val="102033"/>
          <w:sz w:val="22"/>
        </w:rPr>
        <w:t>团队：黄天华、聂冠伟、何林欣</w:t>
      </w:r>
    </w:p>
    <w:p>
      <w:pPr>
        <w:keepNext w:val="0"/>
        <w:spacing w:before="0" w:after="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9"/>
        </w:rPr>
        <w:t>当前实施基线：FSP 6.4.0 · Cortex-M85/M33 双核 · 2026年8月20日</w:t>
      </w:r>
    </w:p>
    <w:p>
      <w:r>
        <w:br w:type="page"/>
      </w:r>
    </w:p>
    <w:p>
      <w:pPr>
        <w:pStyle w:val="Heading1"/>
        <w:keepNext/>
      </w:pPr>
      <w:r>
        <w:t>1. 修订结论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4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1769C2"/>
                <w:sz w:val="21"/>
              </w:rPr>
              <w:t xml:space="preserve">当前版本已经发生的根本变化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项目已从 M85 单核集中式闭环，推进到 M85 视觉主核 + M33 外设服务核的双核架构；SDRAM 与 SD 拍照写入也已从“规划/待联调”变为已实现基础能力。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1"/>
        </w:rPr>
        <w:t>本对照不用于三分钟 PPT 讲旧方案，而是帮助队员修改报告、回答版本问题，并确保所有陈述都有工程或实机证据。</w:t>
      </w:r>
    </w:p>
    <w:p>
      <w:pPr>
        <w:pStyle w:val="Heading1"/>
        <w:keepNext/>
      </w:pPr>
      <w:r>
        <w:t>2. 功能逐项对照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55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旧文档口径</w:t>
            </w:r>
          </w:p>
        </w:tc>
        <w:tc>
          <w:tcPr>
            <w:tcW w:type="dxa" w:w="340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当前口径</w:t>
            </w:r>
          </w:p>
        </w:tc>
        <w:tc>
          <w:tcPr>
            <w:tcW w:type="dxa" w:w="209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处理器架构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M85 单核，M33 作为后续方向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M85/M33 双核 Solution 已建立并编译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已实现；继续长时间实机复测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触摸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M85 直接轮询 FT6336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M33 IIC1 轮询，IPC 发送触摸</w:t>
            </w:r>
          </w:p>
        </w:tc>
        <w:tc>
          <w:tcPr>
            <w:tcW w:type="dxa" w:w="209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已迁移并编译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称重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M85 SCI4 接收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M33 SCI4 接收并通过 IPC 上报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已迁移并编译；复测实机刷新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健康监测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局部状态灯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M33 健康包、M85/M33 心跳、3秒超时降级</w:t>
            </w:r>
          </w:p>
        </w:tc>
        <w:tc>
          <w:tcPr>
            <w:tcW w:type="dxa" w:w="209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已实现；心跳需改固定时间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TF/SD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待联调或部分完成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192×192 BMP 拍照写卡已能工作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已实现；补 100 张和 10 分钟稳定性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SDRAM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未使用或未验证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0x68000000、128 MB，初始化和读写可用</w:t>
            </w:r>
          </w:p>
        </w:tc>
        <w:tc>
          <w:tcPr>
            <w:tcW w:type="dxa" w:w="209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已验证基础读写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NPU 与 SDRAM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可能混写为 NPU 已使用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尚未完成 NPU arena 迁移验证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不得过度宣称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构建资源</w:t>
            </w:r>
          </w:p>
        </w:tc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单核 1 MiB Flash 口径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CPU0 896 KB + CPU1 128 KB 分区</w:t>
            </w:r>
          </w:p>
        </w:tc>
        <w:tc>
          <w:tcPr>
            <w:tcW w:type="dxa" w:w="209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两核均未溢出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烧录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单 ELF 下载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Multicore Launch Group 同时下载两个 ELF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7"/>
              </w:rPr>
              <w:t>配置已建立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必须替换的旧表述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5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不要再写</w:t>
            </w:r>
          </w:p>
        </w:tc>
        <w:tc>
          <w:tcPr>
            <w:tcW w:type="dxa" w:w="510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改为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“当前没有使用 Cortex-M33。”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“M33 已承担触摸、称重和健康监测，M85 专注视觉、NPU、存储和执行控制。”</w:t>
            </w:r>
          </w:p>
        </w:tc>
      </w:tr>
      <w:tr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“SDRAM 尚未使用/未验证。”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“SDRAM 已完成初始化和读写验证，当前 128 MB 归 CPU0；NPU 工作区迁移仍待验证。”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“SD 卡拍照待联调。”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“数据集模式可保存 192×192 BMP；赛前继续做批量读回和长时间写入测试。”</w:t>
            </w:r>
          </w:p>
        </w:tc>
      </w:tr>
      <w:tr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“双核使用 IPC0 与 IPC1 两个通道。”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“两核各一个 IPC 实例，名称不同，但 Channel 均为 0。”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“先烧 M33 再烧 M85 即可。”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“优先使用 rainy_dual_CPU1 Debug_Multicore Launch Group 同时下载两个 ELF。”</w:t>
            </w:r>
          </w:p>
        </w:tc>
      </w:tr>
      <w:tr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“左上角黄色一定是故障。”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“黄色表示 M33 在线但尚未确认 M85 心跳；当前按帧心跳可能导致黄绿交替。”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当前证据矩阵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25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工程证据</w:t>
            </w:r>
          </w:p>
        </w:tc>
        <w:tc>
          <w:tcPr>
            <w:tcW w:type="dxa" w:w="340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现场证据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CPU1 可编译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rainy_dual_CPU1.elf；text 9470、data 8、bss 1408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Build Finished, 0 errors, 0 warnings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CPU0 可编译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rainy_dual_CPU0.elf；text 434490、data 108、bss 995264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Build Finished, 0 errors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双核协议已实现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multicore_protocol.h、platform_services.c、m33_services.c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状态块能收到 M33 健康包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SDRAM 可用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Solution SDRAM 0x68000000 / 0x08000000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读写测试已通过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 写卡可用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dataset_storage + SDHI/DMAC/FatFs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电脑可看到 192×192 BMP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NPU 视觉可用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yolo_detector + 转换生成模型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实时画面有框、类别和置信度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机械闭环可用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machine_control 状态机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推出、反转回位和清场流程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当前资源口径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当前双核构建与内存分区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CPU0 Flash 使用约 47.37%，内部 RAM 静态使用约 63.29%。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CPU1 Flash 使用约 7.23%，内部 RAM 静态使用约 0.41%。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外部 SDRAM 128 MB 当前全部归 CPU0，避免第一阶段跨核缓存一致性风险。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ELF 文件大小不等于 Flash 实际占用，答辩应引用 llvm-size 和分区容量。</w:t>
      </w:r>
    </w:p>
    <w:p>
      <w:pPr>
        <w:pStyle w:val="Heading1"/>
        <w:keepNext/>
      </w:pPr>
      <w:r>
        <w:t>6. 仍然不能当作完成项的内容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25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为什么不能过度宣称</w:t>
            </w:r>
          </w:p>
        </w:tc>
        <w:tc>
          <w:tcPr>
            <w:tcW w:type="dxa" w:w="311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下一步证据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NPU 直接访问 SDRAM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尚未验证模型 arena/命令流的实际放置和缓存一致性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map、section、地址与推理稳定性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双核长期稳定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当前已构建和启动，但心跳仍受帧率影响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改为 500 ms 心跳，连续运行 30 分钟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存储服务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SDHI 当前由 M85 持有，且直接依赖帧缓冲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共享缓冲协议和缓存维护实验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最终识别准确率</w:t>
            </w:r>
          </w:p>
        </w:tc>
        <w:tc>
          <w:tcPr>
            <w:tcW w:type="dxa" w:w="425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尚无统一测试集和混淆矩阵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冻结测试集、每类指标和现场成功率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机械成功率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行程和舵机时间仍需按实机标定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每类至少 10～30 次记录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材料更新规则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三分钟 PPT 只讲当前平台，不讲旧硬件方案，也不放版本比较。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全景手册以当前双核版为唯一主文档；原补充说明只保留归档价值。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本对照作为报告修订附录，所有“已完成”都必须能对应代码、Build 或实机证据。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赛前每次功能变化都同步更新：状态表、构建资源、演示步骤和高频问答。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无法稳定复现的功能写成“已集成待复测”，不要为了答辩把边界说满。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color w:val="5B6573"/>
        <w:sz w:val="16"/>
      </w:rPr>
      <w:t xml:space="preserve">第 </w:t>
    </w:r>
    <w:fldSimple w:instr="PAGE"/>
    <w:r>
      <w:rPr>
        <w:rFonts w:ascii="Microsoft YaHei" w:hAnsi="Microsoft YaHei" w:eastAsia="微软雅黑"/>
        <w:b w:val="0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/>
        <w:color w:val="5B6573"/>
        <w:sz w:val="16"/>
      </w:rPr>
      <w:t>RA8P1 当前实现与原文档差异对照｜2026-08-20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color w:val="10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69C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8F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0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/>
      <w:i/>
      <w:iCs/>
      <w:color w:val="1769C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