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4"/>
        </w:rPr>
        <w:t>完整社区预测模块嵌入大系统接入说明</w:t>
      </w:r>
    </w:p>
    <w:p>
      <w:pPr>
        <w:spacing w:after="400"/>
        <w:jc w:val="center"/>
      </w:pPr>
      <w:r>
        <w:rPr>
          <w:rFonts w:ascii="Microsoft YaHei" w:hAnsi="Microsoft YaHei" w:eastAsia="Microsoft YaHei"/>
          <w:color w:val="526E7C"/>
          <w:sz w:val="24"/>
        </w:rPr>
        <w:t>单页面工作台接入架构 部署配置 接口参数与联调验收</w:t>
      </w:r>
    </w:p>
    <w:p>
      <w:pPr>
        <w:jc w:val="center"/>
      </w:pPr>
      <w:r>
        <w:rPr>
          <w:rFonts w:ascii="Microsoft YaHei" w:hAnsi="Microsoft YaHei" w:eastAsia="Microsoft YaHei"/>
          <w:color w:val="6B7F89"/>
          <w:sz w:val="20"/>
        </w:rPr>
        <w:t>版本 1.0    2026年9月17日</w:t>
      </w:r>
    </w:p>
    <w:p>
      <w:pPr>
        <w:spacing w:after="140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本文面向负责将完整社区预测模块接入现有业务平台的产品、前端、后端、运维和测试人员。当前模块已经统一为六功能单页面工作台，不包含旧入口页和左侧导航。大系统只需提供一个菜单按钮，并采用 iframe 或 React 组件方式加载模块，即可使用社区数据、人口预测、设施预测、结果报告、社区管理和工程管理全部功能。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接入结论  </w:t>
      </w:r>
      <w:r>
        <w:rPr>
          <w:rFonts w:ascii="Microsoft YaHei" w:hAnsi="Microsoft YaHei" w:eastAsia="Microsoft YaHei"/>
          <w:color w:val="173B4D"/>
          <w:sz w:val="21"/>
        </w:rPr>
        <w:t>推荐方案是通过统一反向代理把宿主系统、预测前端和预测 API 发布为同源路径，再使用 iframe 嵌入。该方案与宿主技术栈无关，隔离性和升级稳定性最好。宿主为 React 且希望深度统一样式时，可改用组件接入。</w:t>
      </w:r>
    </w:p>
    <w:p>
      <w:r>
        <w:br w:type="page"/>
      </w:r>
    </w:p>
    <w:p>
      <w:pPr>
        <w:pStyle w:val="Heading1"/>
      </w:pPr>
      <w:r>
        <w:t>1 模块范围和接入边界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02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本模块负责</w:t>
            </w:r>
          </w:p>
        </w:tc>
        <w:tc>
          <w:tcPr>
            <w:tcW w:type="dxa" w:w="402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宿主系统负责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入口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提供完整单页面工作台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提供菜单按钮 路由 权限入口和返回路径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业务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社区数据录入 参数配置 人口预测 设施预测 图表 报告和工程管理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决定哪些用户可访问 可选传入指定工程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数据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通过 FastAPI 读写数据库和工程文件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提供部署目录 备份策略和必要的用户上下文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安全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支持 Bearer Token 和 CORS 白名单</w:t>
            </w:r>
          </w:p>
        </w:tc>
        <w:tc>
          <w:tcPr>
            <w:tcW w:type="dxa" w:w="402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统一登录 HTTPS 网关鉴权和来源校验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联动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通过 postMessage 或 onEvent 发出状态事件</w:t>
            </w:r>
          </w:p>
        </w:tc>
        <w:tc>
          <w:tcPr>
            <w:tcW w:type="dxa" w:w="402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监听事件并更新菜单 状态或审计记录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模块不是一个只展示图表的静态页面。预测计算、Excel 导入导出、Word 报告、工程备份和 SQLite 数据都依赖后端服务，因此不能只复制一个 HTML 文件完成生产接入。</w:t>
      </w:r>
    </w:p>
    <w:p>
      <w:pPr>
        <w:pStyle w:val="Heading1"/>
      </w:pPr>
      <w:r>
        <w:t>2 整体接入架构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247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嵌入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26E7C"/>
          <w:sz w:val="18"/>
        </w:rPr>
        <w:t>图 1  大系统嵌入架构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宿主系统只控制模块入口和上下文，不应直接读写社区预测数据库。所有业务读写都通过模块 API 完成；这可以保持预测规则、数据校验、报告生成和备份逻辑的一致性。</w:t>
      </w:r>
    </w:p>
    <w:p>
      <w:pPr>
        <w:pStyle w:val="Heading1"/>
      </w:pPr>
      <w:r>
        <w:t>3 接入方式选择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417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方式</w:t>
            </w:r>
          </w:p>
        </w:tc>
        <w:tc>
          <w:tcPr>
            <w:tcW w:type="dxa" w:w="300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适用场景</w:t>
            </w:r>
          </w:p>
        </w:tc>
        <w:tc>
          <w:tcPr>
            <w:tcW w:type="dxa" w:w="289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89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注意事项</w:t>
            </w:r>
          </w:p>
        </w:tc>
      </w:tr>
      <w:tr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iframe 推荐</w:t>
            </w:r>
          </w:p>
        </w:tc>
        <w:tc>
          <w:tcPr>
            <w:tcW w:type="dxa" w:w="300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宿主技术栈不限 希望快速稳定接入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隔离性好 发布独立 升级风险低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配置同源代理或 CORS 监听 postMessage</w:t>
            </w:r>
          </w:p>
        </w:tc>
      </w:tr>
      <w:tr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React 组件</w:t>
            </w:r>
          </w:p>
        </w:tc>
        <w:tc>
          <w:tcPr>
            <w:tcW w:type="dxa" w:w="300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宿主已经使用 React 18 且需要统一页面生命周期</w:t>
            </w:r>
          </w:p>
        </w:tc>
        <w:tc>
          <w:tcPr>
            <w:tcW w:type="dxa" w:w="289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可直接传入回调和上下文 无 iframe 边界</w:t>
            </w:r>
          </w:p>
        </w:tc>
        <w:tc>
          <w:tcPr>
            <w:tcW w:type="dxa" w:w="289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宿主需提供 React 依赖 并同步加载模块 CSS</w:t>
            </w:r>
          </w:p>
        </w:tc>
      </w:tr>
      <w:tr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新窗口跳转</w:t>
            </w:r>
          </w:p>
        </w:tc>
        <w:tc>
          <w:tcPr>
            <w:tcW w:type="dxa" w:w="300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只需增加入口按钮 暂不要求页面内嵌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实施最快 对宿主改动最少</w:t>
            </w:r>
          </w:p>
        </w:tc>
        <w:tc>
          <w:tcPr>
            <w:tcW w:type="dxa" w:w="289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用户体验不如页内嵌入 宿主与模块状态联动较弱</w:t>
            </w:r>
          </w:p>
        </w:tc>
      </w:tr>
    </w:tbl>
    <w:p>
      <w:pPr>
        <w:spacing w:after="0"/>
      </w:pPr>
    </w:p>
    <w:p>
      <w:pPr>
        <w:pStyle w:val="Heading1"/>
      </w:pPr>
      <w:r>
        <w:t>4 iframe 接入步骤</w:t>
      </w:r>
    </w:p>
    <w:p>
      <w:pPr>
        <w:pStyle w:val="Heading2"/>
      </w:pPr>
      <w:r>
        <w:t>4.1 推荐地址规划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96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示例地址</w:t>
            </w:r>
          </w:p>
        </w:tc>
        <w:tc>
          <w:tcPr>
            <w:tcW w:type="dxa" w:w="3798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宿主系统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大系统现有访问地址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预测模块页面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https://portal.example.com/community-prediction/</w:t>
            </w:r>
          </w:p>
        </w:tc>
        <w:tc>
          <w:tcPr>
            <w:tcW w:type="dxa" w:w="379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反向代理到预测前端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 API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https://portal.example.com/community-api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反向代理到 FastAPI 的 /api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4.2 宿主按钮和页面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&lt;button id="open-community-prediction"&gt;社区预测&lt;/button&gt;</w:t>
      </w:r>
      <w:r>
        <w:br/>
      </w:r>
      <w:r>
        <w:rPr>
          <w:rFonts w:ascii="Consolas" w:hAnsi="Consolas" w:eastAsia="Consolas"/>
          <w:color w:val="253F4C"/>
          <w:sz w:val="16"/>
        </w:rPr>
        <w:t>&lt;section id="community-prediction-panel" hidden&gt;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&lt;iframe id="community-prediction-frame"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title="完整社区预测"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allow="clipboard-write"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sandbox="allow-scripts allow-same-origin allow-forms allow-downloads"&gt;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&lt;/iframe&gt;</w:t>
      </w:r>
      <w:r>
        <w:br/>
      </w:r>
      <w:r>
        <w:rPr>
          <w:rFonts w:ascii="Consolas" w:hAnsi="Consolas" w:eastAsia="Consolas"/>
          <w:color w:val="253F4C"/>
          <w:sz w:val="16"/>
        </w:rPr>
        <w:t>&lt;/section&gt;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const moduleOrigin = "https://portal.example.com";</w:t>
      </w:r>
      <w:r>
        <w:br/>
      </w:r>
      <w:r>
        <w:rPr>
          <w:rFonts w:ascii="Consolas" w:hAnsi="Consolas" w:eastAsia="Consolas"/>
          <w:color w:val="253F4C"/>
          <w:sz w:val="16"/>
        </w:rPr>
        <w:t>const frame = document.querySelector("#community-prediction-frame");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document.querySelector("#open-community-prediction").onclick = () =&gt;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const params = new URLSearchParams({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projectId: "9",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apiBase: "/community-api",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hostOrigin: window.location.origin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});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frame.src = `/community-prediction/?${params}`;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document.querySelector("#community-prediction-panel").hidden = false;</w:t>
      </w:r>
      <w:r>
        <w:br/>
      </w:r>
      <w:r>
        <w:rPr>
          <w:rFonts w:ascii="Consolas" w:hAnsi="Consolas" w:eastAsia="Consolas"/>
          <w:color w:val="253F4C"/>
          <w:sz w:val="16"/>
        </w:rPr>
        <w:t>};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window.addEventListener("message", (event) =&gt;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if (event.origin !== moduleOrigin) return;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if (event.data?.source !== "community-prediction") return;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console.log("社区预测模块事件", event.data.type, event.data.payload);</w:t>
      </w:r>
      <w:r>
        <w:br/>
      </w:r>
      <w:r>
        <w:rPr>
          <w:rFonts w:ascii="Consolas" w:hAnsi="Consolas" w:eastAsia="Consolas"/>
          <w:color w:val="253F4C"/>
          <w:sz w:val="16"/>
        </w:rPr>
        <w:t>});</w:t>
      </w:r>
    </w:p>
    <w:p>
      <w:pPr>
        <w:pStyle w:val="Heading2"/>
      </w:pPr>
      <w:r>
        <w:t>4.3 页面参数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1417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是否必填</w:t>
            </w:r>
          </w:p>
        </w:tc>
        <w:tc>
          <w:tcPr>
            <w:tcW w:type="dxa" w:w="396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72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projectId</w:t>
            </w:r>
          </w:p>
        </w:tc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否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进入指定预测工程 不传则进入可用的非演示工程</w:t>
            </w:r>
          </w:p>
        </w:tc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9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</w:t>
            </w:r>
          </w:p>
        </w:tc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同源默认否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指定 API 根地址 默认使用 /api</w:t>
            </w:r>
          </w:p>
        </w:tc>
        <w:tc>
          <w:tcPr>
            <w:tcW w:type="dxa" w:w="272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/community-api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token</w:t>
            </w:r>
          </w:p>
        </w:tc>
        <w:tc>
          <w:tcPr>
            <w:tcW w:type="dxa" w:w="141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启用后必填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作为 Bearer Token 访问 API 下载地址也会使用该令牌</w:t>
            </w:r>
          </w:p>
        </w:tc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临时或网关签发令牌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</w:t>
            </w:r>
          </w:p>
        </w:tc>
        <w:tc>
          <w:tcPr>
            <w:tcW w:type="dxa" w:w="1417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推荐</w:t>
            </w:r>
          </w:p>
        </w:tc>
        <w:tc>
          <w:tcPr>
            <w:tcW w:type="dxa" w:w="396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限制模块 postMessage 的目标来源</w:t>
            </w:r>
          </w:p>
        </w:tc>
        <w:tc>
          <w:tcPr>
            <w:tcW w:type="dxa" w:w="272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https://portal.example.com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生产环境优先采用同源反向代理，并由网关完成登录校验。若必须把 token 放入 iframe 地址，应使用 HTTPS、缩短有效期并避免写入访问日志；当前后端也支持通过 HOST_API_TOKEN 配置共享访问令牌。</w:t>
      </w:r>
    </w:p>
    <w:p>
      <w:pPr>
        <w:pStyle w:val="Heading1"/>
      </w:pPr>
      <w:r>
        <w:t>5 React 组件接入步骤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组件产物位于 frontend/dist-embed。运行 npm run build:embed 后会生成 community-prediction-module.js 和 community-prediction-module.css。构建时 React ReactDOM 和 ReactDOM Client 被设为外部依赖，由宿主系统提供。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import { mountCommunityPredictionModule } from "./community-prediction-module.js";</w:t>
      </w:r>
      <w:r>
        <w:br/>
      </w:r>
      <w:r>
        <w:rPr>
          <w:rFonts w:ascii="Consolas" w:hAnsi="Consolas" w:eastAsia="Consolas"/>
          <w:color w:val="253F4C"/>
          <w:sz w:val="16"/>
        </w:rPr>
        <w:t>import "./community-prediction-module.css";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const unmount = mountCommunityPredictionModule(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document.getElementById("community-prediction-root"),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mode: "embedded",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apiBase: "/community-api",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projectId: 9,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token: accessToken,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hostOrigin: window.location.origin,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hostContext: { userId: currentUser.id, organizationId: currentOrg.id },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defaultTheme: "light",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onEvent(event)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  console.log(event.type, event.payload);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}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}</w:t>
      </w:r>
      <w:r>
        <w:br/>
      </w:r>
      <w:r>
        <w:rPr>
          <w:rFonts w:ascii="Consolas" w:hAnsi="Consolas" w:eastAsia="Consolas"/>
          <w:color w:val="253F4C"/>
          <w:sz w:val="16"/>
        </w:rPr>
        <w:t>);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// 宿主页面销毁时调用</w:t>
      </w:r>
      <w:r>
        <w:br/>
      </w:r>
      <w:r>
        <w:rPr>
          <w:rFonts w:ascii="Consolas" w:hAnsi="Consolas" w:eastAsia="Consolas"/>
          <w:color w:val="253F4C"/>
          <w:sz w:val="16"/>
        </w:rPr>
        <w:t>unmount();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组件属性</w:t>
            </w:r>
          </w:p>
        </w:tc>
        <w:tc>
          <w:tcPr>
            <w:tcW w:type="dxa" w:w="2494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32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mode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standalone 或 embedded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嵌入大系统时使用 embedded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FastAPI 根地址 默认 /api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token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可选访问令牌 自动写入 Authorization 请求头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projectId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number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 初始工程编号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hostContext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object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随 API 请求写入 X Host Context 请求头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string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postMessage 目标来源</w:t>
            </w:r>
          </w:p>
        </w:tc>
      </w:tr>
      <w:tr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defaultTheme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light 或 dark</w:t>
            </w:r>
          </w:p>
        </w:tc>
        <w:tc>
          <w:tcPr>
            <w:tcW w:type="dxa" w:w="532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模块初始主题</w:t>
            </w:r>
          </w:p>
        </w:tc>
      </w:tr>
      <w:tr>
        <w:tc>
          <w:tcPr>
            <w:tcW w:type="dxa" w:w="170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onEvent</w:t>
            </w:r>
          </w:p>
        </w:tc>
        <w:tc>
          <w:tcPr>
            <w:tcW w:type="dxa" w:w="249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function</w:t>
            </w:r>
          </w:p>
        </w:tc>
        <w:tc>
          <w:tcPr>
            <w:tcW w:type="dxa" w:w="532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组件模式的宿主事件回调</w:t>
            </w:r>
          </w:p>
        </w:tc>
      </w:tr>
    </w:tbl>
    <w:p>
      <w:pPr>
        <w:spacing w:after="0"/>
      </w:pPr>
    </w:p>
    <w:p>
      <w:pPr>
        <w:pStyle w:val="Heading1"/>
      </w:pPr>
      <w:r>
        <w:t>6 模块事件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268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事件名</w:t>
            </w:r>
          </w:p>
        </w:tc>
        <w:tc>
          <w:tcPr>
            <w:tcW w:type="dxa" w:w="3402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触发时机</w:t>
            </w:r>
          </w:p>
        </w:tc>
        <w:tc>
          <w:tcPr>
            <w:tcW w:type="dxa" w:w="385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典型用途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module-ready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模块和初始工程数据加载完成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关闭宿主加载动画 记录当前工程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module-error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启动或服务连接失败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显示统一错误提示或上报告警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project-created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创建工程完成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同步宿主业务对象与工程编号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project-changed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用户切换工程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更新地址栏或宿主面包屑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project-renamed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工程重命名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刷新宿主显示名称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project-deleted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工程删除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清理宿主关联记录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prediction-completed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人口或设施预测完成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刷新状态 徽标或通知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prediction-failed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预测执行失败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提示用户并记录失败原因</w:t>
            </w:r>
          </w:p>
        </w:tc>
      </w:tr>
      <w:tr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prediction-run-deleted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预测批次删除</w:t>
            </w:r>
          </w:p>
        </w:tc>
        <w:tc>
          <w:tcPr>
            <w:tcW w:type="dxa" w:w="385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更新宿主历史状态</w:t>
            </w:r>
          </w:p>
        </w:tc>
      </w:tr>
      <w:tr>
        <w:tc>
          <w:tcPr>
            <w:tcW w:type="dxa" w:w="226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theme-changed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用户切换明暗主题</w:t>
            </w:r>
          </w:p>
        </w:tc>
        <w:tc>
          <w:tcPr>
            <w:tcW w:type="dxa" w:w="385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可选 同步宿主主题偏好</w:t>
            </w:r>
          </w:p>
        </w:tc>
      </w:tr>
    </w:tbl>
    <w:p>
      <w:pPr>
        <w:spacing w:after="0"/>
      </w:pP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iframe 事件结构为 source 等于 community-prediction、version 等于 1，并包含 type 和 payload。宿主必须同时校验 event.origin 和 source，不能只根据事件名执行敏感操作。</w:t>
      </w:r>
    </w:p>
    <w:p>
      <w:pPr>
        <w:pStyle w:val="Heading1"/>
      </w:pPr>
      <w:r>
        <w:t>7 后端部署与安全配置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3402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309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</w:t>
            </w:r>
          </w:p>
        </w:tc>
      </w:tr>
      <w:tr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CORS_ORIGINS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允许跨域访问模块 API 的宿主来源</w:t>
            </w:r>
          </w:p>
        </w:tc>
        <w:tc>
          <w:tcPr>
            <w:tcW w:type="dxa" w:w="430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生产环境只填写明确的 HTTPS 来源 多个来源用逗号分隔</w:t>
            </w:r>
          </w:p>
        </w:tc>
      </w:tr>
      <w:tr>
        <w:tc>
          <w:tcPr>
            <w:tcW w:type="dxa" w:w="181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HOST_API_TOKEN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启用 API Bearer Token 校验</w:t>
            </w:r>
          </w:p>
        </w:tc>
        <w:tc>
          <w:tcPr>
            <w:tcW w:type="dxa" w:w="430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生产环境设置高强度值并由网关或宿主安全传递</w:t>
            </w:r>
          </w:p>
        </w:tc>
      </w:tr>
      <w:tr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DATABASE_URL</w:t>
            </w:r>
          </w:p>
        </w:tc>
        <w:tc>
          <w:tcPr>
            <w:tcW w:type="dxa" w:w="340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数据库连接地址</w:t>
            </w:r>
          </w:p>
        </w:tc>
        <w:tc>
          <w:tcPr>
            <w:tcW w:type="dxa" w:w="430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当前默认 SQLite 单实例部署可直接使用</w:t>
            </w:r>
          </w:p>
        </w:tc>
      </w:tr>
      <w:tr>
        <w:tc>
          <w:tcPr>
            <w:tcW w:type="dxa" w:w="1814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PROJECTS_ROOT</w:t>
            </w:r>
          </w:p>
        </w:tc>
        <w:tc>
          <w:tcPr>
            <w:tcW w:type="dxa" w:w="3402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工程文件 结果 报告和备份目录</w:t>
            </w:r>
          </w:p>
        </w:tc>
        <w:tc>
          <w:tcPr>
            <w:tcW w:type="dxa" w:w="4309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使用持久化磁盘并纳入备份</w:t>
            </w:r>
          </w:p>
        </w:tc>
      </w:tr>
    </w:tbl>
    <w:p>
      <w:pPr>
        <w:spacing w:after="0"/>
      </w:pP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生产环境必须使用 HTTPS，并由反向代理限制请求体大小 超时时间和下载路径。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生产部署应由 Uvicorn 或进程管理器运行后端，并通过反向代理统一提供静态页面与 /api。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SQLite 适合当前单实例业务。如果未来出现多节点部署或大量并发写入，应迁移到 PostgreSQL，并把工程文件迁移到共享存储。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不要让宿主前端直接访问数据库文件。工程迁移应使用系统备份或工程 ZIP。</w:t>
      </w:r>
    </w:p>
    <w:p>
      <w:pPr>
        <w:pStyle w:val="Heading1"/>
      </w:pPr>
      <w:r>
        <w:t>8 推荐反向代理规则</w:t>
      </w:r>
    </w:p>
    <w:p>
      <w:pPr>
        <w:spacing w:before="60" w:after="180" w:line="252" w:lineRule="auto"/>
        <w:ind w:left="397" w:right="227"/>
        <w:shd w:fill="F3F6F7"/>
      </w:pPr>
      <w:r>
        <w:rPr>
          <w:rFonts w:ascii="Consolas" w:hAnsi="Consolas" w:eastAsia="Consolas"/>
          <w:color w:val="253F4C"/>
          <w:sz w:val="16"/>
        </w:rPr>
        <w:t>location /community-prediction/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alias /srv/community-prediction/frontend/dist/;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try_files $uri $uri/ /community-prediction/index.html;</w:t>
      </w:r>
      <w:r>
        <w:br/>
      </w:r>
      <w:r>
        <w:rPr>
          <w:rFonts w:ascii="Consolas" w:hAnsi="Consolas" w:eastAsia="Consolas"/>
          <w:color w:val="253F4C"/>
          <w:sz w:val="16"/>
        </w:rPr>
        <w:t>}</w:t>
      </w:r>
      <w:r>
        <w:br/>
      </w:r>
      <w:r>
        <w:rPr>
          <w:rFonts w:ascii="Consolas" w:hAnsi="Consolas" w:eastAsia="Consolas"/>
          <w:color w:val="253F4C"/>
          <w:sz w:val="16"/>
        </w:rPr>
      </w:r>
      <w:r>
        <w:br/>
      </w:r>
      <w:r>
        <w:rPr>
          <w:rFonts w:ascii="Consolas" w:hAnsi="Consolas" w:eastAsia="Consolas"/>
          <w:color w:val="253F4C"/>
          <w:sz w:val="16"/>
        </w:rPr>
        <w:t>location /community-api/ {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proxy_pass http://127.0.0.1:8000/api/;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Host $host;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X-Forwarded-Proto $scheme;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proxy_set_header X-Forwarded-For $proxy_add_x_forwarded_for;</w:t>
      </w:r>
      <w:r>
        <w:br/>
      </w:r>
      <w:r>
        <w:rPr>
          <w:rFonts w:ascii="Consolas" w:hAnsi="Consolas" w:eastAsia="Consolas"/>
          <w:color w:val="253F4C"/>
          <w:sz w:val="16"/>
        </w:rPr>
        <w:t xml:space="preserve">    proxy_read_timeout 180s;</w:t>
      </w:r>
      <w:r>
        <w:br/>
      </w:r>
      <w:r>
        <w:rPr>
          <w:rFonts w:ascii="Consolas" w:hAnsi="Consolas" w:eastAsia="Consolas"/>
          <w:color w:val="253F4C"/>
          <w:sz w:val="16"/>
        </w:rPr>
        <w:t>}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如果宿主地址与预测模块地址完全同源，通常不需要浏览器跨域配置。若分属不同域名，必须同时配置 CORS_ORIGINS、HTTPS 和严格的 postMessage 来源校验。</w:t>
      </w:r>
    </w:p>
    <w:p>
      <w:pPr>
        <w:pStyle w:val="Heading1"/>
      </w:pPr>
      <w:r>
        <w:t>9 访问时序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85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访问时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8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526E7C"/>
          <w:sz w:val="18"/>
        </w:rPr>
        <w:t>图 2  嵌入页面访问与事件回传时序</w:t>
      </w:r>
    </w:p>
    <w:p>
      <w:pPr>
        <w:pStyle w:val="Heading1"/>
      </w:pPr>
      <w:r>
        <w:t>10 联调验收清单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宿主按钮可打开单页面工作台 页面不出现旧入口页和左侧导航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projectId 有效时进入指定工程 无效时返回明确错误或使用默认工程策略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社区 Excel 可导入和下载 参数可保存 人口与设施预测均可执行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人口和设施结果显示年度分组柱状图 图例 悬停和尺度切换可用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结果 Excel Word 报告 工程 ZIP 和系统备份均可下载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module-ready prediction-completed 和 module-error 能被宿主正确接收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跨域 Token 下载和刷新页面后仍能正常访问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□ 生产环境数据目录有持久化和备份 恢复演练通过</w:t>
      </w:r>
    </w:p>
    <w:p>
      <w:pPr>
        <w:pStyle w:val="Heading1"/>
      </w:pPr>
      <w:r>
        <w:t>11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38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0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419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页面可以打开但数据显示连接失败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apiBase 错误 API 未启动或代理路径未保留 /api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检查 /api/health 和浏览器网络请求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浏览器提示跨域错误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宿主来源未加入 CORS_ORIGINS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增加精确来源后重启后端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下载文件返回 401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下载链接未携带有效 token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确认传入 token 与 HOST_API_TOKEN 一致 或改为同源网关代理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宿主收不到事件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hostOrigin 错误 iframe 不是父子关系或来源校验不匹配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使用宿主真实 origin 并检查 message 事件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本机可以访问但其他设备无法访问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仍在使用 127.0.0.1 或网关未开放服务</w:t>
            </w:r>
          </w:p>
        </w:tc>
        <w:tc>
          <w:tcPr>
            <w:tcW w:type="dxa" w:w="419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使用正式域名和反向代理，并检查防火墙与监听地址</w:t>
            </w:r>
          </w:p>
        </w:tc>
      </w:tr>
      <w:tr>
        <w:tc>
          <w:tcPr>
            <w:tcW w:type="dxa" w:w="238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组件页面无样式</w:t>
            </w:r>
          </w:p>
        </w:tc>
        <w:tc>
          <w:tcPr>
            <w:tcW w:type="dxa" w:w="30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只加载了 JS 没加载 CSS</w:t>
            </w:r>
          </w:p>
        </w:tc>
        <w:tc>
          <w:tcPr>
            <w:tcW w:type="dxa" w:w="419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同时引入 community-prediction-module.css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 A 源码下载与一键启动</w:t>
      </w:r>
    </w:p>
    <w:p>
      <w:pPr>
        <w:spacing w:after="140" w:line="336" w:lineRule="auto"/>
      </w:pPr>
      <w:r>
        <w:rPr>
          <w:rFonts w:ascii="Microsoft YaHei" w:hAnsi="Microsoft YaHei" w:eastAsia="Microsoft YaHei"/>
          <w:color w:val="173B4D"/>
          <w:sz w:val="21"/>
        </w:rPr>
        <w:t>协作成员从 GitHub 获取源码后，可以通过根目录的一键启动脚本完成本地运行。该方式直接基于源码，用于开发、联调和功能验证。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4535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628"/>
            <w:shd w:fill="155F7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keepNext/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1 准备环境</w:t>
            </w:r>
          </w:p>
        </w:tc>
        <w:tc>
          <w:tcPr>
            <w:tcW w:type="dxa" w:w="45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安装 Python 3.11 或更高版本、Node.js 20 或更高版本，并加入 PATH</w:t>
            </w:r>
          </w:p>
        </w:tc>
        <w:tc>
          <w:tcPr>
            <w:tcW w:type="dxa" w:w="36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命令行可执行 python 或 py，以及 node 和 corepack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2 获取源码</w:t>
            </w:r>
          </w:p>
        </w:tc>
        <w:tc>
          <w:tcPr>
            <w:tcW w:type="dxa" w:w="453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git clone 仓库，或下载 ZIP 后完整解压</w:t>
            </w:r>
          </w:p>
        </w:tc>
        <w:tc>
          <w:tcPr>
            <w:tcW w:type="dxa" w:w="362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根目录中可见 backend、frontend、scripts 和一键启动.bat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3 一键启动</w:t>
            </w:r>
          </w:p>
        </w:tc>
        <w:tc>
          <w:tcPr>
            <w:tcW w:type="dxa" w:w="45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双击根目录的一键启动.bat</w:t>
            </w:r>
          </w:p>
        </w:tc>
        <w:tc>
          <w:tcPr>
            <w:tcW w:type="dxa" w:w="36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脚本自动创建 .venv、安装依赖、启动服务并打开浏览器</w:t>
            </w:r>
          </w:p>
        </w:tc>
      </w:tr>
      <w:tr>
        <w:tc>
          <w:tcPr>
            <w:tcW w:type="dxa" w:w="1361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4 访问系统</w:t>
            </w:r>
          </w:p>
        </w:tc>
        <w:tc>
          <w:tcPr>
            <w:tcW w:type="dxa" w:w="4535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浏览器打开 http://127.0.0.1:5173</w:t>
            </w:r>
          </w:p>
        </w:tc>
        <w:tc>
          <w:tcPr>
            <w:tcW w:type="dxa" w:w="3628"/>
            <w:shd w:fill="F4F9FB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前端页面和 http://127.0.0.1:8000/api/health 均可访问</w:t>
            </w:r>
          </w:p>
        </w:tc>
      </w:tr>
      <w:tr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5 停止服务</w:t>
            </w:r>
          </w:p>
        </w:tc>
        <w:tc>
          <w:tcPr>
            <w:tcW w:type="dxa" w:w="45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关闭一键启动脚本窗口</w:t>
            </w:r>
          </w:p>
        </w:tc>
        <w:tc>
          <w:tcPr>
            <w:tcW w:type="dxa" w:w="36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73B4D"/>
                <w:sz w:val="18"/>
              </w:rPr>
              <w:t>前端与后端进程自动结束，5173 与 8000 端口释放</w:t>
            </w:r>
          </w:p>
        </w:tc>
      </w:tr>
    </w:tbl>
    <w:p>
      <w:pPr>
        <w:spacing w:after="0"/>
      </w:pP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首次启动需要联网下载 Python 和前端依赖，后续启动仍会校验依赖以适配代码更新。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不要从压缩包预览窗口直接运行，也不要把 .venv、node_modules 或运行数据库提交到 GitHub。</w:t>
      </w:r>
    </w:p>
    <w:p>
      <w:pPr>
        <w:pStyle w:val="ListBullet"/>
        <w:spacing w:after="80" w:line="312" w:lineRule="auto"/>
      </w:pPr>
      <w:r>
        <w:rPr>
          <w:rFonts w:ascii="Microsoft YaHei" w:hAnsi="Microsoft YaHei" w:eastAsia="Microsoft YaHei"/>
          <w:color w:val="173B4D"/>
          <w:sz w:val="20"/>
        </w:rPr>
        <w:t>使用系统期间需保持启动窗口开启；若提示端口占用，请关闭已有启动窗口和占用 5173 或 8000 端口的其他程序后重试。</w:t>
      </w:r>
    </w:p>
    <w:sectPr w:rsidR="00FC693F" w:rsidRPr="0006063C" w:rsidSect="00034616">
      <w:footerReference w:type="default" r:id="rId11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748993"/>
        <w:sz w:val="17"/>
      </w:rPr>
      <w:t>完整社区预测模块嵌入大系统接入说明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3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完整社区预测模块嵌入大系统接入说明</dc:title>
  <dc:subject>单页面工作台 iframe 和 React 组件接入说明</dc:subject>
  <dc:creator>完整社区预测项目组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