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000000"/>
          <w:sz w:val="54"/>
        </w:rPr>
        <w:t>完整社区预测模块嵌入大系统接入说明</w:t>
      </w:r>
    </w:p>
    <w:p>
      <w:pPr>
        <w:spacing w:after="400"/>
        <w:jc w:val="center"/>
      </w:pPr>
      <w:r>
        <w:rPr>
          <w:rFonts w:ascii="Microsoft YaHei" w:hAnsi="Microsoft YaHei" w:eastAsia="Microsoft YaHei"/>
          <w:color w:val="526E7C"/>
          <w:sz w:val="24"/>
        </w:rPr>
        <w:t>单页面工作台接入架构 部署配置 接口参数与联调验收</w:t>
      </w:r>
    </w:p>
    <w:p>
      <w:pPr>
        <w:jc w:val="center"/>
      </w:pPr>
      <w:r>
        <w:rPr>
          <w:rFonts w:ascii="Microsoft YaHei" w:hAnsi="Microsoft YaHei" w:eastAsia="Microsoft YaHei"/>
          <w:color w:val="6B7F89"/>
          <w:sz w:val="20"/>
        </w:rPr>
        <w:t>版本 1.0    2026年9月17日</w:t>
      </w:r>
    </w:p>
    <w:p>
      <w:pPr>
        <w:spacing w:after="1400"/>
      </w:pPr>
    </w:p>
    <w:p>
      <w:pPr>
        <w:spacing w:after="140" w:line="336" w:lineRule="auto"/>
      </w:pPr>
      <w:r>
        <w:rPr>
          <w:rFonts w:ascii="Microsoft YaHei" w:hAnsi="Microsoft YaHei" w:eastAsia="Microsoft YaHei"/>
          <w:color w:val="173B4D"/>
          <w:sz w:val="21"/>
        </w:rPr>
        <w:t>本文面向负责将完整社区预测模块接入现有业务平台的产品、前端、后端、运维和测试人员。当前模块已经统一为六功能单页面工作台，不包含旧入口页和左侧导航。大系统只需提供一个菜单按钮，并采用 iframe 或 React 组件方式加载模块，即可使用社区数据、人口预测、设施预测、结果报告、社区管理和工程管理全部功能。</w:t>
      </w:r>
    </w:p>
    <w:p>
      <w:pPr>
        <w:spacing w:after="140" w:line="336" w:lineRule="auto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接入结论  </w:t>
      </w:r>
      <w:r>
        <w:rPr>
          <w:rFonts w:ascii="Microsoft YaHei" w:hAnsi="Microsoft YaHei" w:eastAsia="Microsoft YaHei"/>
          <w:color w:val="173B4D"/>
          <w:sz w:val="21"/>
        </w:rPr>
        <w:t>推荐方案是通过统一反向代理把宿主系统、预测前端和预测 API 发布为同源路径，再使用 iframe 嵌入。该方案与宿主技术栈无关，隔离性和升级稳定性最好。宿主为 React 且希望深度统一样式时，可改用组件接入。</w:t>
      </w:r>
    </w:p>
    <w:p>
      <w:r>
        <w:br w:type="page"/>
      </w:r>
    </w:p>
    <w:p>
      <w:pPr>
        <w:pStyle w:val="Heading1"/>
      </w:pPr>
      <w:r>
        <w:t>1 模块范围和接入边界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361"/>
            <w:shd w:fill="155F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4025"/>
            <w:shd w:fill="155F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本模块负责</w:t>
            </w:r>
          </w:p>
        </w:tc>
        <w:tc>
          <w:tcPr>
            <w:tcW w:type="dxa" w:w="4025"/>
            <w:shd w:fill="155F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宿主系统负责</w:t>
            </w:r>
          </w:p>
        </w:tc>
      </w:tr>
      <w:tr>
        <w:tc>
          <w:tcPr>
            <w:tcW w:type="dxa" w:w="13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入口</w:t>
            </w:r>
          </w:p>
        </w:tc>
        <w:tc>
          <w:tcPr>
            <w:tcW w:type="dxa" w:w="402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提供完整单页面工作台</w:t>
            </w:r>
          </w:p>
        </w:tc>
        <w:tc>
          <w:tcPr>
            <w:tcW w:type="dxa" w:w="402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提供菜单按钮 路由 权限入口和返回路径</w:t>
            </w:r>
          </w:p>
        </w:tc>
      </w:tr>
      <w:tr>
        <w:tc>
          <w:tcPr>
            <w:tcW w:type="dxa" w:w="1361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业务</w:t>
            </w:r>
          </w:p>
        </w:tc>
        <w:tc>
          <w:tcPr>
            <w:tcW w:type="dxa" w:w="4025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社区数据录入 参数配置 人口预测 设施预测 图表 报告和工程管理</w:t>
            </w:r>
          </w:p>
        </w:tc>
        <w:tc>
          <w:tcPr>
            <w:tcW w:type="dxa" w:w="4025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决定哪些用户可访问 可选传入指定工程</w:t>
            </w:r>
          </w:p>
        </w:tc>
      </w:tr>
      <w:tr>
        <w:tc>
          <w:tcPr>
            <w:tcW w:type="dxa" w:w="13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数据</w:t>
            </w:r>
          </w:p>
        </w:tc>
        <w:tc>
          <w:tcPr>
            <w:tcW w:type="dxa" w:w="402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通过 FastAPI 读写数据库和工程文件</w:t>
            </w:r>
          </w:p>
        </w:tc>
        <w:tc>
          <w:tcPr>
            <w:tcW w:type="dxa" w:w="402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提供部署目录 备份策略和必要的用户上下文</w:t>
            </w:r>
          </w:p>
        </w:tc>
      </w:tr>
      <w:tr>
        <w:tc>
          <w:tcPr>
            <w:tcW w:type="dxa" w:w="1361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安全</w:t>
            </w:r>
          </w:p>
        </w:tc>
        <w:tc>
          <w:tcPr>
            <w:tcW w:type="dxa" w:w="4025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支持 Bearer Token 和 CORS 白名单</w:t>
            </w:r>
          </w:p>
        </w:tc>
        <w:tc>
          <w:tcPr>
            <w:tcW w:type="dxa" w:w="4025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统一登录 HTTPS 网关鉴权和来源校验</w:t>
            </w:r>
          </w:p>
        </w:tc>
      </w:tr>
      <w:tr>
        <w:tc>
          <w:tcPr>
            <w:tcW w:type="dxa" w:w="13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联动</w:t>
            </w:r>
          </w:p>
        </w:tc>
        <w:tc>
          <w:tcPr>
            <w:tcW w:type="dxa" w:w="402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通过 postMessage 或 onEvent 发出状态事件</w:t>
            </w:r>
          </w:p>
        </w:tc>
        <w:tc>
          <w:tcPr>
            <w:tcW w:type="dxa" w:w="402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监听事件并更新菜单 状态或审计记录</w:t>
            </w:r>
          </w:p>
        </w:tc>
      </w:tr>
    </w:tbl>
    <w:p>
      <w:pPr>
        <w:spacing w:after="0"/>
      </w:pPr>
    </w:p>
    <w:p>
      <w:pPr>
        <w:spacing w:after="140" w:line="336" w:lineRule="auto"/>
      </w:pPr>
      <w:r>
        <w:rPr>
          <w:rFonts w:ascii="Microsoft YaHei" w:hAnsi="Microsoft YaHei" w:eastAsia="Microsoft YaHei"/>
          <w:color w:val="173B4D"/>
          <w:sz w:val="21"/>
        </w:rPr>
        <w:t>模块不是一个只展示图表的静态页面。预测计算、Excel 导入导出、Word 报告、工程备份和 SQLite 数据都依赖后端服务，因此不能只复制一个 HTML 文件完成生产接入。</w:t>
      </w:r>
    </w:p>
    <w:p>
      <w:pPr>
        <w:pStyle w:val="Heading1"/>
      </w:pPr>
      <w:r>
        <w:t>2 整体接入架构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2471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嵌入架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47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26E7C"/>
          <w:sz w:val="18"/>
        </w:rPr>
        <w:t>图 1  大系统嵌入架构</w:t>
      </w:r>
    </w:p>
    <w:p>
      <w:pPr>
        <w:spacing w:after="140" w:line="336" w:lineRule="auto"/>
      </w:pPr>
      <w:r>
        <w:rPr>
          <w:rFonts w:ascii="Microsoft YaHei" w:hAnsi="Microsoft YaHei" w:eastAsia="Microsoft YaHei"/>
          <w:color w:val="173B4D"/>
          <w:sz w:val="21"/>
        </w:rPr>
        <w:t>宿主系统只控制模块入口和上下文，不应直接读写社区预测数据库。所有业务读写都通过模块 API 完成；这可以保持预测规则、数据校验、报告生成和备份逻辑的一致性。</w:t>
      </w:r>
    </w:p>
    <w:p>
      <w:pPr>
        <w:pStyle w:val="Heading1"/>
      </w:pPr>
      <w:r>
        <w:t>3 接入方式选择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417"/>
            <w:shd w:fill="155F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方式</w:t>
            </w:r>
          </w:p>
        </w:tc>
        <w:tc>
          <w:tcPr>
            <w:tcW w:type="dxa" w:w="3005"/>
            <w:shd w:fill="155F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适用场景</w:t>
            </w:r>
          </w:p>
        </w:tc>
        <w:tc>
          <w:tcPr>
            <w:tcW w:type="dxa" w:w="2891"/>
            <w:shd w:fill="155F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优点</w:t>
            </w:r>
          </w:p>
        </w:tc>
        <w:tc>
          <w:tcPr>
            <w:tcW w:type="dxa" w:w="2891"/>
            <w:shd w:fill="155F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注意事项</w:t>
            </w:r>
          </w:p>
        </w:tc>
      </w:tr>
      <w:tr>
        <w:tc>
          <w:tcPr>
            <w:tcW w:type="dxa" w:w="141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iframe 推荐</w:t>
            </w:r>
          </w:p>
        </w:tc>
        <w:tc>
          <w:tcPr>
            <w:tcW w:type="dxa" w:w="300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宿主技术栈不限 希望快速稳定接入</w:t>
            </w:r>
          </w:p>
        </w:tc>
        <w:tc>
          <w:tcPr>
            <w:tcW w:type="dxa" w:w="28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隔离性好 发布独立 升级风险低</w:t>
            </w:r>
          </w:p>
        </w:tc>
        <w:tc>
          <w:tcPr>
            <w:tcW w:type="dxa" w:w="28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配置同源代理或 CORS 监听 postMessage</w:t>
            </w:r>
          </w:p>
        </w:tc>
      </w:tr>
      <w:tr>
        <w:tc>
          <w:tcPr>
            <w:tcW w:type="dxa" w:w="1417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React 组件</w:t>
            </w:r>
          </w:p>
        </w:tc>
        <w:tc>
          <w:tcPr>
            <w:tcW w:type="dxa" w:w="3005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宿主已经使用 React 18 且需要统一页面生命周期</w:t>
            </w:r>
          </w:p>
        </w:tc>
        <w:tc>
          <w:tcPr>
            <w:tcW w:type="dxa" w:w="2891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可直接传入回调和上下文 无 iframe 边界</w:t>
            </w:r>
          </w:p>
        </w:tc>
        <w:tc>
          <w:tcPr>
            <w:tcW w:type="dxa" w:w="2891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宿主需提供 React 依赖 并同步加载模块 CSS</w:t>
            </w:r>
          </w:p>
        </w:tc>
      </w:tr>
      <w:tr>
        <w:tc>
          <w:tcPr>
            <w:tcW w:type="dxa" w:w="141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新窗口跳转</w:t>
            </w:r>
          </w:p>
        </w:tc>
        <w:tc>
          <w:tcPr>
            <w:tcW w:type="dxa" w:w="300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只需增加入口按钮 暂不要求页面内嵌</w:t>
            </w:r>
          </w:p>
        </w:tc>
        <w:tc>
          <w:tcPr>
            <w:tcW w:type="dxa" w:w="28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实施最快 对宿主改动最少</w:t>
            </w:r>
          </w:p>
        </w:tc>
        <w:tc>
          <w:tcPr>
            <w:tcW w:type="dxa" w:w="28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用户体验不如页内嵌入 宿主与模块状态联动较弱</w:t>
            </w:r>
          </w:p>
        </w:tc>
      </w:tr>
    </w:tbl>
    <w:p>
      <w:pPr>
        <w:spacing w:after="0"/>
      </w:pPr>
    </w:p>
    <w:p>
      <w:pPr>
        <w:pStyle w:val="Heading1"/>
      </w:pPr>
      <w:r>
        <w:t>4 iframe 接入步骤</w:t>
      </w:r>
    </w:p>
    <w:p>
      <w:pPr>
        <w:pStyle w:val="Heading2"/>
      </w:pPr>
      <w:r>
        <w:t>4.1 推荐地址规划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701"/>
            <w:shd w:fill="155F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969"/>
            <w:shd w:fill="155F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示例地址</w:t>
            </w:r>
          </w:p>
        </w:tc>
        <w:tc>
          <w:tcPr>
            <w:tcW w:type="dxa" w:w="3798"/>
            <w:shd w:fill="155F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宿主系统</w:t>
            </w:r>
          </w:p>
        </w:tc>
        <w:tc>
          <w:tcPr>
            <w:tcW w:type="dxa" w:w="39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https://portal.example.com</w:t>
            </w:r>
          </w:p>
        </w:tc>
        <w:tc>
          <w:tcPr>
            <w:tcW w:type="dxa" w:w="37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大系统现有访问地址</w:t>
            </w:r>
          </w:p>
        </w:tc>
      </w:tr>
      <w:tr>
        <w:tc>
          <w:tcPr>
            <w:tcW w:type="dxa" w:w="1701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预测模块页面</w:t>
            </w:r>
          </w:p>
        </w:tc>
        <w:tc>
          <w:tcPr>
            <w:tcW w:type="dxa" w:w="3969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https://portal.example.com/community-prediction/</w:t>
            </w:r>
          </w:p>
        </w:tc>
        <w:tc>
          <w:tcPr>
            <w:tcW w:type="dxa" w:w="3798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反向代理到预测前端</w:t>
            </w:r>
          </w:p>
        </w:tc>
      </w:tr>
      <w:tr>
        <w:tc>
          <w:tcPr>
            <w:tcW w:type="dxa" w:w="17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预测 API</w:t>
            </w:r>
          </w:p>
        </w:tc>
        <w:tc>
          <w:tcPr>
            <w:tcW w:type="dxa" w:w="39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https://portal.example.com/community-api</w:t>
            </w:r>
          </w:p>
        </w:tc>
        <w:tc>
          <w:tcPr>
            <w:tcW w:type="dxa" w:w="37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反向代理到 FastAPI 的 /api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4.2 宿主按钮和页面</w:t>
      </w:r>
    </w:p>
    <w:p>
      <w:pPr>
        <w:spacing w:before="60" w:after="180" w:line="252" w:lineRule="auto"/>
        <w:ind w:left="397" w:right="227"/>
        <w:shd w:fill="F3F6F7"/>
      </w:pPr>
      <w:r>
        <w:rPr>
          <w:rFonts w:ascii="Consolas" w:hAnsi="Consolas" w:eastAsia="Consolas"/>
          <w:color w:val="253F4C"/>
          <w:sz w:val="16"/>
        </w:rPr>
        <w:t>&lt;button id="open-community-prediction"&gt;社区预测&lt;/button&gt;</w:t>
      </w:r>
      <w:r>
        <w:br/>
      </w:r>
      <w:r>
        <w:rPr>
          <w:rFonts w:ascii="Consolas" w:hAnsi="Consolas" w:eastAsia="Consolas"/>
          <w:color w:val="253F4C"/>
          <w:sz w:val="16"/>
        </w:rPr>
        <w:t>&lt;section id="community-prediction-panel" hidden&gt;</w:t>
      </w:r>
      <w:r>
        <w:br/>
      </w:r>
      <w:r>
        <w:rPr>
          <w:rFonts w:ascii="Consolas" w:hAnsi="Consolas" w:eastAsia="Consolas"/>
          <w:color w:val="253F4C"/>
          <w:sz w:val="16"/>
        </w:rPr>
        <w:t xml:space="preserve">  &lt;iframe id="community-prediction-frame"</w:t>
      </w:r>
      <w:r>
        <w:br/>
      </w:r>
      <w:r>
        <w:rPr>
          <w:rFonts w:ascii="Consolas" w:hAnsi="Consolas" w:eastAsia="Consolas"/>
          <w:color w:val="253F4C"/>
          <w:sz w:val="16"/>
        </w:rPr>
        <w:t xml:space="preserve">    title="完整社区预测"</w:t>
      </w:r>
      <w:r>
        <w:br/>
      </w:r>
      <w:r>
        <w:rPr>
          <w:rFonts w:ascii="Consolas" w:hAnsi="Consolas" w:eastAsia="Consolas"/>
          <w:color w:val="253F4C"/>
          <w:sz w:val="16"/>
        </w:rPr>
        <w:t xml:space="preserve">    allow="clipboard-write"</w:t>
      </w:r>
      <w:r>
        <w:br/>
      </w:r>
      <w:r>
        <w:rPr>
          <w:rFonts w:ascii="Consolas" w:hAnsi="Consolas" w:eastAsia="Consolas"/>
          <w:color w:val="253F4C"/>
          <w:sz w:val="16"/>
        </w:rPr>
        <w:t xml:space="preserve">    sandbox="allow-scripts allow-same-origin allow-forms allow-downloads"&gt;</w:t>
      </w:r>
      <w:r>
        <w:br/>
      </w:r>
      <w:r>
        <w:rPr>
          <w:rFonts w:ascii="Consolas" w:hAnsi="Consolas" w:eastAsia="Consolas"/>
          <w:color w:val="253F4C"/>
          <w:sz w:val="16"/>
        </w:rPr>
        <w:t xml:space="preserve">  &lt;/iframe&gt;</w:t>
      </w:r>
      <w:r>
        <w:br/>
      </w:r>
      <w:r>
        <w:rPr>
          <w:rFonts w:ascii="Consolas" w:hAnsi="Consolas" w:eastAsia="Consolas"/>
          <w:color w:val="253F4C"/>
          <w:sz w:val="16"/>
        </w:rPr>
        <w:t>&lt;/section&gt;</w:t>
      </w:r>
    </w:p>
    <w:p>
      <w:pPr>
        <w:spacing w:before="60" w:after="180" w:line="252" w:lineRule="auto"/>
        <w:ind w:left="397" w:right="227"/>
        <w:shd w:fill="F3F6F7"/>
      </w:pPr>
      <w:r>
        <w:rPr>
          <w:rFonts w:ascii="Consolas" w:hAnsi="Consolas" w:eastAsia="Consolas"/>
          <w:color w:val="253F4C"/>
          <w:sz w:val="16"/>
        </w:rPr>
        <w:t>const moduleOrigin = "https://portal.example.com";</w:t>
      </w:r>
      <w:r>
        <w:br/>
      </w:r>
      <w:r>
        <w:rPr>
          <w:rFonts w:ascii="Consolas" w:hAnsi="Consolas" w:eastAsia="Consolas"/>
          <w:color w:val="253F4C"/>
          <w:sz w:val="16"/>
        </w:rPr>
        <w:t>const frame = document.querySelector("#community-prediction-frame");</w:t>
      </w:r>
      <w:r>
        <w:br/>
      </w:r>
      <w:r>
        <w:rPr>
          <w:rFonts w:ascii="Consolas" w:hAnsi="Consolas" w:eastAsia="Consolas"/>
          <w:color w:val="253F4C"/>
          <w:sz w:val="16"/>
        </w:rPr>
      </w:r>
      <w:r>
        <w:br/>
      </w:r>
      <w:r>
        <w:rPr>
          <w:rFonts w:ascii="Consolas" w:hAnsi="Consolas" w:eastAsia="Consolas"/>
          <w:color w:val="253F4C"/>
          <w:sz w:val="16"/>
        </w:rPr>
        <w:t>document.querySelector("#open-community-prediction").onclick = () =&gt; {</w:t>
      </w:r>
      <w:r>
        <w:br/>
      </w:r>
      <w:r>
        <w:rPr>
          <w:rFonts w:ascii="Consolas" w:hAnsi="Consolas" w:eastAsia="Consolas"/>
          <w:color w:val="253F4C"/>
          <w:sz w:val="16"/>
        </w:rPr>
        <w:t xml:space="preserve">  const params = new URLSearchParams({</w:t>
      </w:r>
      <w:r>
        <w:br/>
      </w:r>
      <w:r>
        <w:rPr>
          <w:rFonts w:ascii="Consolas" w:hAnsi="Consolas" w:eastAsia="Consolas"/>
          <w:color w:val="253F4C"/>
          <w:sz w:val="16"/>
        </w:rPr>
        <w:t xml:space="preserve">    projectId: "9",</w:t>
      </w:r>
      <w:r>
        <w:br/>
      </w:r>
      <w:r>
        <w:rPr>
          <w:rFonts w:ascii="Consolas" w:hAnsi="Consolas" w:eastAsia="Consolas"/>
          <w:color w:val="253F4C"/>
          <w:sz w:val="16"/>
        </w:rPr>
        <w:t xml:space="preserve">    apiBase: "/community-api",</w:t>
      </w:r>
      <w:r>
        <w:br/>
      </w:r>
      <w:r>
        <w:rPr>
          <w:rFonts w:ascii="Consolas" w:hAnsi="Consolas" w:eastAsia="Consolas"/>
          <w:color w:val="253F4C"/>
          <w:sz w:val="16"/>
        </w:rPr>
        <w:t xml:space="preserve">    hostOrigin: window.location.origin</w:t>
      </w:r>
      <w:r>
        <w:br/>
      </w:r>
      <w:r>
        <w:rPr>
          <w:rFonts w:ascii="Consolas" w:hAnsi="Consolas" w:eastAsia="Consolas"/>
          <w:color w:val="253F4C"/>
          <w:sz w:val="16"/>
        </w:rPr>
        <w:t xml:space="preserve">  });</w:t>
      </w:r>
      <w:r>
        <w:br/>
      </w:r>
      <w:r>
        <w:rPr>
          <w:rFonts w:ascii="Consolas" w:hAnsi="Consolas" w:eastAsia="Consolas"/>
          <w:color w:val="253F4C"/>
          <w:sz w:val="16"/>
        </w:rPr>
        <w:t xml:space="preserve">  frame.src = `/community-prediction/?${params}`;</w:t>
      </w:r>
      <w:r>
        <w:br/>
      </w:r>
      <w:r>
        <w:rPr>
          <w:rFonts w:ascii="Consolas" w:hAnsi="Consolas" w:eastAsia="Consolas"/>
          <w:color w:val="253F4C"/>
          <w:sz w:val="16"/>
        </w:rPr>
        <w:t xml:space="preserve">  document.querySelector("#community-prediction-panel").hidden = false;</w:t>
      </w:r>
      <w:r>
        <w:br/>
      </w:r>
      <w:r>
        <w:rPr>
          <w:rFonts w:ascii="Consolas" w:hAnsi="Consolas" w:eastAsia="Consolas"/>
          <w:color w:val="253F4C"/>
          <w:sz w:val="16"/>
        </w:rPr>
        <w:t>};</w:t>
      </w:r>
      <w:r>
        <w:br/>
      </w:r>
      <w:r>
        <w:rPr>
          <w:rFonts w:ascii="Consolas" w:hAnsi="Consolas" w:eastAsia="Consolas"/>
          <w:color w:val="253F4C"/>
          <w:sz w:val="16"/>
        </w:rPr>
      </w:r>
      <w:r>
        <w:br/>
      </w:r>
      <w:r>
        <w:rPr>
          <w:rFonts w:ascii="Consolas" w:hAnsi="Consolas" w:eastAsia="Consolas"/>
          <w:color w:val="253F4C"/>
          <w:sz w:val="16"/>
        </w:rPr>
        <w:t>window.addEventListener("message", (event) =&gt; {</w:t>
      </w:r>
      <w:r>
        <w:br/>
      </w:r>
      <w:r>
        <w:rPr>
          <w:rFonts w:ascii="Consolas" w:hAnsi="Consolas" w:eastAsia="Consolas"/>
          <w:color w:val="253F4C"/>
          <w:sz w:val="16"/>
        </w:rPr>
        <w:t xml:space="preserve">  if (event.origin !== moduleOrigin) return;</w:t>
      </w:r>
      <w:r>
        <w:br/>
      </w:r>
      <w:r>
        <w:rPr>
          <w:rFonts w:ascii="Consolas" w:hAnsi="Consolas" w:eastAsia="Consolas"/>
          <w:color w:val="253F4C"/>
          <w:sz w:val="16"/>
        </w:rPr>
        <w:t xml:space="preserve">  if (event.data?.source !== "community-prediction") return;</w:t>
      </w:r>
      <w:r>
        <w:br/>
      </w:r>
      <w:r>
        <w:rPr>
          <w:rFonts w:ascii="Consolas" w:hAnsi="Consolas" w:eastAsia="Consolas"/>
          <w:color w:val="253F4C"/>
          <w:sz w:val="16"/>
        </w:rPr>
        <w:t xml:space="preserve">  console.log("社区预测模块事件", event.data.type, event.data.payload);</w:t>
      </w:r>
      <w:r>
        <w:br/>
      </w:r>
      <w:r>
        <w:rPr>
          <w:rFonts w:ascii="Consolas" w:hAnsi="Consolas" w:eastAsia="Consolas"/>
          <w:color w:val="253F4C"/>
          <w:sz w:val="16"/>
        </w:rPr>
        <w:t>});</w:t>
      </w:r>
    </w:p>
    <w:p>
      <w:pPr>
        <w:pStyle w:val="Heading2"/>
      </w:pPr>
      <w:r>
        <w:t>4.3 页面参数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361"/>
            <w:shd w:fill="155F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1417"/>
            <w:shd w:fill="155F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是否必填</w:t>
            </w:r>
          </w:p>
        </w:tc>
        <w:tc>
          <w:tcPr>
            <w:tcW w:type="dxa" w:w="3969"/>
            <w:shd w:fill="155F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2721"/>
            <w:shd w:fill="155F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13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projectId</w:t>
            </w:r>
          </w:p>
        </w:tc>
        <w:tc>
          <w:tcPr>
            <w:tcW w:type="dxa" w:w="141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否</w:t>
            </w:r>
          </w:p>
        </w:tc>
        <w:tc>
          <w:tcPr>
            <w:tcW w:type="dxa" w:w="39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进入指定预测工程 不传则进入可用的非演示工程</w:t>
            </w:r>
          </w:p>
        </w:tc>
        <w:tc>
          <w:tcPr>
            <w:tcW w:type="dxa" w:w="27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9</w:t>
            </w:r>
          </w:p>
        </w:tc>
      </w:tr>
      <w:tr>
        <w:tc>
          <w:tcPr>
            <w:tcW w:type="dxa" w:w="1361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apiBase</w:t>
            </w:r>
          </w:p>
        </w:tc>
        <w:tc>
          <w:tcPr>
            <w:tcW w:type="dxa" w:w="1417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同源默认否</w:t>
            </w:r>
          </w:p>
        </w:tc>
        <w:tc>
          <w:tcPr>
            <w:tcW w:type="dxa" w:w="3969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指定 API 根地址 默认使用 /api</w:t>
            </w:r>
          </w:p>
        </w:tc>
        <w:tc>
          <w:tcPr>
            <w:tcW w:type="dxa" w:w="2721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/community-api</w:t>
            </w:r>
          </w:p>
        </w:tc>
      </w:tr>
      <w:tr>
        <w:tc>
          <w:tcPr>
            <w:tcW w:type="dxa" w:w="13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token</w:t>
            </w:r>
          </w:p>
        </w:tc>
        <w:tc>
          <w:tcPr>
            <w:tcW w:type="dxa" w:w="141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启用后必填</w:t>
            </w:r>
          </w:p>
        </w:tc>
        <w:tc>
          <w:tcPr>
            <w:tcW w:type="dxa" w:w="39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作为 Bearer Token 访问 API 下载地址也会使用该令牌</w:t>
            </w:r>
          </w:p>
        </w:tc>
        <w:tc>
          <w:tcPr>
            <w:tcW w:type="dxa" w:w="27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临时或网关签发令牌</w:t>
            </w:r>
          </w:p>
        </w:tc>
      </w:tr>
      <w:tr>
        <w:tc>
          <w:tcPr>
            <w:tcW w:type="dxa" w:w="1361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hostOrigin</w:t>
            </w:r>
          </w:p>
        </w:tc>
        <w:tc>
          <w:tcPr>
            <w:tcW w:type="dxa" w:w="1417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推荐</w:t>
            </w:r>
          </w:p>
        </w:tc>
        <w:tc>
          <w:tcPr>
            <w:tcW w:type="dxa" w:w="3969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限制模块 postMessage 的目标来源</w:t>
            </w:r>
          </w:p>
        </w:tc>
        <w:tc>
          <w:tcPr>
            <w:tcW w:type="dxa" w:w="2721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https://portal.example.com</w:t>
            </w:r>
          </w:p>
        </w:tc>
      </w:tr>
    </w:tbl>
    <w:p>
      <w:pPr>
        <w:spacing w:after="0"/>
      </w:pPr>
    </w:p>
    <w:p>
      <w:pPr>
        <w:spacing w:after="140" w:line="336" w:lineRule="auto"/>
      </w:pPr>
      <w:r>
        <w:rPr>
          <w:rFonts w:ascii="Microsoft YaHei" w:hAnsi="Microsoft YaHei" w:eastAsia="Microsoft YaHei"/>
          <w:color w:val="173B4D"/>
          <w:sz w:val="21"/>
        </w:rPr>
        <w:t>生产环境优先采用同源反向代理，并由网关完成登录校验。若必须把 token 放入 iframe 地址，应使用 HTTPS、缩短有效期并避免写入访问日志；当前后端也支持通过 HOST_API_TOKEN 配置共享访问令牌。</w:t>
      </w:r>
    </w:p>
    <w:p>
      <w:pPr>
        <w:pStyle w:val="Heading1"/>
      </w:pPr>
      <w:r>
        <w:t>5 React 组件接入步骤</w:t>
      </w:r>
    </w:p>
    <w:p>
      <w:pPr>
        <w:spacing w:after="140" w:line="336" w:lineRule="auto"/>
      </w:pPr>
      <w:r>
        <w:rPr>
          <w:rFonts w:ascii="Microsoft YaHei" w:hAnsi="Microsoft YaHei" w:eastAsia="Microsoft YaHei"/>
          <w:color w:val="173B4D"/>
          <w:sz w:val="21"/>
        </w:rPr>
        <w:t>组件产物位于 frontend/dist-embed。运行 npm run build:embed 后会生成 community-prediction-module.js 和 community-prediction-module.css。构建时 React ReactDOM 和 ReactDOM Client 被设为外部依赖，由宿主系统提供。</w:t>
      </w:r>
    </w:p>
    <w:p>
      <w:pPr>
        <w:spacing w:before="60" w:after="180" w:line="252" w:lineRule="auto"/>
        <w:ind w:left="397" w:right="227"/>
        <w:shd w:fill="F3F6F7"/>
      </w:pPr>
      <w:r>
        <w:rPr>
          <w:rFonts w:ascii="Consolas" w:hAnsi="Consolas" w:eastAsia="Consolas"/>
          <w:color w:val="253F4C"/>
          <w:sz w:val="16"/>
        </w:rPr>
        <w:t>import { mountCommunityPredictionModule } from "./community-prediction-module.js";</w:t>
      </w:r>
      <w:r>
        <w:br/>
      </w:r>
      <w:r>
        <w:rPr>
          <w:rFonts w:ascii="Consolas" w:hAnsi="Consolas" w:eastAsia="Consolas"/>
          <w:color w:val="253F4C"/>
          <w:sz w:val="16"/>
        </w:rPr>
        <w:t>import "./community-prediction-module.css";</w:t>
      </w:r>
      <w:r>
        <w:br/>
      </w:r>
      <w:r>
        <w:rPr>
          <w:rFonts w:ascii="Consolas" w:hAnsi="Consolas" w:eastAsia="Consolas"/>
          <w:color w:val="253F4C"/>
          <w:sz w:val="16"/>
        </w:rPr>
      </w:r>
      <w:r>
        <w:br/>
      </w:r>
      <w:r>
        <w:rPr>
          <w:rFonts w:ascii="Consolas" w:hAnsi="Consolas" w:eastAsia="Consolas"/>
          <w:color w:val="253F4C"/>
          <w:sz w:val="16"/>
        </w:rPr>
        <w:t>const unmount = mountCommunityPredictionModule(</w:t>
      </w:r>
      <w:r>
        <w:br/>
      </w:r>
      <w:r>
        <w:rPr>
          <w:rFonts w:ascii="Consolas" w:hAnsi="Consolas" w:eastAsia="Consolas"/>
          <w:color w:val="253F4C"/>
          <w:sz w:val="16"/>
        </w:rPr>
        <w:t xml:space="preserve">  document.getElementById("community-prediction-root"),</w:t>
      </w:r>
      <w:r>
        <w:br/>
      </w:r>
      <w:r>
        <w:rPr>
          <w:rFonts w:ascii="Consolas" w:hAnsi="Consolas" w:eastAsia="Consolas"/>
          <w:color w:val="253F4C"/>
          <w:sz w:val="16"/>
        </w:rPr>
        <w:t xml:space="preserve">  {</w:t>
      </w:r>
      <w:r>
        <w:br/>
      </w:r>
      <w:r>
        <w:rPr>
          <w:rFonts w:ascii="Consolas" w:hAnsi="Consolas" w:eastAsia="Consolas"/>
          <w:color w:val="253F4C"/>
          <w:sz w:val="16"/>
        </w:rPr>
        <w:t xml:space="preserve">    mode: "embedded",</w:t>
      </w:r>
      <w:r>
        <w:br/>
      </w:r>
      <w:r>
        <w:rPr>
          <w:rFonts w:ascii="Consolas" w:hAnsi="Consolas" w:eastAsia="Consolas"/>
          <w:color w:val="253F4C"/>
          <w:sz w:val="16"/>
        </w:rPr>
        <w:t xml:space="preserve">    apiBase: "/community-api",</w:t>
      </w:r>
      <w:r>
        <w:br/>
      </w:r>
      <w:r>
        <w:rPr>
          <w:rFonts w:ascii="Consolas" w:hAnsi="Consolas" w:eastAsia="Consolas"/>
          <w:color w:val="253F4C"/>
          <w:sz w:val="16"/>
        </w:rPr>
        <w:t xml:space="preserve">    projectId: 9,</w:t>
      </w:r>
      <w:r>
        <w:br/>
      </w:r>
      <w:r>
        <w:rPr>
          <w:rFonts w:ascii="Consolas" w:hAnsi="Consolas" w:eastAsia="Consolas"/>
          <w:color w:val="253F4C"/>
          <w:sz w:val="16"/>
        </w:rPr>
        <w:t xml:space="preserve">    token: accessToken,</w:t>
      </w:r>
      <w:r>
        <w:br/>
      </w:r>
      <w:r>
        <w:rPr>
          <w:rFonts w:ascii="Consolas" w:hAnsi="Consolas" w:eastAsia="Consolas"/>
          <w:color w:val="253F4C"/>
          <w:sz w:val="16"/>
        </w:rPr>
        <w:t xml:space="preserve">    hostOrigin: window.location.origin,</w:t>
      </w:r>
      <w:r>
        <w:br/>
      </w:r>
      <w:r>
        <w:rPr>
          <w:rFonts w:ascii="Consolas" w:hAnsi="Consolas" w:eastAsia="Consolas"/>
          <w:color w:val="253F4C"/>
          <w:sz w:val="16"/>
        </w:rPr>
        <w:t xml:space="preserve">    hostContext: { userId: currentUser.id, organizationId: currentOrg.id },</w:t>
      </w:r>
      <w:r>
        <w:br/>
      </w:r>
      <w:r>
        <w:rPr>
          <w:rFonts w:ascii="Consolas" w:hAnsi="Consolas" w:eastAsia="Consolas"/>
          <w:color w:val="253F4C"/>
          <w:sz w:val="16"/>
        </w:rPr>
        <w:t xml:space="preserve">    defaultTheme: "light",</w:t>
      </w:r>
      <w:r>
        <w:br/>
      </w:r>
      <w:r>
        <w:rPr>
          <w:rFonts w:ascii="Consolas" w:hAnsi="Consolas" w:eastAsia="Consolas"/>
          <w:color w:val="253F4C"/>
          <w:sz w:val="16"/>
        </w:rPr>
        <w:t xml:space="preserve">    onEvent(event) {</w:t>
      </w:r>
      <w:r>
        <w:br/>
      </w:r>
      <w:r>
        <w:rPr>
          <w:rFonts w:ascii="Consolas" w:hAnsi="Consolas" w:eastAsia="Consolas"/>
          <w:color w:val="253F4C"/>
          <w:sz w:val="16"/>
        </w:rPr>
        <w:t xml:space="preserve">      console.log(event.type, event.payload);</w:t>
      </w:r>
      <w:r>
        <w:br/>
      </w:r>
      <w:r>
        <w:rPr>
          <w:rFonts w:ascii="Consolas" w:hAnsi="Consolas" w:eastAsia="Consolas"/>
          <w:color w:val="253F4C"/>
          <w:sz w:val="16"/>
        </w:rPr>
        <w:t xml:space="preserve">    }</w:t>
      </w:r>
      <w:r>
        <w:br/>
      </w:r>
      <w:r>
        <w:rPr>
          <w:rFonts w:ascii="Consolas" w:hAnsi="Consolas" w:eastAsia="Consolas"/>
          <w:color w:val="253F4C"/>
          <w:sz w:val="16"/>
        </w:rPr>
        <w:t xml:space="preserve">  }</w:t>
      </w:r>
      <w:r>
        <w:br/>
      </w:r>
      <w:r>
        <w:rPr>
          <w:rFonts w:ascii="Consolas" w:hAnsi="Consolas" w:eastAsia="Consolas"/>
          <w:color w:val="253F4C"/>
          <w:sz w:val="16"/>
        </w:rPr>
        <w:t>);</w:t>
      </w:r>
      <w:r>
        <w:br/>
      </w:r>
      <w:r>
        <w:rPr>
          <w:rFonts w:ascii="Consolas" w:hAnsi="Consolas" w:eastAsia="Consolas"/>
          <w:color w:val="253F4C"/>
          <w:sz w:val="16"/>
        </w:rPr>
      </w:r>
      <w:r>
        <w:br/>
      </w:r>
      <w:r>
        <w:rPr>
          <w:rFonts w:ascii="Consolas" w:hAnsi="Consolas" w:eastAsia="Consolas"/>
          <w:color w:val="253F4C"/>
          <w:sz w:val="16"/>
        </w:rPr>
        <w:t>// 宿主页面销毁时调用</w:t>
      </w:r>
      <w:r>
        <w:br/>
      </w:r>
      <w:r>
        <w:rPr>
          <w:rFonts w:ascii="Consolas" w:hAnsi="Consolas" w:eastAsia="Consolas"/>
          <w:color w:val="253F4C"/>
          <w:sz w:val="16"/>
        </w:rPr>
        <w:t>unmount();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701"/>
            <w:shd w:fill="155F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组件属性</w:t>
            </w:r>
          </w:p>
        </w:tc>
        <w:tc>
          <w:tcPr>
            <w:tcW w:type="dxa" w:w="2494"/>
            <w:shd w:fill="155F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5329"/>
            <w:shd w:fill="155F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mode</w:t>
            </w:r>
          </w:p>
        </w:tc>
        <w:tc>
          <w:tcPr>
            <w:tcW w:type="dxa" w:w="249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standalone 或 embedded</w:t>
            </w:r>
          </w:p>
        </w:tc>
        <w:tc>
          <w:tcPr>
            <w:tcW w:type="dxa" w:w="532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嵌入大系统时使用 embedded</w:t>
            </w:r>
          </w:p>
        </w:tc>
      </w:tr>
      <w:tr>
        <w:tc>
          <w:tcPr>
            <w:tcW w:type="dxa" w:w="1701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apiBase</w:t>
            </w:r>
          </w:p>
        </w:tc>
        <w:tc>
          <w:tcPr>
            <w:tcW w:type="dxa" w:w="2494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string</w:t>
            </w:r>
          </w:p>
        </w:tc>
        <w:tc>
          <w:tcPr>
            <w:tcW w:type="dxa" w:w="5329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FastAPI 根地址 默认 /api</w:t>
            </w:r>
          </w:p>
        </w:tc>
      </w:tr>
      <w:tr>
        <w:tc>
          <w:tcPr>
            <w:tcW w:type="dxa" w:w="17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token</w:t>
            </w:r>
          </w:p>
        </w:tc>
        <w:tc>
          <w:tcPr>
            <w:tcW w:type="dxa" w:w="249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string</w:t>
            </w:r>
          </w:p>
        </w:tc>
        <w:tc>
          <w:tcPr>
            <w:tcW w:type="dxa" w:w="532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可选访问令牌 自动写入 Authorization 请求头</w:t>
            </w:r>
          </w:p>
        </w:tc>
      </w:tr>
      <w:tr>
        <w:tc>
          <w:tcPr>
            <w:tcW w:type="dxa" w:w="1701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projectId</w:t>
            </w:r>
          </w:p>
        </w:tc>
        <w:tc>
          <w:tcPr>
            <w:tcW w:type="dxa" w:w="2494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number</w:t>
            </w:r>
          </w:p>
        </w:tc>
        <w:tc>
          <w:tcPr>
            <w:tcW w:type="dxa" w:w="5329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可选 初始工程编号</w:t>
            </w:r>
          </w:p>
        </w:tc>
      </w:tr>
      <w:tr>
        <w:tc>
          <w:tcPr>
            <w:tcW w:type="dxa" w:w="17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hostContext</w:t>
            </w:r>
          </w:p>
        </w:tc>
        <w:tc>
          <w:tcPr>
            <w:tcW w:type="dxa" w:w="249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object</w:t>
            </w:r>
          </w:p>
        </w:tc>
        <w:tc>
          <w:tcPr>
            <w:tcW w:type="dxa" w:w="532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随 API 请求写入 X Host Context 请求头</w:t>
            </w:r>
          </w:p>
        </w:tc>
      </w:tr>
      <w:tr>
        <w:tc>
          <w:tcPr>
            <w:tcW w:type="dxa" w:w="1701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hostOrigin</w:t>
            </w:r>
          </w:p>
        </w:tc>
        <w:tc>
          <w:tcPr>
            <w:tcW w:type="dxa" w:w="2494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string</w:t>
            </w:r>
          </w:p>
        </w:tc>
        <w:tc>
          <w:tcPr>
            <w:tcW w:type="dxa" w:w="5329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postMessage 目标来源</w:t>
            </w:r>
          </w:p>
        </w:tc>
      </w:tr>
      <w:tr>
        <w:tc>
          <w:tcPr>
            <w:tcW w:type="dxa" w:w="17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defaultTheme</w:t>
            </w:r>
          </w:p>
        </w:tc>
        <w:tc>
          <w:tcPr>
            <w:tcW w:type="dxa" w:w="249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light 或 dark</w:t>
            </w:r>
          </w:p>
        </w:tc>
        <w:tc>
          <w:tcPr>
            <w:tcW w:type="dxa" w:w="532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模块初始主题</w:t>
            </w:r>
          </w:p>
        </w:tc>
      </w:tr>
      <w:tr>
        <w:tc>
          <w:tcPr>
            <w:tcW w:type="dxa" w:w="1701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onEvent</w:t>
            </w:r>
          </w:p>
        </w:tc>
        <w:tc>
          <w:tcPr>
            <w:tcW w:type="dxa" w:w="2494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function</w:t>
            </w:r>
          </w:p>
        </w:tc>
        <w:tc>
          <w:tcPr>
            <w:tcW w:type="dxa" w:w="5329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组件模式的宿主事件回调</w:t>
            </w:r>
          </w:p>
        </w:tc>
      </w:tr>
    </w:tbl>
    <w:p>
      <w:pPr>
        <w:spacing w:after="0"/>
      </w:pPr>
    </w:p>
    <w:p>
      <w:pPr>
        <w:pStyle w:val="Heading1"/>
      </w:pPr>
      <w:r>
        <w:t>6 模块事件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268"/>
            <w:shd w:fill="155F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事件名</w:t>
            </w:r>
          </w:p>
        </w:tc>
        <w:tc>
          <w:tcPr>
            <w:tcW w:type="dxa" w:w="3402"/>
            <w:shd w:fill="155F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触发时机</w:t>
            </w:r>
          </w:p>
        </w:tc>
        <w:tc>
          <w:tcPr>
            <w:tcW w:type="dxa" w:w="3855"/>
            <w:shd w:fill="155F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典型用途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module-ready</w:t>
            </w:r>
          </w:p>
        </w:tc>
        <w:tc>
          <w:tcPr>
            <w:tcW w:type="dxa" w:w="340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模块和初始工程数据加载完成</w:t>
            </w:r>
          </w:p>
        </w:tc>
        <w:tc>
          <w:tcPr>
            <w:tcW w:type="dxa" w:w="38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关闭宿主加载动画 记录当前工程</w:t>
            </w:r>
          </w:p>
        </w:tc>
      </w:tr>
      <w:tr>
        <w:tc>
          <w:tcPr>
            <w:tcW w:type="dxa" w:w="2268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module-error</w:t>
            </w:r>
          </w:p>
        </w:tc>
        <w:tc>
          <w:tcPr>
            <w:tcW w:type="dxa" w:w="3402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启动或服务连接失败</w:t>
            </w:r>
          </w:p>
        </w:tc>
        <w:tc>
          <w:tcPr>
            <w:tcW w:type="dxa" w:w="3855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显示统一错误提示或上报告警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project-created</w:t>
            </w:r>
          </w:p>
        </w:tc>
        <w:tc>
          <w:tcPr>
            <w:tcW w:type="dxa" w:w="340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创建工程完成</w:t>
            </w:r>
          </w:p>
        </w:tc>
        <w:tc>
          <w:tcPr>
            <w:tcW w:type="dxa" w:w="38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同步宿主业务对象与工程编号</w:t>
            </w:r>
          </w:p>
        </w:tc>
      </w:tr>
      <w:tr>
        <w:tc>
          <w:tcPr>
            <w:tcW w:type="dxa" w:w="2268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project-changed</w:t>
            </w:r>
          </w:p>
        </w:tc>
        <w:tc>
          <w:tcPr>
            <w:tcW w:type="dxa" w:w="3402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用户切换工程</w:t>
            </w:r>
          </w:p>
        </w:tc>
        <w:tc>
          <w:tcPr>
            <w:tcW w:type="dxa" w:w="3855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更新地址栏或宿主面包屑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project-renamed</w:t>
            </w:r>
          </w:p>
        </w:tc>
        <w:tc>
          <w:tcPr>
            <w:tcW w:type="dxa" w:w="340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工程重命名</w:t>
            </w:r>
          </w:p>
        </w:tc>
        <w:tc>
          <w:tcPr>
            <w:tcW w:type="dxa" w:w="38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刷新宿主显示名称</w:t>
            </w:r>
          </w:p>
        </w:tc>
      </w:tr>
      <w:tr>
        <w:tc>
          <w:tcPr>
            <w:tcW w:type="dxa" w:w="2268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project-deleted</w:t>
            </w:r>
          </w:p>
        </w:tc>
        <w:tc>
          <w:tcPr>
            <w:tcW w:type="dxa" w:w="3402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工程删除</w:t>
            </w:r>
          </w:p>
        </w:tc>
        <w:tc>
          <w:tcPr>
            <w:tcW w:type="dxa" w:w="3855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清理宿主关联记录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prediction-completed</w:t>
            </w:r>
          </w:p>
        </w:tc>
        <w:tc>
          <w:tcPr>
            <w:tcW w:type="dxa" w:w="340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人口或设施预测完成</w:t>
            </w:r>
          </w:p>
        </w:tc>
        <w:tc>
          <w:tcPr>
            <w:tcW w:type="dxa" w:w="38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刷新状态 徽标或通知</w:t>
            </w:r>
          </w:p>
        </w:tc>
      </w:tr>
      <w:tr>
        <w:tc>
          <w:tcPr>
            <w:tcW w:type="dxa" w:w="2268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prediction-failed</w:t>
            </w:r>
          </w:p>
        </w:tc>
        <w:tc>
          <w:tcPr>
            <w:tcW w:type="dxa" w:w="3402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预测执行失败</w:t>
            </w:r>
          </w:p>
        </w:tc>
        <w:tc>
          <w:tcPr>
            <w:tcW w:type="dxa" w:w="3855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提示用户并记录失败原因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prediction-run-deleted</w:t>
            </w:r>
          </w:p>
        </w:tc>
        <w:tc>
          <w:tcPr>
            <w:tcW w:type="dxa" w:w="340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预测批次删除</w:t>
            </w:r>
          </w:p>
        </w:tc>
        <w:tc>
          <w:tcPr>
            <w:tcW w:type="dxa" w:w="38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更新宿主历史状态</w:t>
            </w:r>
          </w:p>
        </w:tc>
      </w:tr>
      <w:tr>
        <w:tc>
          <w:tcPr>
            <w:tcW w:type="dxa" w:w="2268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theme-changed</w:t>
            </w:r>
          </w:p>
        </w:tc>
        <w:tc>
          <w:tcPr>
            <w:tcW w:type="dxa" w:w="3402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用户切换明暗主题</w:t>
            </w:r>
          </w:p>
        </w:tc>
        <w:tc>
          <w:tcPr>
            <w:tcW w:type="dxa" w:w="3855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可选 同步宿主主题偏好</w:t>
            </w:r>
          </w:p>
        </w:tc>
      </w:tr>
    </w:tbl>
    <w:p>
      <w:pPr>
        <w:spacing w:after="0"/>
      </w:pPr>
    </w:p>
    <w:p>
      <w:pPr>
        <w:spacing w:after="140" w:line="336" w:lineRule="auto"/>
      </w:pPr>
      <w:r>
        <w:rPr>
          <w:rFonts w:ascii="Microsoft YaHei" w:hAnsi="Microsoft YaHei" w:eastAsia="Microsoft YaHei"/>
          <w:color w:val="173B4D"/>
          <w:sz w:val="21"/>
        </w:rPr>
        <w:t>iframe 事件结构为 source 等于 community-prediction、version 等于 1，并包含 type 和 payload。宿主必须同时校验 event.origin 和 source，不能只根据事件名执行敏感操作。</w:t>
      </w:r>
    </w:p>
    <w:p>
      <w:pPr>
        <w:pStyle w:val="Heading1"/>
      </w:pPr>
      <w:r>
        <w:t>7 后端部署与安全配置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814"/>
            <w:shd w:fill="155F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配置项</w:t>
            </w:r>
          </w:p>
        </w:tc>
        <w:tc>
          <w:tcPr>
            <w:tcW w:type="dxa" w:w="3402"/>
            <w:shd w:fill="155F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4309"/>
            <w:shd w:fill="155F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CORS_ORIGINS</w:t>
            </w:r>
          </w:p>
        </w:tc>
        <w:tc>
          <w:tcPr>
            <w:tcW w:type="dxa" w:w="340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允许跨域访问模块 API 的宿主来源</w:t>
            </w:r>
          </w:p>
        </w:tc>
        <w:tc>
          <w:tcPr>
            <w:tcW w:type="dxa" w:w="43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生产环境只填写明确的 HTTPS 来源 多个来源用逗号分隔</w:t>
            </w:r>
          </w:p>
        </w:tc>
      </w:tr>
      <w:tr>
        <w:tc>
          <w:tcPr>
            <w:tcW w:type="dxa" w:w="1814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HOST_API_TOKEN</w:t>
            </w:r>
          </w:p>
        </w:tc>
        <w:tc>
          <w:tcPr>
            <w:tcW w:type="dxa" w:w="3402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启用 API Bearer Token 校验</w:t>
            </w:r>
          </w:p>
        </w:tc>
        <w:tc>
          <w:tcPr>
            <w:tcW w:type="dxa" w:w="4309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生产环境设置高强度值并由网关或宿主安全传递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DATABASE_URL</w:t>
            </w:r>
          </w:p>
        </w:tc>
        <w:tc>
          <w:tcPr>
            <w:tcW w:type="dxa" w:w="340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数据库连接地址</w:t>
            </w:r>
          </w:p>
        </w:tc>
        <w:tc>
          <w:tcPr>
            <w:tcW w:type="dxa" w:w="43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当前默认 SQLite 单实例部署可直接使用</w:t>
            </w:r>
          </w:p>
        </w:tc>
      </w:tr>
      <w:tr>
        <w:tc>
          <w:tcPr>
            <w:tcW w:type="dxa" w:w="1814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PROJECTS_ROOT</w:t>
            </w:r>
          </w:p>
        </w:tc>
        <w:tc>
          <w:tcPr>
            <w:tcW w:type="dxa" w:w="3402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工程文件 结果 报告和备份目录</w:t>
            </w:r>
          </w:p>
        </w:tc>
        <w:tc>
          <w:tcPr>
            <w:tcW w:type="dxa" w:w="4309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使用持久化磁盘并纳入备份</w:t>
            </w:r>
          </w:p>
        </w:tc>
      </w:tr>
    </w:tbl>
    <w:p>
      <w:pPr>
        <w:spacing w:after="0"/>
      </w:pP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color w:val="173B4D"/>
          <w:sz w:val="20"/>
        </w:rPr>
        <w:t>生产环境必须使用 HTTPS，并由反向代理限制请求体大小 超时时间和下载路径。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color w:val="173B4D"/>
          <w:sz w:val="20"/>
        </w:rPr>
        <w:t>生产部署应由 Uvicorn 或进程管理器运行后端，并通过反向代理统一提供静态页面与 /api。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color w:val="173B4D"/>
          <w:sz w:val="20"/>
        </w:rPr>
        <w:t>SQLite 适合当前单实例业务。如果未来出现多节点部署或大量并发写入，应迁移到 PostgreSQL，并把工程文件迁移到共享存储。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color w:val="173B4D"/>
          <w:sz w:val="20"/>
        </w:rPr>
        <w:t>不要让宿主前端直接访问数据库文件。工程迁移应使用系统备份或工程 ZIP。</w:t>
      </w:r>
    </w:p>
    <w:p>
      <w:pPr>
        <w:pStyle w:val="Heading1"/>
      </w:pPr>
      <w:r>
        <w:t>8 推荐反向代理规则</w:t>
      </w:r>
    </w:p>
    <w:p>
      <w:pPr>
        <w:spacing w:before="60" w:after="180" w:line="252" w:lineRule="auto"/>
        <w:ind w:left="397" w:right="227"/>
        <w:shd w:fill="F3F6F7"/>
      </w:pPr>
      <w:r>
        <w:rPr>
          <w:rFonts w:ascii="Consolas" w:hAnsi="Consolas" w:eastAsia="Consolas"/>
          <w:color w:val="253F4C"/>
          <w:sz w:val="16"/>
        </w:rPr>
        <w:t>location /community-prediction/ {</w:t>
      </w:r>
      <w:r>
        <w:br/>
      </w:r>
      <w:r>
        <w:rPr>
          <w:rFonts w:ascii="Consolas" w:hAnsi="Consolas" w:eastAsia="Consolas"/>
          <w:color w:val="253F4C"/>
          <w:sz w:val="16"/>
        </w:rPr>
        <w:t xml:space="preserve">    alias /srv/community-prediction/frontend/dist/;</w:t>
      </w:r>
      <w:r>
        <w:br/>
      </w:r>
      <w:r>
        <w:rPr>
          <w:rFonts w:ascii="Consolas" w:hAnsi="Consolas" w:eastAsia="Consolas"/>
          <w:color w:val="253F4C"/>
          <w:sz w:val="16"/>
        </w:rPr>
        <w:t xml:space="preserve">    try_files $uri $uri/ /community-prediction/index.html;</w:t>
      </w:r>
      <w:r>
        <w:br/>
      </w:r>
      <w:r>
        <w:rPr>
          <w:rFonts w:ascii="Consolas" w:hAnsi="Consolas" w:eastAsia="Consolas"/>
          <w:color w:val="253F4C"/>
          <w:sz w:val="16"/>
        </w:rPr>
        <w:t>}</w:t>
      </w:r>
      <w:r>
        <w:br/>
      </w:r>
      <w:r>
        <w:rPr>
          <w:rFonts w:ascii="Consolas" w:hAnsi="Consolas" w:eastAsia="Consolas"/>
          <w:color w:val="253F4C"/>
          <w:sz w:val="16"/>
        </w:rPr>
      </w:r>
      <w:r>
        <w:br/>
      </w:r>
      <w:r>
        <w:rPr>
          <w:rFonts w:ascii="Consolas" w:hAnsi="Consolas" w:eastAsia="Consolas"/>
          <w:color w:val="253F4C"/>
          <w:sz w:val="16"/>
        </w:rPr>
        <w:t>location /community-api/ {</w:t>
      </w:r>
      <w:r>
        <w:br/>
      </w:r>
      <w:r>
        <w:rPr>
          <w:rFonts w:ascii="Consolas" w:hAnsi="Consolas" w:eastAsia="Consolas"/>
          <w:color w:val="253F4C"/>
          <w:sz w:val="16"/>
        </w:rPr>
        <w:t xml:space="preserve">    proxy_pass http://127.0.0.1:8000/api/;</w:t>
      </w:r>
      <w:r>
        <w:br/>
      </w:r>
      <w:r>
        <w:rPr>
          <w:rFonts w:ascii="Consolas" w:hAnsi="Consolas" w:eastAsia="Consolas"/>
          <w:color w:val="253F4C"/>
          <w:sz w:val="16"/>
        </w:rPr>
        <w:t xml:space="preserve">    proxy_set_header Host $host;</w:t>
      </w:r>
      <w:r>
        <w:br/>
      </w:r>
      <w:r>
        <w:rPr>
          <w:rFonts w:ascii="Consolas" w:hAnsi="Consolas" w:eastAsia="Consolas"/>
          <w:color w:val="253F4C"/>
          <w:sz w:val="16"/>
        </w:rPr>
        <w:t xml:space="preserve">    proxy_set_header X-Forwarded-Proto $scheme;</w:t>
      </w:r>
      <w:r>
        <w:br/>
      </w:r>
      <w:r>
        <w:rPr>
          <w:rFonts w:ascii="Consolas" w:hAnsi="Consolas" w:eastAsia="Consolas"/>
          <w:color w:val="253F4C"/>
          <w:sz w:val="16"/>
        </w:rPr>
        <w:t xml:space="preserve">    proxy_set_header X-Forwarded-For $proxy_add_x_forwarded_for;</w:t>
      </w:r>
      <w:r>
        <w:br/>
      </w:r>
      <w:r>
        <w:rPr>
          <w:rFonts w:ascii="Consolas" w:hAnsi="Consolas" w:eastAsia="Consolas"/>
          <w:color w:val="253F4C"/>
          <w:sz w:val="16"/>
        </w:rPr>
        <w:t xml:space="preserve">    proxy_read_timeout 180s;</w:t>
      </w:r>
      <w:r>
        <w:br/>
      </w:r>
      <w:r>
        <w:rPr>
          <w:rFonts w:ascii="Consolas" w:hAnsi="Consolas" w:eastAsia="Consolas"/>
          <w:color w:val="253F4C"/>
          <w:sz w:val="16"/>
        </w:rPr>
        <w:t>}</w:t>
      </w:r>
    </w:p>
    <w:p>
      <w:pPr>
        <w:spacing w:after="140" w:line="336" w:lineRule="auto"/>
      </w:pPr>
      <w:r>
        <w:rPr>
          <w:rFonts w:ascii="Microsoft YaHei" w:hAnsi="Microsoft YaHei" w:eastAsia="Microsoft YaHei"/>
          <w:color w:val="173B4D"/>
          <w:sz w:val="21"/>
        </w:rPr>
        <w:t>如果宿主地址与预测模块地址完全同源，通常不需要浏览器跨域配置。若分属不同域名，必须同时配置 CORS_ORIGINS、HTTPS 和严格的 postMessage 来源校验。</w:t>
      </w:r>
    </w:p>
    <w:p>
      <w:pPr>
        <w:pStyle w:val="Heading1"/>
      </w:pPr>
      <w:r>
        <w:t>9 访问时序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385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访问时序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85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26E7C"/>
          <w:sz w:val="18"/>
        </w:rPr>
        <w:t>图 2  嵌入页面访问与事件回传时序</w:t>
      </w:r>
    </w:p>
    <w:p>
      <w:pPr>
        <w:pStyle w:val="Heading1"/>
      </w:pPr>
      <w:r>
        <w:t>10 联调验收清单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color w:val="173B4D"/>
          <w:sz w:val="20"/>
        </w:rPr>
        <w:t>□ 宿主按钮可打开单页面工作台 页面不出现旧入口页和左侧导航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color w:val="173B4D"/>
          <w:sz w:val="20"/>
        </w:rPr>
        <w:t>□ projectId 有效时进入指定工程 无效时返回明确错误或使用默认工程策略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color w:val="173B4D"/>
          <w:sz w:val="20"/>
        </w:rPr>
        <w:t>□ 社区 Excel 可导入和下载 参数可保存 人口与设施预测均可执行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color w:val="173B4D"/>
          <w:sz w:val="20"/>
        </w:rPr>
        <w:t>□ 人口和设施结果显示年度分组柱状图 图例 悬停和尺度切换可用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color w:val="173B4D"/>
          <w:sz w:val="20"/>
        </w:rPr>
        <w:t>□ 结果 Excel Word 报告 工程 ZIP 和系统备份均可下载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color w:val="173B4D"/>
          <w:sz w:val="20"/>
        </w:rPr>
        <w:t>□ module-ready prediction-completed 和 module-error 能被宿主正确接收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color w:val="173B4D"/>
          <w:sz w:val="20"/>
        </w:rPr>
        <w:t>□ 跨域 Token 下载和刷新页面后仍能正常访问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color w:val="173B4D"/>
          <w:sz w:val="20"/>
        </w:rPr>
        <w:t>□ 生产环境数据目录有持久化和备份 恢复演练通过</w:t>
      </w:r>
    </w:p>
    <w:p>
      <w:pPr>
        <w:pStyle w:val="Heading1"/>
      </w:pPr>
      <w:r>
        <w:t>11 常见问题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381"/>
            <w:shd w:fill="155F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3061"/>
            <w:shd w:fill="155F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原因</w:t>
            </w:r>
          </w:p>
        </w:tc>
        <w:tc>
          <w:tcPr>
            <w:tcW w:type="dxa" w:w="4195"/>
            <w:shd w:fill="155F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处理方法</w:t>
            </w:r>
          </w:p>
        </w:tc>
      </w:tr>
      <w:tr>
        <w:tc>
          <w:tcPr>
            <w:tcW w:type="dxa" w:w="238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页面可以打开但数据显示连接失败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apiBase 错误 API 未启动或代理路径未保留 /api</w:t>
            </w:r>
          </w:p>
        </w:tc>
        <w:tc>
          <w:tcPr>
            <w:tcW w:type="dxa" w:w="419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检查 /api/health 和浏览器网络请求</w:t>
            </w:r>
          </w:p>
        </w:tc>
      </w:tr>
      <w:tr>
        <w:tc>
          <w:tcPr>
            <w:tcW w:type="dxa" w:w="2381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浏览器提示跨域错误</w:t>
            </w:r>
          </w:p>
        </w:tc>
        <w:tc>
          <w:tcPr>
            <w:tcW w:type="dxa" w:w="3061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宿主来源未加入 CORS_ORIGINS</w:t>
            </w:r>
          </w:p>
        </w:tc>
        <w:tc>
          <w:tcPr>
            <w:tcW w:type="dxa" w:w="4195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增加精确来源后重启后端</w:t>
            </w:r>
          </w:p>
        </w:tc>
      </w:tr>
      <w:tr>
        <w:tc>
          <w:tcPr>
            <w:tcW w:type="dxa" w:w="238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下载文件返回 401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下载链接未携带有效 token</w:t>
            </w:r>
          </w:p>
        </w:tc>
        <w:tc>
          <w:tcPr>
            <w:tcW w:type="dxa" w:w="419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确认传入 token 与 HOST_API_TOKEN 一致 或改为同源网关代理</w:t>
            </w:r>
          </w:p>
        </w:tc>
      </w:tr>
      <w:tr>
        <w:tc>
          <w:tcPr>
            <w:tcW w:type="dxa" w:w="2381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宿主收不到事件</w:t>
            </w:r>
          </w:p>
        </w:tc>
        <w:tc>
          <w:tcPr>
            <w:tcW w:type="dxa" w:w="3061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hostOrigin 错误 iframe 不是父子关系或来源校验不匹配</w:t>
            </w:r>
          </w:p>
        </w:tc>
        <w:tc>
          <w:tcPr>
            <w:tcW w:type="dxa" w:w="4195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使用宿主真实 origin 并检查 message 事件</w:t>
            </w:r>
          </w:p>
        </w:tc>
      </w:tr>
      <w:tr>
        <w:tc>
          <w:tcPr>
            <w:tcW w:type="dxa" w:w="238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本机可以访问但其他设备无法访问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仍在使用 127.0.0.1 或网关未开放服务</w:t>
            </w:r>
          </w:p>
        </w:tc>
        <w:tc>
          <w:tcPr>
            <w:tcW w:type="dxa" w:w="419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使用正式域名和反向代理，并检查防火墙与监听地址</w:t>
            </w:r>
          </w:p>
        </w:tc>
      </w:tr>
      <w:tr>
        <w:tc>
          <w:tcPr>
            <w:tcW w:type="dxa" w:w="2381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组件页面无样式</w:t>
            </w:r>
          </w:p>
        </w:tc>
        <w:tc>
          <w:tcPr>
            <w:tcW w:type="dxa" w:w="3061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只加载了 JS 没加载 CSS</w:t>
            </w:r>
          </w:p>
        </w:tc>
        <w:tc>
          <w:tcPr>
            <w:tcW w:type="dxa" w:w="4195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同时引入 community-prediction-module.css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附录 A 源码下载与一键启动</w:t>
      </w:r>
    </w:p>
    <w:p>
      <w:pPr>
        <w:spacing w:after="140" w:line="336" w:lineRule="auto"/>
      </w:pPr>
      <w:r>
        <w:rPr>
          <w:rFonts w:ascii="Microsoft YaHei" w:hAnsi="Microsoft YaHei" w:eastAsia="Microsoft YaHei"/>
          <w:color w:val="173B4D"/>
          <w:sz w:val="21"/>
        </w:rPr>
        <w:t>协作成员从 GitHub 获取源码后，可以通过根目录的一键启动脚本完成本地运行。该方式直接基于源码，用于开发、联调和功能验证。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361"/>
            <w:shd w:fill="155F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4535"/>
            <w:shd w:fill="155F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3628"/>
            <w:shd w:fill="155F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13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1 准备环境</w:t>
            </w:r>
          </w:p>
        </w:tc>
        <w:tc>
          <w:tcPr>
            <w:tcW w:type="dxa" w:w="453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安装 Python 3.11 或更高版本、Node.js 20 或更高版本，并加入 PATH</w:t>
            </w:r>
          </w:p>
        </w:tc>
        <w:tc>
          <w:tcPr>
            <w:tcW w:type="dxa" w:w="36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命令行可执行 python 或 py，以及 node 和 corepack</w:t>
            </w:r>
          </w:p>
        </w:tc>
      </w:tr>
      <w:tr>
        <w:tc>
          <w:tcPr>
            <w:tcW w:type="dxa" w:w="1361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2 获取源码</w:t>
            </w:r>
          </w:p>
        </w:tc>
        <w:tc>
          <w:tcPr>
            <w:tcW w:type="dxa" w:w="4535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git clone 仓库，或下载 ZIP 后完整解压</w:t>
            </w:r>
          </w:p>
        </w:tc>
        <w:tc>
          <w:tcPr>
            <w:tcW w:type="dxa" w:w="3628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根目录中可见 backend、frontend、scripts 和一键启动.bat</w:t>
            </w:r>
          </w:p>
        </w:tc>
      </w:tr>
      <w:tr>
        <w:tc>
          <w:tcPr>
            <w:tcW w:type="dxa" w:w="13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3 一键启动</w:t>
            </w:r>
          </w:p>
        </w:tc>
        <w:tc>
          <w:tcPr>
            <w:tcW w:type="dxa" w:w="453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双击根目录的一键启动.bat</w:t>
            </w:r>
          </w:p>
        </w:tc>
        <w:tc>
          <w:tcPr>
            <w:tcW w:type="dxa" w:w="36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脚本自动创建 .venv、安装依赖、启动服务并打开浏览器</w:t>
            </w:r>
          </w:p>
        </w:tc>
      </w:tr>
      <w:tr>
        <w:tc>
          <w:tcPr>
            <w:tcW w:type="dxa" w:w="1361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4 访问系统</w:t>
            </w:r>
          </w:p>
        </w:tc>
        <w:tc>
          <w:tcPr>
            <w:tcW w:type="dxa" w:w="4535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浏览器打开 http://127.0.0.1:5173</w:t>
            </w:r>
          </w:p>
        </w:tc>
        <w:tc>
          <w:tcPr>
            <w:tcW w:type="dxa" w:w="3628"/>
            <w:shd w:fill="F4F9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前端页面和 http://127.0.0.1:8000/api/health 均可访问</w:t>
            </w:r>
          </w:p>
        </w:tc>
      </w:tr>
      <w:tr>
        <w:tc>
          <w:tcPr>
            <w:tcW w:type="dxa" w:w="13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5 停止服务</w:t>
            </w:r>
          </w:p>
        </w:tc>
        <w:tc>
          <w:tcPr>
            <w:tcW w:type="dxa" w:w="453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双击根目录的停止服务.bat</w:t>
            </w:r>
          </w:p>
        </w:tc>
        <w:tc>
          <w:tcPr>
            <w:tcW w:type="dxa" w:w="36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3B4D"/>
                <w:sz w:val="18"/>
              </w:rPr>
              <w:t>5173 与 8000 端口释放</w:t>
            </w:r>
          </w:p>
        </w:tc>
      </w:tr>
    </w:tbl>
    <w:p>
      <w:pPr>
        <w:spacing w:after="0"/>
      </w:pP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color w:val="173B4D"/>
          <w:sz w:val="20"/>
        </w:rPr>
        <w:t>首次启动需要联网下载 Python 和前端依赖，后续启动仍会校验依赖以适配代码更新。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color w:val="173B4D"/>
          <w:sz w:val="20"/>
        </w:rPr>
        <w:t>不要从压缩包预览窗口直接运行，也不要把 .venv、node_modules 或运行数据库提交到 GitHub。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color w:val="173B4D"/>
          <w:sz w:val="20"/>
        </w:rPr>
        <w:t>若提示端口占用，先运行停止服务.bat，再关闭占用 5173 或 8000 端口的其他程序。</w:t>
      </w:r>
    </w:p>
    <w:sectPr w:rsidR="00FC693F" w:rsidRPr="0006063C" w:rsidSect="00034616">
      <w:footerReference w:type="default" r:id="rId11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48993"/>
        <w:sz w:val="17"/>
      </w:rPr>
      <w:t>完整社区预测模块嵌入大系统接入说明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73B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完整社区预测模块嵌入大系统接入说明</dc:title>
  <dc:subject>单页面工作台 iframe 和 React 组件接入说明</dc:subject>
  <dc:creator>完整社区预测项目组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