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15" w:rsidRPr="00C15309" w:rsidRDefault="0052748E" w:rsidP="00C15309">
      <w:pPr>
        <w:jc w:val="center"/>
        <w:rPr>
          <w:b/>
          <w:sz w:val="24"/>
          <w:szCs w:val="20"/>
        </w:rPr>
      </w:pPr>
      <w:r w:rsidRPr="00046E15">
        <w:rPr>
          <w:b/>
          <w:sz w:val="24"/>
          <w:szCs w:val="20"/>
        </w:rPr>
        <w:t xml:space="preserve">Reflective </w:t>
      </w:r>
      <w:r w:rsidR="00EA0F38">
        <w:rPr>
          <w:b/>
          <w:sz w:val="24"/>
          <w:szCs w:val="20"/>
        </w:rPr>
        <w:t xml:space="preserve">Assessment </w:t>
      </w:r>
      <w:r w:rsidRPr="00046E15">
        <w:rPr>
          <w:b/>
          <w:sz w:val="24"/>
          <w:szCs w:val="20"/>
        </w:rPr>
        <w:t>Rubric</w:t>
      </w:r>
      <w:r w:rsidR="002562B1" w:rsidRPr="00046E15">
        <w:rPr>
          <w:b/>
          <w:sz w:val="24"/>
          <w:szCs w:val="20"/>
        </w:rPr>
        <w:t xml:space="preserve"> </w:t>
      </w:r>
      <w:r w:rsidR="004537FF">
        <w:rPr>
          <w:b/>
          <w:sz w:val="24"/>
          <w:szCs w:val="20"/>
        </w:rPr>
        <w:t>2020</w:t>
      </w:r>
    </w:p>
    <w:p w:rsidR="002562B1" w:rsidRDefault="002562B1" w:rsidP="002562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sz w:val="20"/>
          <w:szCs w:val="20"/>
        </w:rPr>
      </w:pPr>
    </w:p>
    <w:p w:rsidR="00AB24FA" w:rsidRPr="00046E15" w:rsidRDefault="00AB24FA" w:rsidP="006068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Arial"/>
          <w:b/>
          <w:sz w:val="20"/>
          <w:szCs w:val="20"/>
        </w:rPr>
      </w:pPr>
      <w:r>
        <w:rPr>
          <w:rFonts w:ascii="Times New Roman" w:hAnsi="Times New Roman" w:cs="Arial"/>
          <w:b/>
          <w:sz w:val="20"/>
          <w:szCs w:val="20"/>
        </w:rPr>
        <w:t>Student number:</w:t>
      </w:r>
      <w:r w:rsidR="0060689A">
        <w:rPr>
          <w:rFonts w:ascii="Times New Roman" w:hAnsi="Times New Roman" w:cs="Arial"/>
          <w:b/>
          <w:sz w:val="20"/>
          <w:szCs w:val="20"/>
        </w:rPr>
        <w:t xml:space="preserve"> u </w:t>
      </w:r>
    </w:p>
    <w:p w:rsidR="00DA04D4" w:rsidRPr="00046E15" w:rsidRDefault="00DA04D4" w:rsidP="002562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b/>
          <w:sz w:val="18"/>
          <w:szCs w:val="20"/>
        </w:rPr>
      </w:pPr>
    </w:p>
    <w:tbl>
      <w:tblPr>
        <w:tblW w:w="10622" w:type="dxa"/>
        <w:jc w:val="center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59"/>
        <w:gridCol w:w="2610"/>
        <w:gridCol w:w="1979"/>
        <w:gridCol w:w="1620"/>
        <w:gridCol w:w="2254"/>
      </w:tblGrid>
      <w:tr w:rsidR="00E10366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Area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Excellent (HD/ D)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1A3517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Good (Cr)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1A3517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On the right track (Pass)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Not yet Satisfactory</w:t>
            </w:r>
          </w:p>
        </w:tc>
      </w:tr>
      <w:tr w:rsidR="00105153" w:rsidRPr="00560FEC" w:rsidTr="00105153">
        <w:trPr>
          <w:trHeight w:val="688"/>
          <w:jc w:val="center"/>
        </w:trPr>
        <w:tc>
          <w:tcPr>
            <w:tcW w:w="10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153" w:rsidRPr="00105153" w:rsidRDefault="00105153" w:rsidP="00105153">
            <w:pPr>
              <w:pStyle w:val="ListParagraph"/>
              <w:numPr>
                <w:ilvl w:val="0"/>
                <w:numId w:val="2"/>
              </w:numPr>
              <w:ind w:left="437"/>
              <w:rPr>
                <w:sz w:val="20"/>
                <w:szCs w:val="20"/>
              </w:rPr>
            </w:pPr>
            <w:r w:rsidRPr="00105153">
              <w:rPr>
                <w:sz w:val="20"/>
                <w:szCs w:val="20"/>
              </w:rPr>
              <w:t>Appropriate example</w:t>
            </w:r>
          </w:p>
        </w:tc>
      </w:tr>
      <w:tr w:rsidR="005C1F41" w:rsidRPr="00560FEC" w:rsidTr="000C7248">
        <w:trPr>
          <w:trHeight w:val="1240"/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105153" w:rsidRDefault="005C1F41" w:rsidP="0010515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58"/>
              <w:ind w:left="437"/>
              <w:rPr>
                <w:sz w:val="20"/>
                <w:szCs w:val="20"/>
              </w:rPr>
            </w:pPr>
            <w:r w:rsidRPr="00105153">
              <w:rPr>
                <w:sz w:val="20"/>
                <w:szCs w:val="20"/>
              </w:rPr>
              <w:t>Links to course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105153" w:rsidP="00105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Selects an</w:t>
            </w:r>
            <w:r w:rsidR="005C1F41">
              <w:rPr>
                <w:sz w:val="20"/>
                <w:szCs w:val="20"/>
              </w:rPr>
              <w:t xml:space="preserve"> event upon linked to an event which has occurred during the course.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105153" w:rsidP="009618EF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event which is mostly related to the course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105153" w:rsidP="00105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event that is clearly related to the course, but those links are not made explicitly</w:t>
            </w:r>
            <w:r w:rsidR="005C1F41" w:rsidRPr="00560FEC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5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is not linked </w:t>
            </w:r>
            <w:r w:rsidRPr="00560FEC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>the learning experience in this course</w:t>
            </w:r>
            <w:r w:rsidR="00105153">
              <w:rPr>
                <w:sz w:val="20"/>
                <w:szCs w:val="20"/>
              </w:rPr>
              <w:t>, or the links are only vague and/ or made implicitly</w:t>
            </w:r>
          </w:p>
          <w:p w:rsidR="005C1F41" w:rsidRDefault="005C1F41" w:rsidP="009618EF">
            <w:pPr>
              <w:rPr>
                <w:sz w:val="20"/>
                <w:szCs w:val="20"/>
              </w:rPr>
            </w:pPr>
          </w:p>
        </w:tc>
      </w:tr>
      <w:tr w:rsidR="005C1F41" w:rsidRPr="00560FEC" w:rsidTr="000C7248">
        <w:trPr>
          <w:trHeight w:val="1240"/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105153" w:rsidRDefault="005C1F41" w:rsidP="00105153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58"/>
              <w:ind w:left="440"/>
              <w:rPr>
                <w:sz w:val="20"/>
                <w:szCs w:val="20"/>
              </w:rPr>
            </w:pPr>
            <w:r w:rsidRPr="00105153">
              <w:rPr>
                <w:sz w:val="20"/>
                <w:szCs w:val="20"/>
              </w:rPr>
              <w:t>Narrowed/ Depth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DC2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specific and narrow</w:t>
            </w:r>
            <w:r w:rsidR="00105153">
              <w:rPr>
                <w:sz w:val="20"/>
                <w:szCs w:val="20"/>
              </w:rPr>
              <w:t>ly identified</w:t>
            </w:r>
            <w:r>
              <w:rPr>
                <w:sz w:val="20"/>
                <w:szCs w:val="20"/>
              </w:rPr>
              <w:t>, allowing the student to go into meaningful depth.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is mostly </w:t>
            </w:r>
            <w:r w:rsidR="00105153">
              <w:rPr>
                <w:sz w:val="20"/>
                <w:szCs w:val="20"/>
              </w:rPr>
              <w:t>specific</w:t>
            </w:r>
            <w:r>
              <w:rPr>
                <w:sz w:val="20"/>
                <w:szCs w:val="20"/>
              </w:rPr>
              <w:t xml:space="preserve">, although not consistently. In places </w:t>
            </w:r>
            <w:r w:rsidR="00105153">
              <w:rPr>
                <w:sz w:val="20"/>
                <w:szCs w:val="20"/>
              </w:rPr>
              <w:t xml:space="preserve">reflection </w:t>
            </w:r>
            <w:r>
              <w:rPr>
                <w:sz w:val="20"/>
                <w:szCs w:val="20"/>
              </w:rPr>
              <w:t xml:space="preserve">raises further issues which are not explored, or </w:t>
            </w:r>
            <w:r w:rsidR="00105153">
              <w:rPr>
                <w:sz w:val="20"/>
                <w:szCs w:val="20"/>
              </w:rPr>
              <w:t>is diverted from the focus.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Emotions and values explored too quickly, </w:t>
            </w:r>
            <w:r w:rsidR="00105153">
              <w:rPr>
                <w:sz w:val="20"/>
                <w:szCs w:val="20"/>
              </w:rPr>
              <w:t xml:space="preserve">too many included, and/ or </w:t>
            </w:r>
            <w:r>
              <w:rPr>
                <w:sz w:val="20"/>
                <w:szCs w:val="20"/>
              </w:rPr>
              <w:t xml:space="preserve">significance brushed over.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9618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is too general and</w:t>
            </w:r>
            <w:r w:rsidR="00105153">
              <w:rPr>
                <w:sz w:val="20"/>
                <w:szCs w:val="20"/>
              </w:rPr>
              <w:t>/ or</w:t>
            </w:r>
            <w:r>
              <w:rPr>
                <w:sz w:val="20"/>
                <w:szCs w:val="20"/>
              </w:rPr>
              <w:t xml:space="preserve"> broad. </w:t>
            </w:r>
            <w:r w:rsidR="00105153">
              <w:rPr>
                <w:sz w:val="20"/>
                <w:szCs w:val="20"/>
              </w:rPr>
              <w:t xml:space="preserve">Treatment too superficial. </w:t>
            </w:r>
          </w:p>
        </w:tc>
      </w:tr>
      <w:tr w:rsidR="00C5547A" w:rsidRPr="00560FEC" w:rsidTr="00116910">
        <w:trPr>
          <w:jc w:val="center"/>
        </w:trPr>
        <w:tc>
          <w:tcPr>
            <w:tcW w:w="10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47A" w:rsidRPr="00C5547A" w:rsidRDefault="00C5547A" w:rsidP="00C5547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response</w:t>
            </w:r>
          </w:p>
        </w:tc>
      </w:tr>
      <w:tr w:rsidR="005C1F41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105153" w:rsidRDefault="00105153" w:rsidP="00C5547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chosen </w:t>
            </w:r>
            <w:r w:rsidR="00105153">
              <w:rPr>
                <w:sz w:val="20"/>
                <w:szCs w:val="20"/>
              </w:rPr>
              <w:t xml:space="preserve">clearly and effectively captures an </w:t>
            </w:r>
            <w:r>
              <w:rPr>
                <w:sz w:val="20"/>
                <w:szCs w:val="20"/>
              </w:rPr>
              <w:t>emotion th</w:t>
            </w:r>
            <w:r w:rsidR="00105153">
              <w:rPr>
                <w:sz w:val="20"/>
                <w:szCs w:val="20"/>
              </w:rPr>
              <w:t xml:space="preserve">at is meaningful for the author.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is linked to emotions, although </w:t>
            </w:r>
            <w:r w:rsidR="00105153">
              <w:rPr>
                <w:sz w:val="20"/>
                <w:szCs w:val="20"/>
              </w:rPr>
              <w:t>which are identified explicitly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is linked to emotions, but </w:t>
            </w:r>
            <w:r w:rsidR="00105153">
              <w:rPr>
                <w:sz w:val="20"/>
                <w:szCs w:val="20"/>
              </w:rPr>
              <w:t>either not consistently clearly, or too many</w:t>
            </w:r>
            <w:r>
              <w:rPr>
                <w:sz w:val="20"/>
                <w:szCs w:val="20"/>
              </w:rPr>
              <w:t xml:space="preserve">, </w:t>
            </w:r>
            <w:r w:rsidR="00105153">
              <w:rPr>
                <w:sz w:val="20"/>
                <w:szCs w:val="20"/>
              </w:rPr>
              <w:t xml:space="preserve">or in </w:t>
            </w:r>
            <w:r>
              <w:rPr>
                <w:sz w:val="20"/>
                <w:szCs w:val="20"/>
              </w:rPr>
              <w:t>superficial way.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Default="005C1F41" w:rsidP="00105153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does not identify a personal emotional response (For instance, the reflection is focused on what the student ‘thinks’ about an issue.)</w:t>
            </w:r>
            <w:r w:rsidR="00105153">
              <w:rPr>
                <w:sz w:val="20"/>
                <w:szCs w:val="20"/>
              </w:rPr>
              <w:t xml:space="preserve"> Treatment of emotions is too brief and/ or superficial. </w:t>
            </w:r>
          </w:p>
        </w:tc>
      </w:tr>
      <w:tr w:rsidR="000C7248" w:rsidRPr="00560FEC" w:rsidTr="009618EF">
        <w:trPr>
          <w:trHeight w:val="1240"/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105153" w:rsidRDefault="00105153" w:rsidP="00C5547A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58"/>
              <w:ind w:left="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to personal values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105153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The reflection moves beyond simple description of the </w:t>
            </w:r>
            <w:r w:rsidR="00105153">
              <w:rPr>
                <w:sz w:val="20"/>
                <w:szCs w:val="20"/>
              </w:rPr>
              <w:t xml:space="preserve">emotional </w:t>
            </w:r>
            <w:r w:rsidRPr="00560FEC">
              <w:rPr>
                <w:sz w:val="20"/>
                <w:szCs w:val="20"/>
              </w:rPr>
              <w:t xml:space="preserve">experience to an analysis of how the experience contributed to student understanding of </w:t>
            </w:r>
            <w:r w:rsidR="00105153">
              <w:rPr>
                <w:sz w:val="20"/>
                <w:szCs w:val="20"/>
              </w:rPr>
              <w:t xml:space="preserve">their own values, of </w:t>
            </w:r>
            <w:r w:rsidRPr="00560FEC">
              <w:rPr>
                <w:sz w:val="20"/>
                <w:szCs w:val="20"/>
              </w:rPr>
              <w:t xml:space="preserve">others, and/or </w:t>
            </w:r>
            <w:r w:rsidR="00105153">
              <w:rPr>
                <w:sz w:val="20"/>
                <w:szCs w:val="20"/>
              </w:rPr>
              <w:t>values</w:t>
            </w:r>
            <w:r>
              <w:rPr>
                <w:sz w:val="20"/>
                <w:szCs w:val="20"/>
              </w:rPr>
              <w:t xml:space="preserve"> covered in the </w:t>
            </w:r>
            <w:r>
              <w:rPr>
                <w:sz w:val="20"/>
                <w:szCs w:val="20"/>
              </w:rPr>
              <w:lastRenderedPageBreak/>
              <w:t>course</w:t>
            </w:r>
            <w:r w:rsidRPr="00560FEC">
              <w:rPr>
                <w:sz w:val="20"/>
                <w:szCs w:val="20"/>
              </w:rPr>
              <w:t xml:space="preserve">. Analysis is </w:t>
            </w:r>
            <w:r>
              <w:rPr>
                <w:sz w:val="20"/>
                <w:szCs w:val="20"/>
              </w:rPr>
              <w:t xml:space="preserve">coherent, is insightful and has depth.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C5547A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lastRenderedPageBreak/>
              <w:t xml:space="preserve">The reflection demonstrates </w:t>
            </w:r>
            <w:r>
              <w:rPr>
                <w:sz w:val="20"/>
                <w:szCs w:val="20"/>
              </w:rPr>
              <w:t>a coherent analysis of</w:t>
            </w:r>
            <w:r w:rsidRPr="00560FEC">
              <w:rPr>
                <w:sz w:val="20"/>
                <w:szCs w:val="20"/>
              </w:rPr>
              <w:t xml:space="preserve"> the experience but analysis lacks depth</w:t>
            </w:r>
            <w:r w:rsidR="00C5547A">
              <w:rPr>
                <w:sz w:val="20"/>
                <w:szCs w:val="20"/>
              </w:rPr>
              <w:t xml:space="preserve"> of connection with values</w:t>
            </w:r>
            <w:r w:rsidR="0010515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9618EF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Student makes attempts at applying the learning experience to und</w:t>
            </w:r>
            <w:r w:rsidR="00C5547A">
              <w:rPr>
                <w:sz w:val="20"/>
                <w:szCs w:val="20"/>
              </w:rPr>
              <w:t xml:space="preserve">erstanding of own values and of </w:t>
            </w:r>
            <w:r w:rsidRPr="00560FEC">
              <w:rPr>
                <w:sz w:val="20"/>
                <w:szCs w:val="20"/>
              </w:rPr>
              <w:t xml:space="preserve">others, and/or course </w:t>
            </w:r>
            <w:r w:rsidRPr="00560FEC">
              <w:rPr>
                <w:sz w:val="20"/>
                <w:szCs w:val="20"/>
              </w:rPr>
              <w:lastRenderedPageBreak/>
              <w:t xml:space="preserve">concepts but </w:t>
            </w:r>
            <w:r w:rsidR="00C5547A">
              <w:rPr>
                <w:sz w:val="20"/>
                <w:szCs w:val="20"/>
              </w:rPr>
              <w:t>only partly successful.</w:t>
            </w:r>
          </w:p>
          <w:p w:rsidR="000C7248" w:rsidRPr="00560FEC" w:rsidRDefault="000C7248" w:rsidP="009618EF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9618EF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lastRenderedPageBreak/>
              <w:t>Reflection does not move beyond description of the learning experience(s).</w:t>
            </w:r>
          </w:p>
          <w:p w:rsidR="000C7248" w:rsidRPr="00560FEC" w:rsidRDefault="000C7248" w:rsidP="009618EF">
            <w:pPr>
              <w:spacing w:line="120" w:lineRule="exact"/>
              <w:rPr>
                <w:sz w:val="20"/>
                <w:szCs w:val="20"/>
              </w:rPr>
            </w:pPr>
          </w:p>
        </w:tc>
      </w:tr>
      <w:tr w:rsidR="00C5547A" w:rsidRPr="00560FEC" w:rsidTr="00D12BDC">
        <w:trPr>
          <w:jc w:val="center"/>
        </w:trPr>
        <w:tc>
          <w:tcPr>
            <w:tcW w:w="10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47A" w:rsidRPr="00C5547A" w:rsidRDefault="00C5547A" w:rsidP="00C5547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Generating different perspectives and possibilities</w:t>
            </w:r>
          </w:p>
        </w:tc>
      </w:tr>
      <w:tr w:rsidR="00DC25F2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5F2" w:rsidRPr="00C5547A" w:rsidRDefault="00DC25F2" w:rsidP="00C5547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>Awareness of self and others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5F2" w:rsidRPr="00560FEC" w:rsidRDefault="00DC25F2" w:rsidP="00921473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</w:t>
            </w:r>
            <w:r w:rsidR="00921473">
              <w:rPr>
                <w:sz w:val="20"/>
                <w:szCs w:val="20"/>
              </w:rPr>
              <w:t xml:space="preserve">clearly </w:t>
            </w:r>
            <w:r>
              <w:rPr>
                <w:sz w:val="20"/>
                <w:szCs w:val="20"/>
              </w:rPr>
              <w:t xml:space="preserve">evaluate own responses to an event openly with an ability to ‘stand back’ and see self </w:t>
            </w:r>
            <w:r w:rsidR="00921473">
              <w:rPr>
                <w:sz w:val="20"/>
                <w:szCs w:val="20"/>
              </w:rPr>
              <w:t xml:space="preserve">clearly </w:t>
            </w:r>
            <w:r>
              <w:rPr>
                <w:sz w:val="20"/>
                <w:szCs w:val="20"/>
              </w:rPr>
              <w:t>from the perspectives of others, ability to show insight into what others might be thinking/ feeling</w:t>
            </w:r>
            <w:r w:rsidR="00921473">
              <w:rPr>
                <w:sz w:val="20"/>
                <w:szCs w:val="20"/>
              </w:rPr>
              <w:t xml:space="preserve">, their values, and generates meaningful alternatives.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5F2" w:rsidRDefault="00921473" w:rsidP="00921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identify own emotions, and to stand back and see self, but lacks depth. Describes plausible responses from others, but not a sufficient depth of understanding from the perspectives of others.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5F2" w:rsidRPr="00560FEC" w:rsidRDefault="00921473" w:rsidP="00305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identify own emotions, and to stand back and see self, but lacks genuineness, depth and plausibility.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5F2" w:rsidRPr="00560FEC" w:rsidRDefault="00921473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not successful and generating alternative perspectives which are coherent and plausible. </w:t>
            </w:r>
          </w:p>
        </w:tc>
      </w:tr>
      <w:tr w:rsidR="00E10366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C5547A" w:rsidRDefault="00E10366" w:rsidP="00C5547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>Considers different perspectives and possibilities</w:t>
            </w:r>
            <w:r w:rsidR="00266BC1" w:rsidRPr="00C5547A">
              <w:rPr>
                <w:sz w:val="20"/>
                <w:szCs w:val="20"/>
              </w:rPr>
              <w:t xml:space="preserve"> and/ or values.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Identifies principles to decipher competing views and perspectives. Articulates a personal position by linking them together.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1A3517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Weighs an idea or perspective and can justify personal </w:t>
            </w:r>
            <w:r w:rsidR="00046E15" w:rsidRPr="00560FEC">
              <w:rPr>
                <w:sz w:val="20"/>
                <w:szCs w:val="20"/>
              </w:rPr>
              <w:t>decision-making</w:t>
            </w:r>
            <w:r w:rsidRPr="00560FEC">
              <w:rPr>
                <w:sz w:val="20"/>
                <w:szCs w:val="20"/>
              </w:rPr>
              <w:t xml:space="preserve"> and actions. </w:t>
            </w:r>
            <w:r w:rsidR="008E6216">
              <w:rPr>
                <w:sz w:val="20"/>
                <w:szCs w:val="20"/>
              </w:rPr>
              <w:t>Student r</w:t>
            </w:r>
            <w:r w:rsidRPr="00560FEC">
              <w:rPr>
                <w:sz w:val="20"/>
                <w:szCs w:val="20"/>
              </w:rPr>
              <w:t>ecognises competing interests.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1A3517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Descriptive or anec</w:t>
            </w:r>
            <w:r>
              <w:rPr>
                <w:sz w:val="20"/>
                <w:szCs w:val="20"/>
              </w:rPr>
              <w:t>do</w:t>
            </w:r>
            <w:r w:rsidRPr="00560FEC">
              <w:rPr>
                <w:sz w:val="20"/>
                <w:szCs w:val="20"/>
              </w:rPr>
              <w:t>tal thinking with limited use of alternative perspectives.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Black and white thinking. Dependent on one view and cannot speculate on either values or different perspectives.</w:t>
            </w:r>
          </w:p>
        </w:tc>
      </w:tr>
      <w:tr w:rsidR="00C5547A" w:rsidRPr="00560FEC" w:rsidTr="005719AB">
        <w:trPr>
          <w:jc w:val="center"/>
        </w:trPr>
        <w:tc>
          <w:tcPr>
            <w:tcW w:w="10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47A" w:rsidRPr="00C5547A" w:rsidRDefault="00C5547A" w:rsidP="00C5547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>Personal insight and learning</w:t>
            </w:r>
          </w:p>
        </w:tc>
      </w:tr>
      <w:tr w:rsidR="000C7248" w:rsidRPr="00560FEC" w:rsidTr="009618EF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C5547A" w:rsidRDefault="000C7248" w:rsidP="00C5547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>Insight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C5547A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The reflection demonstrates clear </w:t>
            </w:r>
            <w:r>
              <w:rPr>
                <w:sz w:val="20"/>
                <w:szCs w:val="20"/>
              </w:rPr>
              <w:t>connections between personal l</w:t>
            </w:r>
            <w:r w:rsidR="00C5547A">
              <w:rPr>
                <w:sz w:val="20"/>
                <w:szCs w:val="20"/>
              </w:rPr>
              <w:t xml:space="preserve">earning experience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C5547A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The reflection demonstrates some connections bet</w:t>
            </w:r>
            <w:r>
              <w:rPr>
                <w:sz w:val="20"/>
                <w:szCs w:val="20"/>
              </w:rPr>
              <w:t xml:space="preserve">ween personal experience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C5547A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There is an</w:t>
            </w:r>
            <w:r>
              <w:rPr>
                <w:sz w:val="20"/>
                <w:szCs w:val="20"/>
              </w:rPr>
              <w:t xml:space="preserve"> attempt to connect </w:t>
            </w:r>
            <w:r w:rsidRPr="00560FEC">
              <w:rPr>
                <w:sz w:val="20"/>
                <w:szCs w:val="20"/>
              </w:rPr>
              <w:t xml:space="preserve">the experience, but only partly successful. 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C7248" w:rsidRPr="00560FEC" w:rsidRDefault="000C7248" w:rsidP="009618EF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Doesn’t link with any </w:t>
            </w:r>
            <w:r>
              <w:rPr>
                <w:sz w:val="20"/>
                <w:szCs w:val="20"/>
              </w:rPr>
              <w:t xml:space="preserve">learning experience in the course or the learning outcomes. </w:t>
            </w:r>
          </w:p>
          <w:p w:rsidR="000C7248" w:rsidRPr="00560FEC" w:rsidRDefault="000C7248" w:rsidP="009618EF">
            <w:pPr>
              <w:rPr>
                <w:sz w:val="20"/>
                <w:szCs w:val="20"/>
              </w:rPr>
            </w:pPr>
          </w:p>
        </w:tc>
      </w:tr>
      <w:tr w:rsidR="005C1F41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C5547A" w:rsidRDefault="000C7248" w:rsidP="00C5547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>Responsibility and action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5C1F41" w:rsidP="005C1F41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Takes </w:t>
            </w:r>
            <w:r>
              <w:rPr>
                <w:sz w:val="20"/>
                <w:szCs w:val="20"/>
              </w:rPr>
              <w:t xml:space="preserve">deep </w:t>
            </w:r>
            <w:r w:rsidRPr="00560FEC">
              <w:rPr>
                <w:sz w:val="20"/>
                <w:szCs w:val="20"/>
              </w:rPr>
              <w:t xml:space="preserve">personal responsibility for </w:t>
            </w:r>
            <w:r>
              <w:rPr>
                <w:sz w:val="20"/>
                <w:szCs w:val="20"/>
              </w:rPr>
              <w:t xml:space="preserve">reflective </w:t>
            </w:r>
            <w:r w:rsidRPr="00560FEC">
              <w:rPr>
                <w:sz w:val="20"/>
                <w:szCs w:val="20"/>
              </w:rPr>
              <w:t xml:space="preserve">learning, clearly considers </w:t>
            </w:r>
            <w:r>
              <w:rPr>
                <w:sz w:val="20"/>
                <w:szCs w:val="20"/>
              </w:rPr>
              <w:t>personal values</w:t>
            </w:r>
            <w:r w:rsidRPr="00560FE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what happens next?</w:t>
            </w:r>
            <w:r w:rsidRPr="00560FEC">
              <w:rPr>
                <w:sz w:val="20"/>
                <w:szCs w:val="20"/>
              </w:rPr>
              <w:t xml:space="preserve"> </w:t>
            </w:r>
            <w:r w:rsidR="000C7248">
              <w:rPr>
                <w:sz w:val="20"/>
                <w:szCs w:val="20"/>
              </w:rPr>
              <w:t>This seems genuine, meaningful, and realistic.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5C1F41" w:rsidP="000C72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Takes responsibility and links learning </w:t>
            </w:r>
            <w:r w:rsidR="000C7248">
              <w:rPr>
                <w:sz w:val="20"/>
                <w:szCs w:val="20"/>
              </w:rPr>
              <w:t xml:space="preserve">from this task </w:t>
            </w:r>
            <w:r>
              <w:rPr>
                <w:sz w:val="20"/>
                <w:szCs w:val="20"/>
              </w:rPr>
              <w:t xml:space="preserve">with future personal action. </w:t>
            </w:r>
            <w:r w:rsidR="000C7248">
              <w:rPr>
                <w:sz w:val="20"/>
                <w:szCs w:val="20"/>
              </w:rPr>
              <w:t xml:space="preserve">This is possible, but not thought through in sufficient depth.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5C1F41" w:rsidP="000C7248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Partly identifies </w:t>
            </w:r>
            <w:r>
              <w:rPr>
                <w:sz w:val="20"/>
                <w:szCs w:val="20"/>
              </w:rPr>
              <w:t xml:space="preserve">partly links </w:t>
            </w:r>
            <w:r w:rsidR="000C7248">
              <w:rPr>
                <w:sz w:val="20"/>
                <w:szCs w:val="20"/>
              </w:rPr>
              <w:t xml:space="preserve">with learning from this task with </w:t>
            </w:r>
            <w:r>
              <w:rPr>
                <w:sz w:val="20"/>
                <w:szCs w:val="20"/>
              </w:rPr>
              <w:t>action</w:t>
            </w:r>
            <w:r w:rsidR="000C7248">
              <w:rPr>
                <w:sz w:val="20"/>
                <w:szCs w:val="20"/>
              </w:rPr>
              <w:t>, but not sufficient depth.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1F41" w:rsidRPr="00560FEC" w:rsidRDefault="005C1F41" w:rsidP="005C1F41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Entry shows no or limited understanding of personal action and responsibility</w:t>
            </w:r>
            <w:r w:rsidR="000C7248">
              <w:rPr>
                <w:sz w:val="20"/>
                <w:szCs w:val="20"/>
              </w:rPr>
              <w:t xml:space="preserve"> arising from this reflective task. </w:t>
            </w:r>
          </w:p>
        </w:tc>
      </w:tr>
      <w:tr w:rsidR="00C5547A" w:rsidRPr="00560FEC" w:rsidTr="00F44038">
        <w:trPr>
          <w:jc w:val="center"/>
        </w:trPr>
        <w:tc>
          <w:tcPr>
            <w:tcW w:w="106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47A" w:rsidRPr="00C5547A" w:rsidRDefault="00C5547A" w:rsidP="00C5547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C5547A">
              <w:rPr>
                <w:sz w:val="20"/>
                <w:szCs w:val="20"/>
              </w:rPr>
              <w:t xml:space="preserve">Expression </w:t>
            </w:r>
          </w:p>
        </w:tc>
      </w:tr>
      <w:tr w:rsidR="00E10366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AB24FA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DC25F2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 The language is </w:t>
            </w:r>
            <w:r w:rsidR="00A46C2C">
              <w:rPr>
                <w:sz w:val="20"/>
                <w:szCs w:val="20"/>
              </w:rPr>
              <w:t>coherent</w:t>
            </w:r>
            <w:r w:rsidRPr="00560FEC">
              <w:rPr>
                <w:sz w:val="20"/>
                <w:szCs w:val="20"/>
              </w:rPr>
              <w:t xml:space="preserve"> and expressive.  The reader can create a mental picture of the situation being described.  Abstract concepts are explained accurately.  Explanation of concepts makes coherent sense to an uninformed reader. Fluent, articulate sense of a journey. 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>Clear explanation of the issues/ challenges.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1A3517">
            <w:pPr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Adequate explanation of the issues/ challenges/ ideas. </w:t>
            </w:r>
          </w:p>
          <w:p w:rsidR="00E10366" w:rsidRPr="00560FEC" w:rsidRDefault="00E10366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0366" w:rsidRPr="00560FEC" w:rsidRDefault="00E10366" w:rsidP="00266BC1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 Concepts are either not discussed or are presented </w:t>
            </w:r>
            <w:r w:rsidR="00266BC1" w:rsidRPr="00560FEC">
              <w:rPr>
                <w:sz w:val="20"/>
                <w:szCs w:val="20"/>
              </w:rPr>
              <w:t>in</w:t>
            </w:r>
            <w:r w:rsidR="00266BC1">
              <w:rPr>
                <w:sz w:val="20"/>
                <w:szCs w:val="20"/>
              </w:rPr>
              <w:t>coherently</w:t>
            </w:r>
            <w:r w:rsidRPr="00560FEC">
              <w:rPr>
                <w:sz w:val="20"/>
                <w:szCs w:val="20"/>
              </w:rPr>
              <w:t xml:space="preserve">. Oversimplifies ideas. </w:t>
            </w:r>
          </w:p>
        </w:tc>
      </w:tr>
      <w:tr w:rsidR="005C3781" w:rsidRPr="00560FEC" w:rsidTr="000C7248">
        <w:trPr>
          <w:jc w:val="center"/>
        </w:trPr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781" w:rsidRDefault="005C3781" w:rsidP="003254AB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Expression/ Editing/ Proofreading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781" w:rsidRPr="00560FEC" w:rsidRDefault="005C3781" w:rsidP="00DC25F2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Consistently clear, precise and error free.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781" w:rsidRPr="00560FEC" w:rsidRDefault="005C3781" w:rsidP="005C3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Infrequent</w:t>
            </w:r>
            <w:r w:rsidRPr="00560F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errors or typos. Mostly clear only a few lapses.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781" w:rsidRPr="00560FEC" w:rsidRDefault="005C3781" w:rsidP="005C37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 errors or typos. Partly clear, some lapses in focus/ clarity.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C3781" w:rsidRPr="00560FEC" w:rsidRDefault="005C3781" w:rsidP="005C3781">
            <w:pPr>
              <w:widowControl w:val="0"/>
              <w:autoSpaceDE w:val="0"/>
              <w:autoSpaceDN w:val="0"/>
              <w:adjustRightInd w:val="0"/>
              <w:spacing w:after="58"/>
              <w:rPr>
                <w:sz w:val="20"/>
                <w:szCs w:val="20"/>
              </w:rPr>
            </w:pPr>
            <w:r w:rsidRPr="00560FEC">
              <w:rPr>
                <w:sz w:val="20"/>
                <w:szCs w:val="20"/>
              </w:rPr>
              <w:t xml:space="preserve">Language is </w:t>
            </w:r>
            <w:r>
              <w:rPr>
                <w:sz w:val="20"/>
                <w:szCs w:val="20"/>
              </w:rPr>
              <w:t>not consistently clear. Errors and typos that make the meaning uncl</w:t>
            </w:r>
            <w:bookmarkStart w:id="0" w:name="_GoBack"/>
            <w:bookmarkEnd w:id="0"/>
            <w:r>
              <w:rPr>
                <w:sz w:val="20"/>
                <w:szCs w:val="20"/>
              </w:rPr>
              <w:t>ear.</w:t>
            </w:r>
          </w:p>
        </w:tc>
      </w:tr>
    </w:tbl>
    <w:p w:rsidR="00406257" w:rsidRDefault="00406257">
      <w:pPr>
        <w:rPr>
          <w:sz w:val="20"/>
          <w:szCs w:val="20"/>
        </w:rPr>
      </w:pPr>
    </w:p>
    <w:p w:rsidR="00AB24FA" w:rsidRDefault="00AB24FA">
      <w:pPr>
        <w:rPr>
          <w:sz w:val="20"/>
          <w:szCs w:val="20"/>
        </w:rPr>
      </w:pPr>
    </w:p>
    <w:p w:rsidR="00AB24FA" w:rsidRDefault="00AB24FA">
      <w:pPr>
        <w:rPr>
          <w:sz w:val="20"/>
          <w:szCs w:val="20"/>
        </w:rPr>
      </w:pPr>
      <w:r>
        <w:rPr>
          <w:sz w:val="20"/>
          <w:szCs w:val="20"/>
        </w:rPr>
        <w:t>Grade:</w:t>
      </w:r>
    </w:p>
    <w:p w:rsidR="00AB24FA" w:rsidRDefault="00AB24FA">
      <w:pPr>
        <w:rPr>
          <w:sz w:val="20"/>
          <w:szCs w:val="20"/>
        </w:rPr>
      </w:pPr>
    </w:p>
    <w:p w:rsidR="00AB24FA" w:rsidRPr="00560FEC" w:rsidRDefault="00AB24FA">
      <w:pPr>
        <w:rPr>
          <w:sz w:val="20"/>
          <w:szCs w:val="20"/>
        </w:rPr>
      </w:pPr>
      <w:r>
        <w:rPr>
          <w:sz w:val="20"/>
          <w:szCs w:val="20"/>
        </w:rPr>
        <w:t xml:space="preserve">Comment: </w:t>
      </w:r>
    </w:p>
    <w:sectPr w:rsidR="00AB24FA" w:rsidRPr="00560FEC" w:rsidSect="0025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39C" w:rsidRDefault="0056439C" w:rsidP="004C4BCC">
      <w:pPr>
        <w:spacing w:after="0" w:line="240" w:lineRule="auto"/>
      </w:pPr>
      <w:r>
        <w:separator/>
      </w:r>
    </w:p>
  </w:endnote>
  <w:endnote w:type="continuationSeparator" w:id="0">
    <w:p w:rsidR="0056439C" w:rsidRDefault="0056439C" w:rsidP="004C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39C" w:rsidRDefault="0056439C" w:rsidP="004C4BCC">
      <w:pPr>
        <w:spacing w:after="0" w:line="240" w:lineRule="auto"/>
      </w:pPr>
      <w:r>
        <w:separator/>
      </w:r>
    </w:p>
  </w:footnote>
  <w:footnote w:type="continuationSeparator" w:id="0">
    <w:p w:rsidR="0056439C" w:rsidRDefault="0056439C" w:rsidP="004C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3AB9"/>
    <w:multiLevelType w:val="hybridMultilevel"/>
    <w:tmpl w:val="1960CCB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7AEF"/>
    <w:multiLevelType w:val="hybridMultilevel"/>
    <w:tmpl w:val="A91AF8E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F28"/>
    <w:multiLevelType w:val="hybridMultilevel"/>
    <w:tmpl w:val="42669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222E"/>
    <w:multiLevelType w:val="hybridMultilevel"/>
    <w:tmpl w:val="89B2EC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541BB"/>
    <w:multiLevelType w:val="hybridMultilevel"/>
    <w:tmpl w:val="741CD15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040B"/>
    <w:multiLevelType w:val="hybridMultilevel"/>
    <w:tmpl w:val="741CD15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8E"/>
    <w:rsid w:val="00000A14"/>
    <w:rsid w:val="00023A3A"/>
    <w:rsid w:val="00025A5A"/>
    <w:rsid w:val="00046E15"/>
    <w:rsid w:val="00052EAF"/>
    <w:rsid w:val="00054BF7"/>
    <w:rsid w:val="000C7248"/>
    <w:rsid w:val="00105153"/>
    <w:rsid w:val="00123794"/>
    <w:rsid w:val="001337E3"/>
    <w:rsid w:val="001A3517"/>
    <w:rsid w:val="001F2D93"/>
    <w:rsid w:val="00204E9B"/>
    <w:rsid w:val="002549D7"/>
    <w:rsid w:val="002562B1"/>
    <w:rsid w:val="00264A25"/>
    <w:rsid w:val="00266BC1"/>
    <w:rsid w:val="002933CF"/>
    <w:rsid w:val="00295018"/>
    <w:rsid w:val="00305AE7"/>
    <w:rsid w:val="003152A1"/>
    <w:rsid w:val="00315F6D"/>
    <w:rsid w:val="003239A6"/>
    <w:rsid w:val="003254AB"/>
    <w:rsid w:val="00365FB8"/>
    <w:rsid w:val="00371F08"/>
    <w:rsid w:val="00395F30"/>
    <w:rsid w:val="003E0B82"/>
    <w:rsid w:val="003E3EAE"/>
    <w:rsid w:val="00404901"/>
    <w:rsid w:val="00406257"/>
    <w:rsid w:val="004537FF"/>
    <w:rsid w:val="00463F31"/>
    <w:rsid w:val="00485322"/>
    <w:rsid w:val="004C4BCC"/>
    <w:rsid w:val="004D1E65"/>
    <w:rsid w:val="00503B59"/>
    <w:rsid w:val="00517B2A"/>
    <w:rsid w:val="0052748E"/>
    <w:rsid w:val="00560FEC"/>
    <w:rsid w:val="0056439C"/>
    <w:rsid w:val="005C1F41"/>
    <w:rsid w:val="005C3781"/>
    <w:rsid w:val="005E7F80"/>
    <w:rsid w:val="0060689A"/>
    <w:rsid w:val="0063625F"/>
    <w:rsid w:val="006E61E3"/>
    <w:rsid w:val="00714032"/>
    <w:rsid w:val="007D56B5"/>
    <w:rsid w:val="00881D8B"/>
    <w:rsid w:val="00891C64"/>
    <w:rsid w:val="008C66B3"/>
    <w:rsid w:val="008E6216"/>
    <w:rsid w:val="00905066"/>
    <w:rsid w:val="00906333"/>
    <w:rsid w:val="00921473"/>
    <w:rsid w:val="00927C9E"/>
    <w:rsid w:val="00941465"/>
    <w:rsid w:val="009856AD"/>
    <w:rsid w:val="009B57B8"/>
    <w:rsid w:val="009C4563"/>
    <w:rsid w:val="00A006B5"/>
    <w:rsid w:val="00A06CDF"/>
    <w:rsid w:val="00A15B95"/>
    <w:rsid w:val="00A46C2C"/>
    <w:rsid w:val="00A63030"/>
    <w:rsid w:val="00AB24FA"/>
    <w:rsid w:val="00B1646B"/>
    <w:rsid w:val="00B521F9"/>
    <w:rsid w:val="00B8110D"/>
    <w:rsid w:val="00B90A6C"/>
    <w:rsid w:val="00BD6F78"/>
    <w:rsid w:val="00C15309"/>
    <w:rsid w:val="00C31B34"/>
    <w:rsid w:val="00C471FE"/>
    <w:rsid w:val="00C5547A"/>
    <w:rsid w:val="00C80D12"/>
    <w:rsid w:val="00CF0568"/>
    <w:rsid w:val="00DA04D4"/>
    <w:rsid w:val="00DC1EF3"/>
    <w:rsid w:val="00DC25F2"/>
    <w:rsid w:val="00E10366"/>
    <w:rsid w:val="00E56176"/>
    <w:rsid w:val="00EA0F38"/>
    <w:rsid w:val="00ED7070"/>
    <w:rsid w:val="00EE0006"/>
    <w:rsid w:val="00EF5F5C"/>
    <w:rsid w:val="00FC57AE"/>
    <w:rsid w:val="00FE0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3396"/>
  <w15:docId w15:val="{9C6AEDC3-93AE-4180-AAC5-5D57B5AF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2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6257"/>
  </w:style>
  <w:style w:type="character" w:styleId="Emphasis">
    <w:name w:val="Emphasis"/>
    <w:basedOn w:val="DefaultParagraphFont"/>
    <w:uiPriority w:val="20"/>
    <w:qFormat/>
    <w:rsid w:val="0040625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91C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C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C6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C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C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6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CC"/>
  </w:style>
  <w:style w:type="paragraph" w:styleId="Footer">
    <w:name w:val="footer"/>
    <w:basedOn w:val="Normal"/>
    <w:link w:val="FooterChar"/>
    <w:uiPriority w:val="99"/>
    <w:unhideWhenUsed/>
    <w:rsid w:val="004C4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CC"/>
  </w:style>
  <w:style w:type="paragraph" w:styleId="ListParagraph">
    <w:name w:val="List Paragraph"/>
    <w:basedOn w:val="Normal"/>
    <w:uiPriority w:val="34"/>
    <w:qFormat/>
    <w:rsid w:val="00C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Keogh</dc:creator>
  <cp:lastModifiedBy>Anne Macduff</cp:lastModifiedBy>
  <cp:revision>9</cp:revision>
  <cp:lastPrinted>2012-07-30T02:52:00Z</cp:lastPrinted>
  <dcterms:created xsi:type="dcterms:W3CDTF">2017-07-29T06:54:00Z</dcterms:created>
  <dcterms:modified xsi:type="dcterms:W3CDTF">2020-01-28T12:48:00Z</dcterms:modified>
</cp:coreProperties>
</file>