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6F664" w14:textId="77777777" w:rsidR="004D7950" w:rsidRDefault="0003082E" w:rsidP="00CD1925">
      <w:pPr>
        <w:pStyle w:val="CourtTitle"/>
        <w:spacing w:line="480" w:lineRule="auto"/>
      </w:pPr>
      <w:r>
        <w:fldChar w:fldCharType="begin"/>
      </w:r>
      <w:r>
        <w:instrText xml:space="preserve"> DOCPROPERTY  Court  \* MERGEFORMAT </w:instrText>
      </w:r>
      <w:r>
        <w:fldChar w:fldCharType="separate"/>
      </w:r>
      <w:r w:rsidR="00587C45">
        <w:t>Federal Court of Australia</w:t>
      </w:r>
      <w:r>
        <w:fldChar w:fldCharType="end"/>
      </w:r>
    </w:p>
    <w:bookmarkStart w:id="0" w:name="MNC"/>
    <w:p w14:paraId="2D174CF8" w14:textId="4F6FFB97" w:rsidR="00374CC4" w:rsidRDefault="00CB7038" w:rsidP="001A2B40">
      <w:pPr>
        <w:pStyle w:val="MNC"/>
      </w:pPr>
      <w:sdt>
        <w:sdtPr>
          <w:alias w:val="MNC"/>
          <w:tag w:val="MNC"/>
          <w:id w:val="343289786"/>
          <w:lock w:val="sdtLocked"/>
          <w:placeholder>
            <w:docPart w:val="5F5EDCAAEB22448F8196A89F9B9C8ADE"/>
          </w:placeholder>
          <w:dataBinding w:prefixMappings="xmlns:ns0='http://schemas.globalmacros.com/FCA'" w:xpath="/ns0:root[1]/ns0:Name[1]" w:storeItemID="{687E7CCB-4AA5-44E7-B148-17BA2B6F57C0}"/>
          <w:text w:multiLine="1"/>
        </w:sdtPr>
        <w:sdtEndPr/>
        <w:sdtContent>
          <w:r w:rsidR="00A57D5A">
            <w:t>JMC Pty Limited v Commiss</w:t>
          </w:r>
          <w:r w:rsidR="008E76DF">
            <w:t>ioner of Taxation [2022] FCA 750</w:t>
          </w:r>
        </w:sdtContent>
      </w:sdt>
      <w:bookmarkEnd w:id="0"/>
    </w:p>
    <w:tbl>
      <w:tblPr>
        <w:tblW w:w="9073" w:type="dxa"/>
        <w:tblLayout w:type="fixed"/>
        <w:tblLook w:val="01E0" w:firstRow="1" w:lastRow="1" w:firstColumn="1" w:lastColumn="1" w:noHBand="0" w:noVBand="0"/>
        <w:tblCaption w:val="Cover Table"/>
        <w:tblDescription w:val="Cover Table"/>
      </w:tblPr>
      <w:tblGrid>
        <w:gridCol w:w="3084"/>
        <w:gridCol w:w="5989"/>
      </w:tblGrid>
      <w:tr w:rsidR="00395B24" w14:paraId="1F7F8B8F" w14:textId="77777777" w:rsidTr="00125E89">
        <w:tc>
          <w:tcPr>
            <w:tcW w:w="3084" w:type="dxa"/>
            <w:shd w:val="clear" w:color="auto" w:fill="auto"/>
          </w:tcPr>
          <w:p w14:paraId="71F09C7C" w14:textId="77777777" w:rsidR="00395B24" w:rsidRDefault="00587C45" w:rsidP="00663878">
            <w:pPr>
              <w:pStyle w:val="Normal1linespace"/>
              <w:widowControl w:val="0"/>
              <w:jc w:val="left"/>
            </w:pPr>
            <w:r>
              <w:t>File number</w:t>
            </w:r>
            <w:r w:rsidR="002C7385">
              <w:t>:</w:t>
            </w:r>
          </w:p>
        </w:tc>
        <w:tc>
          <w:tcPr>
            <w:tcW w:w="5989" w:type="dxa"/>
            <w:shd w:val="clear" w:color="auto" w:fill="auto"/>
          </w:tcPr>
          <w:p w14:paraId="36B02B72" w14:textId="77777777" w:rsidR="00395B24" w:rsidRPr="00587C45" w:rsidRDefault="00A12671" w:rsidP="00587C45">
            <w:pPr>
              <w:pStyle w:val="Normal1linespace"/>
              <w:jc w:val="left"/>
            </w:pPr>
            <w:fldSimple w:instr=" REF  FileNo  \* MERGEFORMAT " w:fldLock="1">
              <w:r w:rsidR="00587C45" w:rsidRPr="00587C45">
                <w:t>NSD 175 of 2020</w:t>
              </w:r>
            </w:fldSimple>
          </w:p>
        </w:tc>
      </w:tr>
      <w:tr w:rsidR="00395B24" w14:paraId="6FA583A4" w14:textId="77777777" w:rsidTr="00125E89">
        <w:tc>
          <w:tcPr>
            <w:tcW w:w="3084" w:type="dxa"/>
            <w:shd w:val="clear" w:color="auto" w:fill="auto"/>
          </w:tcPr>
          <w:p w14:paraId="7B19A9F0" w14:textId="77777777" w:rsidR="00395B24" w:rsidRDefault="00395B24" w:rsidP="00663878">
            <w:pPr>
              <w:pStyle w:val="Normal1linespace"/>
              <w:widowControl w:val="0"/>
              <w:jc w:val="left"/>
            </w:pPr>
          </w:p>
        </w:tc>
        <w:tc>
          <w:tcPr>
            <w:tcW w:w="5989" w:type="dxa"/>
            <w:shd w:val="clear" w:color="auto" w:fill="auto"/>
          </w:tcPr>
          <w:p w14:paraId="229956D9" w14:textId="77777777" w:rsidR="00395B24" w:rsidRDefault="00395B24" w:rsidP="00663878">
            <w:pPr>
              <w:pStyle w:val="Normal1linespace"/>
              <w:widowControl w:val="0"/>
              <w:jc w:val="left"/>
            </w:pPr>
          </w:p>
        </w:tc>
      </w:tr>
      <w:tr w:rsidR="00395B24" w14:paraId="4B03073C" w14:textId="77777777" w:rsidTr="00125E89">
        <w:tc>
          <w:tcPr>
            <w:tcW w:w="3084" w:type="dxa"/>
            <w:shd w:val="clear" w:color="auto" w:fill="auto"/>
          </w:tcPr>
          <w:p w14:paraId="3BB82F5A" w14:textId="77777777" w:rsidR="00395B24" w:rsidRDefault="002C7385" w:rsidP="00663878">
            <w:pPr>
              <w:pStyle w:val="Normal1linespace"/>
              <w:widowControl w:val="0"/>
              <w:jc w:val="left"/>
            </w:pPr>
            <w:r>
              <w:t>Judg</w:t>
            </w:r>
            <w:r w:rsidR="005724F6">
              <w:t>ment of</w:t>
            </w:r>
            <w:r>
              <w:t>:</w:t>
            </w:r>
          </w:p>
        </w:tc>
        <w:tc>
          <w:tcPr>
            <w:tcW w:w="5989" w:type="dxa"/>
            <w:shd w:val="clear" w:color="auto" w:fill="auto"/>
          </w:tcPr>
          <w:p w14:paraId="23FD6471" w14:textId="75308606" w:rsidR="00395B24" w:rsidRDefault="002C7385" w:rsidP="00B216A9">
            <w:pPr>
              <w:pStyle w:val="Normal1linespace"/>
              <w:widowControl w:val="0"/>
              <w:jc w:val="left"/>
              <w:rPr>
                <w:b/>
              </w:rPr>
            </w:pPr>
            <w:r w:rsidRPr="00587C45">
              <w:rPr>
                <w:b/>
              </w:rPr>
              <w:fldChar w:fldCharType="begin" w:fldLock="1"/>
            </w:r>
            <w:r w:rsidRPr="00587C45">
              <w:rPr>
                <w:b/>
              </w:rPr>
              <w:instrText xml:space="preserve"> REF  Judge  \* MERGEFORMAT </w:instrText>
            </w:r>
            <w:r w:rsidRPr="00587C45">
              <w:rPr>
                <w:b/>
              </w:rPr>
              <w:fldChar w:fldCharType="separate"/>
            </w:r>
            <w:r w:rsidR="00587C45" w:rsidRPr="00587C45">
              <w:rPr>
                <w:b/>
                <w:caps/>
                <w:szCs w:val="24"/>
              </w:rPr>
              <w:t>WIGNEY J</w:t>
            </w:r>
            <w:r w:rsidRPr="00587C45">
              <w:rPr>
                <w:b/>
              </w:rPr>
              <w:fldChar w:fldCharType="end"/>
            </w:r>
          </w:p>
        </w:tc>
      </w:tr>
      <w:tr w:rsidR="00395B24" w14:paraId="02946175" w14:textId="77777777" w:rsidTr="00125E89">
        <w:tc>
          <w:tcPr>
            <w:tcW w:w="3084" w:type="dxa"/>
            <w:shd w:val="clear" w:color="auto" w:fill="auto"/>
          </w:tcPr>
          <w:p w14:paraId="4E396DE0" w14:textId="77777777" w:rsidR="00395B24" w:rsidRDefault="00395B24" w:rsidP="00663878">
            <w:pPr>
              <w:pStyle w:val="Normal1linespace"/>
              <w:widowControl w:val="0"/>
              <w:jc w:val="left"/>
            </w:pPr>
          </w:p>
        </w:tc>
        <w:tc>
          <w:tcPr>
            <w:tcW w:w="5989" w:type="dxa"/>
            <w:shd w:val="clear" w:color="auto" w:fill="auto"/>
          </w:tcPr>
          <w:p w14:paraId="0C39057E" w14:textId="77777777" w:rsidR="00395B24" w:rsidRDefault="00395B24" w:rsidP="00663878">
            <w:pPr>
              <w:pStyle w:val="Normal1linespace"/>
              <w:widowControl w:val="0"/>
              <w:jc w:val="left"/>
            </w:pPr>
          </w:p>
        </w:tc>
      </w:tr>
      <w:tr w:rsidR="00395B24" w14:paraId="46A144E0" w14:textId="77777777" w:rsidTr="00125E89">
        <w:tc>
          <w:tcPr>
            <w:tcW w:w="3084" w:type="dxa"/>
            <w:shd w:val="clear" w:color="auto" w:fill="auto"/>
          </w:tcPr>
          <w:p w14:paraId="116B7F34" w14:textId="77777777" w:rsidR="00395B24" w:rsidRDefault="002C7385" w:rsidP="00663878">
            <w:pPr>
              <w:pStyle w:val="Normal1linespace"/>
              <w:widowControl w:val="0"/>
              <w:jc w:val="left"/>
            </w:pPr>
            <w:r>
              <w:t>Date of judgment:</w:t>
            </w:r>
          </w:p>
        </w:tc>
        <w:tc>
          <w:tcPr>
            <w:tcW w:w="5989" w:type="dxa"/>
            <w:shd w:val="clear" w:color="auto" w:fill="auto"/>
          </w:tcPr>
          <w:p w14:paraId="63FB9C1F" w14:textId="755FABE1" w:rsidR="00395B24" w:rsidRDefault="00B13493" w:rsidP="00663878">
            <w:pPr>
              <w:pStyle w:val="Normal1linespace"/>
              <w:widowControl w:val="0"/>
              <w:jc w:val="left"/>
            </w:pPr>
            <w:r>
              <w:t>29</w:t>
            </w:r>
            <w:r w:rsidR="00C31707">
              <w:t xml:space="preserve"> June 2022</w:t>
            </w:r>
          </w:p>
        </w:tc>
      </w:tr>
      <w:tr w:rsidR="00395B24" w14:paraId="4DF928DC" w14:textId="77777777" w:rsidTr="00125E89">
        <w:tc>
          <w:tcPr>
            <w:tcW w:w="3084" w:type="dxa"/>
            <w:shd w:val="clear" w:color="auto" w:fill="auto"/>
          </w:tcPr>
          <w:p w14:paraId="33DC29A1" w14:textId="77777777" w:rsidR="00395B24" w:rsidRDefault="00395B24" w:rsidP="00663878">
            <w:pPr>
              <w:pStyle w:val="Normal1linespace"/>
              <w:widowControl w:val="0"/>
              <w:jc w:val="left"/>
            </w:pPr>
          </w:p>
        </w:tc>
        <w:tc>
          <w:tcPr>
            <w:tcW w:w="5989" w:type="dxa"/>
            <w:shd w:val="clear" w:color="auto" w:fill="auto"/>
          </w:tcPr>
          <w:p w14:paraId="2035E0AE" w14:textId="77777777" w:rsidR="00395B24" w:rsidRDefault="00395B24" w:rsidP="00663878">
            <w:pPr>
              <w:pStyle w:val="Normal1linespace"/>
              <w:widowControl w:val="0"/>
              <w:jc w:val="left"/>
            </w:pPr>
          </w:p>
        </w:tc>
      </w:tr>
      <w:tr w:rsidR="00395B24" w14:paraId="04F992EC" w14:textId="77777777" w:rsidTr="00125E89">
        <w:tc>
          <w:tcPr>
            <w:tcW w:w="3084" w:type="dxa"/>
            <w:shd w:val="clear" w:color="auto" w:fill="auto"/>
          </w:tcPr>
          <w:p w14:paraId="6AA15BDB" w14:textId="77777777" w:rsidR="00395B24" w:rsidRDefault="002C7385" w:rsidP="00663878">
            <w:pPr>
              <w:pStyle w:val="Normal1linespace"/>
              <w:widowControl w:val="0"/>
              <w:jc w:val="left"/>
            </w:pPr>
            <w:r>
              <w:t>Catchwords:</w:t>
            </w:r>
          </w:p>
        </w:tc>
        <w:tc>
          <w:tcPr>
            <w:tcW w:w="5989" w:type="dxa"/>
            <w:shd w:val="clear" w:color="auto" w:fill="auto"/>
          </w:tcPr>
          <w:p w14:paraId="5496D8F8" w14:textId="5452BD55" w:rsidR="00BB625A" w:rsidRPr="00491315" w:rsidRDefault="00C31707" w:rsidP="00C31707">
            <w:pPr>
              <w:pStyle w:val="Normal1linespace"/>
              <w:widowControl w:val="0"/>
              <w:jc w:val="left"/>
            </w:pPr>
            <w:bookmarkStart w:id="1" w:name="Catchwords"/>
            <w:r>
              <w:rPr>
                <w:b/>
              </w:rPr>
              <w:t>TAXATION –</w:t>
            </w:r>
            <w:r w:rsidR="00B13493">
              <w:rPr>
                <w:b/>
              </w:rPr>
              <w:t xml:space="preserve"> </w:t>
            </w:r>
            <w:r w:rsidR="00B13493">
              <w:t xml:space="preserve">applicant provides accredited higher education creative industries courses – Mr Harrison engaged by applicant as lecturer – </w:t>
            </w:r>
            <w:r w:rsidR="00BF42CA">
              <w:t xml:space="preserve">respondent deemed </w:t>
            </w:r>
            <w:r w:rsidR="00BB625A">
              <w:t xml:space="preserve">Mr Harrison an employee of applicant </w:t>
            </w:r>
            <w:r w:rsidR="00491315">
              <w:t xml:space="preserve">under the </w:t>
            </w:r>
            <w:r w:rsidR="00BB625A" w:rsidRPr="008E76DF">
              <w:rPr>
                <w:i/>
              </w:rPr>
              <w:t>Superannuation Guarantee (Administration) Act 1992</w:t>
            </w:r>
            <w:r w:rsidR="00BB625A" w:rsidRPr="008E76DF">
              <w:t xml:space="preserve"> (</w:t>
            </w:r>
            <w:proofErr w:type="spellStart"/>
            <w:r w:rsidR="00BB625A" w:rsidRPr="008E76DF">
              <w:t>Cth</w:t>
            </w:r>
            <w:proofErr w:type="spellEnd"/>
            <w:r w:rsidR="00BB625A" w:rsidRPr="008E76DF">
              <w:t>)</w:t>
            </w:r>
            <w:r w:rsidR="00F314AC">
              <w:t xml:space="preserve"> – </w:t>
            </w:r>
            <w:r w:rsidR="00B13493">
              <w:t>applicant issued notices of assessment of s</w:t>
            </w:r>
            <w:r w:rsidR="00BF42CA">
              <w:t>uperannuation guarantee charges</w:t>
            </w:r>
            <w:r w:rsidR="00B13493">
              <w:t xml:space="preserve"> –</w:t>
            </w:r>
            <w:r w:rsidR="00BF42CA">
              <w:t xml:space="preserve"> applicant lodged objection to notices of assessment – respondent disallowed applicant’s objection – </w:t>
            </w:r>
            <w:r w:rsidR="00F314AC">
              <w:t xml:space="preserve">applicant </w:t>
            </w:r>
            <w:r w:rsidR="00BB625A">
              <w:t>appeal</w:t>
            </w:r>
            <w:r w:rsidR="00F314AC">
              <w:t>ed</w:t>
            </w:r>
            <w:r w:rsidR="00BB625A">
              <w:t xml:space="preserve"> </w:t>
            </w:r>
            <w:r w:rsidR="00491315">
              <w:t>r</w:t>
            </w:r>
            <w:r w:rsidR="00BF42CA">
              <w:t>espondent’s objection decision under</w:t>
            </w:r>
            <w:r w:rsidR="00491315">
              <w:t xml:space="preserve"> </w:t>
            </w:r>
            <w:r w:rsidR="00BB625A" w:rsidRPr="008E76DF">
              <w:t xml:space="preserve">s 14ZZ(1) of the </w:t>
            </w:r>
            <w:r w:rsidR="00BB625A" w:rsidRPr="008E76DF">
              <w:rPr>
                <w:i/>
              </w:rPr>
              <w:t>Taxation Administration Act 1953</w:t>
            </w:r>
            <w:r w:rsidR="00BB625A" w:rsidRPr="008E76DF">
              <w:t xml:space="preserve"> (</w:t>
            </w:r>
            <w:proofErr w:type="spellStart"/>
            <w:r w:rsidR="00BB625A" w:rsidRPr="008E76DF">
              <w:t>Cth</w:t>
            </w:r>
            <w:proofErr w:type="spellEnd"/>
            <w:r w:rsidR="00BB625A" w:rsidRPr="008E76DF">
              <w:t>)</w:t>
            </w:r>
          </w:p>
          <w:p w14:paraId="37759A63" w14:textId="77777777" w:rsidR="00C31707" w:rsidRDefault="00C31707" w:rsidP="00C31707">
            <w:pPr>
              <w:pStyle w:val="Normal1linespace"/>
              <w:widowControl w:val="0"/>
              <w:jc w:val="left"/>
              <w:rPr>
                <w:b/>
              </w:rPr>
            </w:pPr>
          </w:p>
          <w:p w14:paraId="3FC76553" w14:textId="6A45ADA3" w:rsidR="00491315" w:rsidRDefault="00C31707" w:rsidP="00C31707">
            <w:pPr>
              <w:pStyle w:val="Normal1linespace"/>
              <w:widowControl w:val="0"/>
              <w:jc w:val="left"/>
            </w:pPr>
            <w:r>
              <w:rPr>
                <w:b/>
              </w:rPr>
              <w:t xml:space="preserve">CONTRACTS – </w:t>
            </w:r>
            <w:r w:rsidR="00491315">
              <w:t xml:space="preserve">whether </w:t>
            </w:r>
            <w:r w:rsidR="00FC33E2">
              <w:t xml:space="preserve">Mr Harrison was an “employee” </w:t>
            </w:r>
            <w:r w:rsidR="00B13493">
              <w:t xml:space="preserve">per its ordinary meaning in </w:t>
            </w:r>
            <w:r w:rsidR="00491315">
              <w:t xml:space="preserve">s 12(1) of </w:t>
            </w:r>
            <w:r w:rsidR="00C476E8">
              <w:t xml:space="preserve">the </w:t>
            </w:r>
            <w:r w:rsidR="00491315" w:rsidRPr="008E76DF">
              <w:rPr>
                <w:i/>
              </w:rPr>
              <w:t>Superannuation Guarantee (Administration) Act 1992</w:t>
            </w:r>
            <w:r w:rsidR="00491315" w:rsidRPr="008E76DF">
              <w:t xml:space="preserve"> (</w:t>
            </w:r>
            <w:proofErr w:type="spellStart"/>
            <w:r w:rsidR="00491315" w:rsidRPr="008E76DF">
              <w:t>Cth</w:t>
            </w:r>
            <w:proofErr w:type="spellEnd"/>
            <w:r w:rsidR="00491315">
              <w:t xml:space="preserve">) – common law principles inform ordinary meaning of “employee” – issue of </w:t>
            </w:r>
            <w:r w:rsidR="00F314AC">
              <w:t xml:space="preserve">whether contract between applicant and Mr Harrison was one of employment or independent contractor – consideration of recent statement of test in </w:t>
            </w:r>
            <w:r w:rsidR="00F314AC" w:rsidRPr="008E76DF">
              <w:rPr>
                <w:i/>
              </w:rPr>
              <w:t xml:space="preserve">Construction, Forestry, Maritime, Mining and Energy Union v Personnel Contracting Pty Ltd </w:t>
            </w:r>
            <w:r w:rsidR="00F314AC" w:rsidRPr="008E76DF">
              <w:t>(2022) 96 ALJR 89; [2022] HCA 1</w:t>
            </w:r>
            <w:r w:rsidR="00F314AC">
              <w:t xml:space="preserve"> and </w:t>
            </w:r>
            <w:r w:rsidR="00F314AC" w:rsidRPr="008E76DF">
              <w:rPr>
                <w:i/>
              </w:rPr>
              <w:t xml:space="preserve">ZG Operations Australia Pty Ltd v </w:t>
            </w:r>
            <w:proofErr w:type="spellStart"/>
            <w:r w:rsidR="00F314AC" w:rsidRPr="008E76DF">
              <w:rPr>
                <w:i/>
              </w:rPr>
              <w:t>Jamsek</w:t>
            </w:r>
            <w:proofErr w:type="spellEnd"/>
            <w:r w:rsidR="00F314AC" w:rsidRPr="008E76DF">
              <w:t xml:space="preserve"> (2022) 96 ALJR 144; [2022] HCA 2</w:t>
            </w:r>
            <w:r w:rsidR="00491315">
              <w:t xml:space="preserve"> – consideration of totality of parties’ contractual rights and obligations – </w:t>
            </w:r>
            <w:r w:rsidR="00FC33E2">
              <w:t xml:space="preserve">parties’ contracts contained in memoranda of agreement and email correspondence – </w:t>
            </w:r>
            <w:r w:rsidR="00F314AC">
              <w:t xml:space="preserve">right to sub-contract or assign </w:t>
            </w:r>
            <w:r w:rsidR="00491315">
              <w:t xml:space="preserve">required </w:t>
            </w:r>
            <w:r w:rsidR="00F314AC">
              <w:t xml:space="preserve">applicant’s written consent – </w:t>
            </w:r>
            <w:r w:rsidR="00491315">
              <w:t>not an “unlimited power of delegation”</w:t>
            </w:r>
            <w:r w:rsidR="00FC33E2">
              <w:t xml:space="preserve"> – </w:t>
            </w:r>
            <w:r w:rsidR="00BF42CA">
              <w:t xml:space="preserve">Mr Harrison remunerated referable to hourly rate for “teaching services” provided – </w:t>
            </w:r>
            <w:r w:rsidR="00FC33E2">
              <w:t>provision of</w:t>
            </w:r>
            <w:r w:rsidR="00BF42CA">
              <w:t xml:space="preserve"> teaching services</w:t>
            </w:r>
            <w:r w:rsidR="00491315">
              <w:t xml:space="preserve"> under the contracts could not reasonably be considered</w:t>
            </w:r>
            <w:r w:rsidR="00FC33E2">
              <w:t xml:space="preserve"> delivery of a</w:t>
            </w:r>
            <w:r w:rsidR="00491315">
              <w:t xml:space="preserve"> </w:t>
            </w:r>
            <w:r w:rsidR="00FC33E2">
              <w:t>“</w:t>
            </w:r>
            <w:r w:rsidR="00491315">
              <w:t>product or result</w:t>
            </w:r>
            <w:r w:rsidR="00C476E8">
              <w:t xml:space="preserve">” </w:t>
            </w:r>
            <w:r w:rsidR="00B13493">
              <w:t>–</w:t>
            </w:r>
            <w:r w:rsidR="00491315">
              <w:t xml:space="preserve"> </w:t>
            </w:r>
            <w:r w:rsidR="00FC33E2">
              <w:t xml:space="preserve">balance of the terms of the contracts favoured </w:t>
            </w:r>
            <w:r w:rsidR="00B13493">
              <w:t>characterisation as o</w:t>
            </w:r>
            <w:r w:rsidR="00FC33E2">
              <w:t>ne of employment – Mr Harrison held to be an “employee”</w:t>
            </w:r>
            <w:r w:rsidR="00E71147">
              <w:t xml:space="preserve"> on ordinary meaning in</w:t>
            </w:r>
            <w:r w:rsidR="00FC33E2">
              <w:t xml:space="preserve"> s 12(1)</w:t>
            </w:r>
          </w:p>
          <w:p w14:paraId="720A843A" w14:textId="63848ABF" w:rsidR="00F314AC" w:rsidRDefault="00F314AC" w:rsidP="00C31707">
            <w:pPr>
              <w:pStyle w:val="Normal1linespace"/>
              <w:widowControl w:val="0"/>
              <w:jc w:val="left"/>
            </w:pPr>
          </w:p>
          <w:p w14:paraId="4B4DDBE4" w14:textId="18DD14F0" w:rsidR="00395B24" w:rsidRDefault="00491315" w:rsidP="00C31707">
            <w:pPr>
              <w:pStyle w:val="Normal1linespace"/>
              <w:widowControl w:val="0"/>
              <w:jc w:val="left"/>
            </w:pPr>
            <w:r>
              <w:rPr>
                <w:b/>
              </w:rPr>
              <w:t xml:space="preserve">CONTRACTS – </w:t>
            </w:r>
            <w:r>
              <w:t>whether contract</w:t>
            </w:r>
            <w:r w:rsidR="00533C84">
              <w:t>s</w:t>
            </w:r>
            <w:r w:rsidR="00C476E8">
              <w:t xml:space="preserve"> were</w:t>
            </w:r>
            <w:r>
              <w:t xml:space="preserve"> wholly or principally “for” Mr Harrison’s labour per extended meaning of “employee” in s 12(3) of </w:t>
            </w:r>
            <w:r w:rsidR="00C476E8">
              <w:t xml:space="preserve">the </w:t>
            </w:r>
            <w:r w:rsidRPr="008E76DF">
              <w:rPr>
                <w:i/>
              </w:rPr>
              <w:t>Superannuation Guarantee (Administration) Act 1992</w:t>
            </w:r>
            <w:r w:rsidRPr="008E76DF">
              <w:t xml:space="preserve"> (</w:t>
            </w:r>
            <w:proofErr w:type="spellStart"/>
            <w:r w:rsidRPr="008E76DF">
              <w:t>Cth</w:t>
            </w:r>
            <w:proofErr w:type="spellEnd"/>
            <w:r w:rsidRPr="008E76DF">
              <w:t>)</w:t>
            </w:r>
            <w:r>
              <w:t xml:space="preserve"> – application of </w:t>
            </w:r>
            <w:r w:rsidR="00FC33E2" w:rsidRPr="008E76DF">
              <w:rPr>
                <w:i/>
              </w:rPr>
              <w:t xml:space="preserve">Dental Corporation Pty Ltd v </w:t>
            </w:r>
            <w:proofErr w:type="spellStart"/>
            <w:r w:rsidR="00FC33E2" w:rsidRPr="00FC33E2">
              <w:rPr>
                <w:i/>
              </w:rPr>
              <w:t>Moffet</w:t>
            </w:r>
            <w:proofErr w:type="spellEnd"/>
            <w:r w:rsidR="00FC33E2" w:rsidRPr="008E76DF">
              <w:t xml:space="preserve"> (2020) 278 FCR 502; </w:t>
            </w:r>
            <w:r w:rsidR="00FC33E2" w:rsidRPr="008E76DF">
              <w:lastRenderedPageBreak/>
              <w:t>[2020] FCAFC 118</w:t>
            </w:r>
            <w:r w:rsidR="00FC33E2">
              <w:t xml:space="preserve"> –</w:t>
            </w:r>
            <w:r w:rsidR="00B13493">
              <w:t xml:space="preserve"> contracts were at least </w:t>
            </w:r>
            <w:r w:rsidR="00E71147">
              <w:t>“</w:t>
            </w:r>
            <w:r w:rsidR="00B13493">
              <w:t>principally</w:t>
            </w:r>
            <w:r w:rsidR="00E71147">
              <w:t>”</w:t>
            </w:r>
            <w:r w:rsidR="00B13493">
              <w:t xml:space="preserve"> for Mr Harrison’s labour </w:t>
            </w:r>
            <w:r w:rsidR="00BF42CA">
              <w:t xml:space="preserve">– applicant </w:t>
            </w:r>
            <w:r w:rsidR="00E71147">
              <w:t>contracted for the benefit of teaching services by Mr Harrison that complied with its accreditation obligations –</w:t>
            </w:r>
            <w:r w:rsidR="00C476E8">
              <w:t xml:space="preserve"> </w:t>
            </w:r>
            <w:r w:rsidR="00BF42CA">
              <w:t>right to sub-contract or assign work</w:t>
            </w:r>
            <w:r w:rsidR="00E71147">
              <w:t xml:space="preserve"> was limited</w:t>
            </w:r>
            <w:r w:rsidR="00BF42CA">
              <w:t xml:space="preserve"> given </w:t>
            </w:r>
            <w:r w:rsidR="00E71147">
              <w:t xml:space="preserve">the need for </w:t>
            </w:r>
            <w:r w:rsidR="00BF42CA">
              <w:t>applicant’s consent</w:t>
            </w:r>
            <w:r w:rsidR="00E71147">
              <w:t xml:space="preserve"> and compliance with accreditation obligations</w:t>
            </w:r>
            <w:r w:rsidR="00BF42CA">
              <w:t xml:space="preserve"> –</w:t>
            </w:r>
            <w:r w:rsidR="00E71147">
              <w:t xml:space="preserve"> Mr Harrison held to be an “employee” on extended meaning in s 12(3)</w:t>
            </w:r>
            <w:bookmarkEnd w:id="1"/>
          </w:p>
        </w:tc>
      </w:tr>
      <w:tr w:rsidR="00395B24" w14:paraId="036093FE" w14:textId="77777777" w:rsidTr="00125E89">
        <w:tc>
          <w:tcPr>
            <w:tcW w:w="3084" w:type="dxa"/>
            <w:shd w:val="clear" w:color="auto" w:fill="auto"/>
          </w:tcPr>
          <w:p w14:paraId="75861A15" w14:textId="77777777" w:rsidR="00395B24" w:rsidRDefault="00395B24" w:rsidP="00663878">
            <w:pPr>
              <w:pStyle w:val="Normal1linespace"/>
              <w:widowControl w:val="0"/>
              <w:jc w:val="left"/>
            </w:pPr>
          </w:p>
        </w:tc>
        <w:tc>
          <w:tcPr>
            <w:tcW w:w="5989" w:type="dxa"/>
            <w:shd w:val="clear" w:color="auto" w:fill="auto"/>
          </w:tcPr>
          <w:p w14:paraId="34A39A3B" w14:textId="77777777" w:rsidR="00395B24" w:rsidRDefault="00395B24" w:rsidP="00663878">
            <w:pPr>
              <w:pStyle w:val="Normal1linespace"/>
              <w:widowControl w:val="0"/>
              <w:jc w:val="left"/>
            </w:pPr>
          </w:p>
        </w:tc>
      </w:tr>
      <w:tr w:rsidR="00395B24" w14:paraId="2081329B" w14:textId="77777777" w:rsidTr="00125E89">
        <w:tc>
          <w:tcPr>
            <w:tcW w:w="3084" w:type="dxa"/>
            <w:shd w:val="clear" w:color="auto" w:fill="auto"/>
          </w:tcPr>
          <w:p w14:paraId="2B1A207C" w14:textId="77777777" w:rsidR="00395B24" w:rsidRDefault="002C7385" w:rsidP="00663878">
            <w:pPr>
              <w:pStyle w:val="Normal1linespace"/>
              <w:widowControl w:val="0"/>
              <w:jc w:val="left"/>
            </w:pPr>
            <w:r>
              <w:t>Legislation:</w:t>
            </w:r>
          </w:p>
        </w:tc>
        <w:tc>
          <w:tcPr>
            <w:tcW w:w="5989" w:type="dxa"/>
            <w:shd w:val="clear" w:color="auto" w:fill="auto"/>
          </w:tcPr>
          <w:p w14:paraId="65FB8154" w14:textId="6AAF52A4" w:rsidR="008E76DF" w:rsidRDefault="008E76DF" w:rsidP="008E76DF">
            <w:pPr>
              <w:pStyle w:val="CasesLegislationAppealFrom"/>
              <w:spacing w:after="60"/>
            </w:pPr>
            <w:bookmarkStart w:id="2" w:name="Legislation"/>
            <w:r w:rsidRPr="008E76DF">
              <w:rPr>
                <w:i/>
              </w:rPr>
              <w:t>Fair Work Act 2009</w:t>
            </w:r>
            <w:r w:rsidRPr="008E76DF">
              <w:t xml:space="preserve"> (</w:t>
            </w:r>
            <w:proofErr w:type="spellStart"/>
            <w:r w:rsidRPr="008E76DF">
              <w:t>Cth</w:t>
            </w:r>
            <w:proofErr w:type="spellEnd"/>
            <w:r w:rsidRPr="008E76DF">
              <w:t>)</w:t>
            </w:r>
          </w:p>
          <w:p w14:paraId="630242BB" w14:textId="3A778BD2" w:rsidR="008E76DF" w:rsidRDefault="008E76DF" w:rsidP="008E76DF">
            <w:pPr>
              <w:pStyle w:val="CasesLegislationAppealFrom"/>
              <w:spacing w:after="60"/>
            </w:pPr>
            <w:r w:rsidRPr="008E76DF">
              <w:rPr>
                <w:i/>
              </w:rPr>
              <w:t>Privacy Act 1988</w:t>
            </w:r>
            <w:r w:rsidRPr="008E76DF">
              <w:t xml:space="preserve"> (</w:t>
            </w:r>
            <w:proofErr w:type="spellStart"/>
            <w:r w:rsidRPr="008E76DF">
              <w:t>Cth</w:t>
            </w:r>
            <w:proofErr w:type="spellEnd"/>
            <w:r w:rsidRPr="008E76DF">
              <w:t>)</w:t>
            </w:r>
          </w:p>
          <w:p w14:paraId="173BB868" w14:textId="16E680DA" w:rsidR="008E76DF" w:rsidRDefault="008E76DF" w:rsidP="008E76DF">
            <w:pPr>
              <w:pStyle w:val="CasesLegislationAppealFrom"/>
              <w:spacing w:after="60"/>
            </w:pPr>
            <w:r w:rsidRPr="008E76DF">
              <w:rPr>
                <w:i/>
              </w:rPr>
              <w:t>Taxation Administration Act 1953</w:t>
            </w:r>
            <w:r w:rsidRPr="008E76DF">
              <w:t xml:space="preserve"> (</w:t>
            </w:r>
            <w:proofErr w:type="spellStart"/>
            <w:r w:rsidRPr="008E76DF">
              <w:t>Cth</w:t>
            </w:r>
            <w:proofErr w:type="spellEnd"/>
            <w:r w:rsidRPr="008E76DF">
              <w:t>)</w:t>
            </w:r>
            <w:r w:rsidR="00E71147">
              <w:t xml:space="preserve"> </w:t>
            </w:r>
            <w:proofErr w:type="spellStart"/>
            <w:r w:rsidR="00E71147">
              <w:t>ss</w:t>
            </w:r>
            <w:proofErr w:type="spellEnd"/>
            <w:r w:rsidR="00E71147">
              <w:t xml:space="preserve"> 14ZZ(1), 14ZZO(b)</w:t>
            </w:r>
          </w:p>
          <w:p w14:paraId="6B893E33" w14:textId="7BDF1F62" w:rsidR="008E76DF" w:rsidRDefault="008E76DF" w:rsidP="008E76DF">
            <w:pPr>
              <w:pStyle w:val="CasesLegislationAppealFrom"/>
              <w:spacing w:after="60"/>
            </w:pPr>
            <w:r w:rsidRPr="008E76DF">
              <w:rPr>
                <w:i/>
              </w:rPr>
              <w:t>Tertiary Education Quality and Standards Agency Act 2011</w:t>
            </w:r>
            <w:r w:rsidRPr="008E76DF">
              <w:t xml:space="preserve"> (</w:t>
            </w:r>
            <w:proofErr w:type="spellStart"/>
            <w:r w:rsidRPr="008E76DF">
              <w:t>Cth</w:t>
            </w:r>
            <w:proofErr w:type="spellEnd"/>
            <w:r w:rsidRPr="008E76DF">
              <w:t>)</w:t>
            </w:r>
            <w:r>
              <w:t xml:space="preserve"> </w:t>
            </w:r>
            <w:proofErr w:type="spellStart"/>
            <w:r>
              <w:t>ss</w:t>
            </w:r>
            <w:proofErr w:type="spellEnd"/>
            <w:r>
              <w:t xml:space="preserve"> 21(1), 49(1), 58(1)</w:t>
            </w:r>
          </w:p>
          <w:p w14:paraId="3DBC83CC" w14:textId="2795BC75" w:rsidR="008E76DF" w:rsidRPr="008E76DF" w:rsidRDefault="008E76DF" w:rsidP="008E76DF">
            <w:pPr>
              <w:pStyle w:val="CasesLegislationAppealFrom"/>
              <w:spacing w:after="60"/>
            </w:pPr>
            <w:r w:rsidRPr="008E76DF">
              <w:rPr>
                <w:i/>
              </w:rPr>
              <w:t>Superannuation Guarantee (Administration) Act 1992</w:t>
            </w:r>
            <w:r w:rsidRPr="008E76DF">
              <w:t xml:space="preserve"> (</w:t>
            </w:r>
            <w:proofErr w:type="spellStart"/>
            <w:r w:rsidRPr="008E76DF">
              <w:t>Cth</w:t>
            </w:r>
            <w:proofErr w:type="spellEnd"/>
            <w:r w:rsidRPr="008E76DF">
              <w:t>)</w:t>
            </w:r>
            <w:r>
              <w:t xml:space="preserve"> </w:t>
            </w:r>
            <w:proofErr w:type="spellStart"/>
            <w:r>
              <w:t>ss</w:t>
            </w:r>
            <w:proofErr w:type="spellEnd"/>
            <w:r>
              <w:t xml:space="preserve"> 12(1), 12(3)</w:t>
            </w:r>
          </w:p>
          <w:p w14:paraId="7C9D5598" w14:textId="5117A575" w:rsidR="008E76DF" w:rsidRPr="00F00C4C" w:rsidRDefault="008E76DF" w:rsidP="008E76DF">
            <w:pPr>
              <w:pStyle w:val="CasesLegislationAppealFrom"/>
              <w:spacing w:after="60"/>
            </w:pPr>
            <w:r w:rsidRPr="007677BE">
              <w:rPr>
                <w:i/>
              </w:rPr>
              <w:t>Higher Education Standards Fram</w:t>
            </w:r>
            <w:r w:rsidR="00F00C4C">
              <w:rPr>
                <w:i/>
              </w:rPr>
              <w:t xml:space="preserve">ework (Threshold Standards) 2011 </w:t>
            </w:r>
            <w:r w:rsidR="00F00C4C">
              <w:t>(</w:t>
            </w:r>
            <w:proofErr w:type="spellStart"/>
            <w:r w:rsidR="00F00C4C">
              <w:t>Cth</w:t>
            </w:r>
            <w:proofErr w:type="spellEnd"/>
            <w:r w:rsidR="00F00C4C">
              <w:t>)</w:t>
            </w:r>
          </w:p>
          <w:p w14:paraId="245D0B24" w14:textId="142DAE54" w:rsidR="008E76DF" w:rsidRPr="007677BE" w:rsidRDefault="008E76DF" w:rsidP="008E76DF">
            <w:pPr>
              <w:pStyle w:val="CasesLegislationAppealFrom"/>
              <w:spacing w:after="60"/>
              <w:rPr>
                <w:i/>
              </w:rPr>
            </w:pPr>
            <w:r w:rsidRPr="007677BE">
              <w:rPr>
                <w:i/>
              </w:rPr>
              <w:t>Higher Education Standards Framework (Threshold Standards) 201</w:t>
            </w:r>
            <w:r w:rsidR="00F00C4C">
              <w:rPr>
                <w:i/>
              </w:rPr>
              <w:t xml:space="preserve">5 </w:t>
            </w:r>
            <w:r w:rsidR="00F00C4C">
              <w:t>(</w:t>
            </w:r>
            <w:proofErr w:type="spellStart"/>
            <w:r w:rsidR="00F00C4C">
              <w:t>Cth</w:t>
            </w:r>
            <w:proofErr w:type="spellEnd"/>
            <w:r w:rsidR="00F00C4C">
              <w:t>)</w:t>
            </w:r>
            <w:bookmarkEnd w:id="2"/>
            <w:r w:rsidR="00F00C4C">
              <w:rPr>
                <w:i/>
              </w:rPr>
              <w:t xml:space="preserve">  </w:t>
            </w:r>
          </w:p>
        </w:tc>
      </w:tr>
      <w:tr w:rsidR="00395B24" w14:paraId="0BC0BA93" w14:textId="77777777" w:rsidTr="00125E89">
        <w:tc>
          <w:tcPr>
            <w:tcW w:w="3084" w:type="dxa"/>
            <w:shd w:val="clear" w:color="auto" w:fill="auto"/>
          </w:tcPr>
          <w:p w14:paraId="177F2593" w14:textId="77777777" w:rsidR="00395B24" w:rsidRDefault="00395B24" w:rsidP="00663878">
            <w:pPr>
              <w:pStyle w:val="Normal1linespace"/>
              <w:widowControl w:val="0"/>
              <w:jc w:val="left"/>
            </w:pPr>
          </w:p>
        </w:tc>
        <w:tc>
          <w:tcPr>
            <w:tcW w:w="5989" w:type="dxa"/>
            <w:shd w:val="clear" w:color="auto" w:fill="auto"/>
          </w:tcPr>
          <w:p w14:paraId="03D133E6" w14:textId="77777777" w:rsidR="00395B24" w:rsidRDefault="00395B24" w:rsidP="00663878">
            <w:pPr>
              <w:pStyle w:val="Normal1linespace"/>
              <w:widowControl w:val="0"/>
              <w:jc w:val="left"/>
            </w:pPr>
          </w:p>
        </w:tc>
      </w:tr>
      <w:tr w:rsidR="00395B24" w14:paraId="309AACF3" w14:textId="77777777" w:rsidTr="00125E89">
        <w:tc>
          <w:tcPr>
            <w:tcW w:w="3084" w:type="dxa"/>
            <w:shd w:val="clear" w:color="auto" w:fill="auto"/>
          </w:tcPr>
          <w:p w14:paraId="7BC25FD5" w14:textId="77777777" w:rsidR="00395B24" w:rsidRDefault="002C7385" w:rsidP="00663878">
            <w:pPr>
              <w:pStyle w:val="Normal1linespace"/>
              <w:widowControl w:val="0"/>
              <w:jc w:val="left"/>
            </w:pPr>
            <w:r>
              <w:t>Cases cited:</w:t>
            </w:r>
          </w:p>
        </w:tc>
        <w:tc>
          <w:tcPr>
            <w:tcW w:w="5989" w:type="dxa"/>
            <w:shd w:val="clear" w:color="auto" w:fill="auto"/>
          </w:tcPr>
          <w:p w14:paraId="44D2C1E3" w14:textId="77777777" w:rsidR="008E76DF" w:rsidRPr="008E76DF" w:rsidRDefault="008E76DF" w:rsidP="008E76DF">
            <w:pPr>
              <w:pStyle w:val="CasesLegislationAppealFrom"/>
              <w:spacing w:after="60"/>
            </w:pPr>
            <w:bookmarkStart w:id="3" w:name="Cases_Cited"/>
            <w:r w:rsidRPr="008E76DF">
              <w:rPr>
                <w:i/>
              </w:rPr>
              <w:t xml:space="preserve">ACE Insurance Ltd v </w:t>
            </w:r>
            <w:proofErr w:type="spellStart"/>
            <w:r w:rsidRPr="008E76DF">
              <w:rPr>
                <w:i/>
              </w:rPr>
              <w:t>Trifunovski</w:t>
            </w:r>
            <w:proofErr w:type="spellEnd"/>
            <w:r w:rsidRPr="008E76DF">
              <w:t xml:space="preserve"> (2013) 209 FCR 145; [2013] FCAFC 3</w:t>
            </w:r>
          </w:p>
          <w:p w14:paraId="6464EE6B" w14:textId="77777777" w:rsidR="008E76DF" w:rsidRPr="008E76DF" w:rsidRDefault="008E76DF" w:rsidP="008E76DF">
            <w:pPr>
              <w:pStyle w:val="CasesLegislationAppealFrom"/>
              <w:spacing w:after="60"/>
            </w:pPr>
            <w:r w:rsidRPr="008E76DF">
              <w:rPr>
                <w:i/>
              </w:rPr>
              <w:t>ACT Visiting Medical Officers Association v Australian Industrial Relations Commission</w:t>
            </w:r>
            <w:r w:rsidRPr="008E76DF">
              <w:t xml:space="preserve"> (2006) 232 ALR 69; [2006] FCAFC 109</w:t>
            </w:r>
          </w:p>
          <w:p w14:paraId="0F1B5E42" w14:textId="77777777" w:rsidR="008E76DF" w:rsidRPr="008E76DF" w:rsidRDefault="008E76DF" w:rsidP="008E76DF">
            <w:pPr>
              <w:pStyle w:val="CasesLegislationAppealFrom"/>
              <w:spacing w:after="60"/>
            </w:pPr>
            <w:r w:rsidRPr="008E76DF">
              <w:rPr>
                <w:i/>
              </w:rPr>
              <w:t>Ansett Transport Industries (Operations) Pty Ltd v Commonwealth</w:t>
            </w:r>
            <w:r w:rsidRPr="008E76DF">
              <w:t xml:space="preserve"> (1977) 139 CLR 54</w:t>
            </w:r>
          </w:p>
          <w:p w14:paraId="27FBC639" w14:textId="77777777" w:rsidR="008E76DF" w:rsidRPr="008E76DF" w:rsidRDefault="008E76DF" w:rsidP="008E76DF">
            <w:pPr>
              <w:pStyle w:val="CasesLegislationAppealFrom"/>
              <w:spacing w:after="60"/>
            </w:pPr>
            <w:r w:rsidRPr="008E76DF">
              <w:rPr>
                <w:i/>
              </w:rPr>
              <w:t>Australian Mutual Provident Society v Chaplin</w:t>
            </w:r>
            <w:r w:rsidRPr="008E76DF">
              <w:t xml:space="preserve"> (1978) 52 ALJR 40</w:t>
            </w:r>
          </w:p>
          <w:p w14:paraId="00F02DAF" w14:textId="77777777" w:rsidR="008E76DF" w:rsidRPr="008E76DF" w:rsidRDefault="008E76DF" w:rsidP="008E76DF">
            <w:pPr>
              <w:pStyle w:val="CasesLegislationAppealFrom"/>
              <w:spacing w:after="60"/>
            </w:pPr>
            <w:proofErr w:type="spellStart"/>
            <w:r w:rsidRPr="008E76DF">
              <w:rPr>
                <w:i/>
              </w:rPr>
              <w:t>Codelfa</w:t>
            </w:r>
            <w:proofErr w:type="spellEnd"/>
            <w:r w:rsidRPr="008E76DF">
              <w:rPr>
                <w:i/>
              </w:rPr>
              <w:t xml:space="preserve"> Construction Pty Ltd v State Rail Authority of NSW </w:t>
            </w:r>
            <w:r w:rsidRPr="008E76DF">
              <w:t>(1982) 149 CLR 337</w:t>
            </w:r>
          </w:p>
          <w:p w14:paraId="1915562A" w14:textId="77777777" w:rsidR="008E76DF" w:rsidRPr="008E76DF" w:rsidRDefault="008E76DF" w:rsidP="008E76DF">
            <w:pPr>
              <w:pStyle w:val="CasesLegislationAppealFrom"/>
              <w:spacing w:after="60"/>
            </w:pPr>
            <w:r w:rsidRPr="008E76DF">
              <w:rPr>
                <w:i/>
              </w:rPr>
              <w:t xml:space="preserve">Commissioner of State Revenue v Mortgage Force Australia Pty Ltd </w:t>
            </w:r>
            <w:r w:rsidRPr="008E76DF">
              <w:t>[2009] WASCA 24</w:t>
            </w:r>
          </w:p>
          <w:p w14:paraId="62973697" w14:textId="77777777" w:rsidR="008E76DF" w:rsidRPr="008E76DF" w:rsidRDefault="008E76DF" w:rsidP="008E76DF">
            <w:pPr>
              <w:pStyle w:val="CasesLegislationAppealFrom"/>
              <w:spacing w:after="60"/>
            </w:pPr>
            <w:r w:rsidRPr="008E76DF">
              <w:rPr>
                <w:i/>
              </w:rPr>
              <w:t xml:space="preserve">Construction, Forestry, Maritime, Mining and Energy Union v Personnel Contracting Pty Ltd </w:t>
            </w:r>
            <w:r w:rsidRPr="008E76DF">
              <w:t>(2022) 96 ALJR 89; [2022] HCA 1</w:t>
            </w:r>
          </w:p>
          <w:p w14:paraId="5E162013" w14:textId="77777777" w:rsidR="008E76DF" w:rsidRPr="008E76DF" w:rsidRDefault="008E76DF" w:rsidP="008E76DF">
            <w:pPr>
              <w:pStyle w:val="CasesLegislationAppealFrom"/>
              <w:spacing w:after="60"/>
            </w:pPr>
            <w:r w:rsidRPr="008E76DF">
              <w:rPr>
                <w:i/>
              </w:rPr>
              <w:t xml:space="preserve">Dental Corporation Pty Ltd v </w:t>
            </w:r>
            <w:proofErr w:type="spellStart"/>
            <w:r w:rsidRPr="008E76DF">
              <w:rPr>
                <w:i/>
              </w:rPr>
              <w:t>Moffet</w:t>
            </w:r>
            <w:proofErr w:type="spellEnd"/>
            <w:r w:rsidRPr="008E76DF">
              <w:t xml:space="preserve"> (2020) 278 FCR 502; [2020] FCAFC 118</w:t>
            </w:r>
          </w:p>
          <w:p w14:paraId="11D95990" w14:textId="713321FF" w:rsidR="008E76DF" w:rsidRPr="008E76DF" w:rsidRDefault="008E76DF" w:rsidP="008E76DF">
            <w:pPr>
              <w:pStyle w:val="CasesLegislationAppealFrom"/>
              <w:spacing w:after="60"/>
            </w:pPr>
            <w:r w:rsidRPr="008E76DF">
              <w:rPr>
                <w:i/>
              </w:rPr>
              <w:t xml:space="preserve">Federal Commissioner of Taxation v </w:t>
            </w:r>
            <w:proofErr w:type="spellStart"/>
            <w:r w:rsidRPr="008E76DF">
              <w:rPr>
                <w:i/>
              </w:rPr>
              <w:t>Jayasinghe</w:t>
            </w:r>
            <w:proofErr w:type="spellEnd"/>
            <w:r w:rsidRPr="008E76DF">
              <w:rPr>
                <w:i/>
              </w:rPr>
              <w:t xml:space="preserve"> </w:t>
            </w:r>
            <w:r w:rsidRPr="008E76DF">
              <w:t>(2016) 247 FCR 40; [2016] FCAFC 79</w:t>
            </w:r>
          </w:p>
          <w:p w14:paraId="5A4DA8ED" w14:textId="77777777" w:rsidR="008E76DF" w:rsidRPr="008E76DF" w:rsidRDefault="008E76DF" w:rsidP="008E76DF">
            <w:pPr>
              <w:pStyle w:val="CasesLegislationAppealFrom"/>
              <w:spacing w:after="60"/>
            </w:pPr>
            <w:r w:rsidRPr="008E76DF">
              <w:rPr>
                <w:i/>
              </w:rPr>
              <w:t xml:space="preserve">Hollis v </w:t>
            </w:r>
            <w:proofErr w:type="spellStart"/>
            <w:r w:rsidRPr="008E76DF">
              <w:rPr>
                <w:i/>
              </w:rPr>
              <w:t>Vabu</w:t>
            </w:r>
            <w:proofErr w:type="spellEnd"/>
            <w:r w:rsidRPr="008E76DF">
              <w:rPr>
                <w:i/>
              </w:rPr>
              <w:t xml:space="preserve"> Pty Ltd</w:t>
            </w:r>
            <w:r w:rsidRPr="008E76DF">
              <w:t xml:space="preserve"> (2001) 207 CLR 21; [2001] HCA 44</w:t>
            </w:r>
          </w:p>
          <w:p w14:paraId="70566E1A" w14:textId="77777777" w:rsidR="008E76DF" w:rsidRPr="008E76DF" w:rsidRDefault="008E76DF" w:rsidP="008E76DF">
            <w:pPr>
              <w:pStyle w:val="CasesLegislationAppealFrom"/>
              <w:spacing w:after="60"/>
            </w:pPr>
            <w:r w:rsidRPr="008E76DF">
              <w:rPr>
                <w:i/>
              </w:rPr>
              <w:t>Neale v Atlas Products (Vic) Pty Ltd</w:t>
            </w:r>
            <w:r w:rsidRPr="008E76DF">
              <w:t xml:space="preserve"> (1955) 94 CLR 419</w:t>
            </w:r>
          </w:p>
          <w:p w14:paraId="3ECACBC3" w14:textId="77777777" w:rsidR="008E76DF" w:rsidRPr="008E76DF" w:rsidRDefault="008E76DF" w:rsidP="008E76DF">
            <w:pPr>
              <w:pStyle w:val="CasesLegislationAppealFrom"/>
              <w:spacing w:after="60"/>
            </w:pPr>
            <w:r w:rsidRPr="008E76DF">
              <w:rPr>
                <w:i/>
              </w:rPr>
              <w:t xml:space="preserve">On-Call Interpreters &amp; Translators Agency Pty Ltd v </w:t>
            </w:r>
            <w:r w:rsidRPr="008E76DF">
              <w:rPr>
                <w:i/>
              </w:rPr>
              <w:lastRenderedPageBreak/>
              <w:t>Federal Commissioner of Taxation (No 3)</w:t>
            </w:r>
            <w:r w:rsidRPr="008E76DF">
              <w:t xml:space="preserve"> (2011) 214 FCR 82; [2011] FCA 366</w:t>
            </w:r>
          </w:p>
          <w:p w14:paraId="04F7DC79" w14:textId="77777777" w:rsidR="008E76DF" w:rsidRPr="008E76DF" w:rsidRDefault="008E76DF" w:rsidP="008E76DF">
            <w:pPr>
              <w:pStyle w:val="CasesLegislationAppealFrom"/>
              <w:spacing w:after="60"/>
            </w:pPr>
            <w:proofErr w:type="spellStart"/>
            <w:r w:rsidRPr="008E76DF">
              <w:rPr>
                <w:i/>
              </w:rPr>
              <w:t>OneSteel</w:t>
            </w:r>
            <w:proofErr w:type="spellEnd"/>
            <w:r w:rsidRPr="008E76DF">
              <w:rPr>
                <w:i/>
              </w:rPr>
              <w:t xml:space="preserve"> Manufacturing Pty Ltd v BlueScope (AIS) Pty Ltd</w:t>
            </w:r>
            <w:r w:rsidRPr="008E76DF">
              <w:t xml:space="preserve"> (2013) 85 NSWLR 1; [2013] NSWCA 27</w:t>
            </w:r>
          </w:p>
          <w:p w14:paraId="33D1BF43" w14:textId="77777777" w:rsidR="008E76DF" w:rsidRPr="008E76DF" w:rsidRDefault="008E76DF" w:rsidP="008E76DF">
            <w:pPr>
              <w:pStyle w:val="CasesLegislationAppealFrom"/>
              <w:spacing w:after="60"/>
            </w:pPr>
            <w:r w:rsidRPr="008E76DF">
              <w:rPr>
                <w:i/>
              </w:rPr>
              <w:t>Queensland Stations</w:t>
            </w:r>
            <w:r w:rsidRPr="008E76DF">
              <w:t xml:space="preserve"> </w:t>
            </w:r>
            <w:r w:rsidRPr="008E76DF">
              <w:rPr>
                <w:i/>
              </w:rPr>
              <w:t>Pty Ltd v Federal Commissioner of Taxation</w:t>
            </w:r>
            <w:r w:rsidRPr="008E76DF">
              <w:t xml:space="preserve"> (1945) 70 CLR 539</w:t>
            </w:r>
          </w:p>
          <w:p w14:paraId="10A334C0" w14:textId="77777777" w:rsidR="008E76DF" w:rsidRPr="008E76DF" w:rsidRDefault="008E76DF" w:rsidP="008E76DF">
            <w:pPr>
              <w:pStyle w:val="CasesLegislationAppealFrom"/>
              <w:spacing w:after="60"/>
            </w:pPr>
            <w:r w:rsidRPr="008E76DF">
              <w:rPr>
                <w:i/>
              </w:rPr>
              <w:t>Re Porter; Re Transport Workers Union of Australia</w:t>
            </w:r>
            <w:r w:rsidRPr="008E76DF">
              <w:t xml:space="preserve"> (1989) 34 IR 179</w:t>
            </w:r>
          </w:p>
          <w:p w14:paraId="602B6132" w14:textId="77777777" w:rsidR="008E76DF" w:rsidRPr="008E76DF" w:rsidRDefault="008E76DF" w:rsidP="008E76DF">
            <w:pPr>
              <w:pStyle w:val="CasesLegislationAppealFrom"/>
              <w:spacing w:after="60"/>
            </w:pPr>
            <w:r w:rsidRPr="008E76DF">
              <w:rPr>
                <w:i/>
              </w:rPr>
              <w:t>Ready Mixed Concrete (South East) Ltd v Minister of Pensions and National Insurance</w:t>
            </w:r>
            <w:r w:rsidRPr="008E76DF">
              <w:t xml:space="preserve"> [1968] 2 QB 497</w:t>
            </w:r>
          </w:p>
          <w:p w14:paraId="7B3CA4E2" w14:textId="6A226208" w:rsidR="008E76DF" w:rsidRPr="008E76DF" w:rsidRDefault="008E76DF" w:rsidP="008E76DF">
            <w:pPr>
              <w:pStyle w:val="CasesLegislationAppealFrom"/>
              <w:spacing w:after="60"/>
            </w:pPr>
            <w:r w:rsidRPr="008E76DF">
              <w:rPr>
                <w:i/>
              </w:rPr>
              <w:t xml:space="preserve">Stevens v </w:t>
            </w:r>
            <w:proofErr w:type="spellStart"/>
            <w:r w:rsidRPr="008E76DF">
              <w:rPr>
                <w:i/>
              </w:rPr>
              <w:t>Brodribb</w:t>
            </w:r>
            <w:proofErr w:type="spellEnd"/>
            <w:r w:rsidRPr="008E76DF">
              <w:rPr>
                <w:i/>
              </w:rPr>
              <w:t xml:space="preserve"> Sawmilling Co Pty Ltd</w:t>
            </w:r>
            <w:r w:rsidRPr="008E76DF">
              <w:t xml:space="preserve"> </w:t>
            </w:r>
            <w:r>
              <w:t>(1986) 160 CLR 16; [1986] HCA 1</w:t>
            </w:r>
          </w:p>
          <w:p w14:paraId="608E7D9E" w14:textId="77777777" w:rsidR="008E76DF" w:rsidRPr="008E76DF" w:rsidRDefault="008E76DF" w:rsidP="008E76DF">
            <w:pPr>
              <w:pStyle w:val="CasesLegislationAppealFrom"/>
              <w:spacing w:after="60"/>
            </w:pPr>
            <w:r w:rsidRPr="008E76DF">
              <w:rPr>
                <w:i/>
              </w:rPr>
              <w:t>The Queen v Allan; Ex parte Australian Mutual Provident Society</w:t>
            </w:r>
            <w:r w:rsidRPr="008E76DF">
              <w:t xml:space="preserve"> (1977) 16 SASR 237</w:t>
            </w:r>
          </w:p>
          <w:p w14:paraId="5575F8A1" w14:textId="77777777" w:rsidR="008E76DF" w:rsidRPr="008E76DF" w:rsidRDefault="008E76DF" w:rsidP="008E76DF">
            <w:pPr>
              <w:pStyle w:val="CasesLegislationAppealFrom"/>
              <w:spacing w:after="60"/>
            </w:pPr>
            <w:proofErr w:type="spellStart"/>
            <w:r w:rsidRPr="008E76DF">
              <w:rPr>
                <w:i/>
              </w:rPr>
              <w:t>Vabu</w:t>
            </w:r>
            <w:proofErr w:type="spellEnd"/>
            <w:r w:rsidRPr="008E76DF">
              <w:rPr>
                <w:i/>
              </w:rPr>
              <w:t xml:space="preserve"> Pty Ltd v Commissioner of Taxation</w:t>
            </w:r>
            <w:r w:rsidRPr="008E76DF">
              <w:t xml:space="preserve"> (1996) 81 IR 150</w:t>
            </w:r>
          </w:p>
          <w:p w14:paraId="29D01759" w14:textId="77777777" w:rsidR="008E76DF" w:rsidRPr="008E76DF" w:rsidRDefault="008E76DF" w:rsidP="008E76DF">
            <w:pPr>
              <w:pStyle w:val="CasesLegislationAppealFrom"/>
              <w:spacing w:after="60"/>
            </w:pPr>
            <w:r w:rsidRPr="008E76DF">
              <w:rPr>
                <w:i/>
              </w:rPr>
              <w:t>Victoria v Tatts Group Ltd</w:t>
            </w:r>
            <w:r w:rsidRPr="008E76DF">
              <w:t xml:space="preserve"> (2016) 90 ALJR 392; [2016] HCA 5</w:t>
            </w:r>
          </w:p>
          <w:p w14:paraId="2F1C8986" w14:textId="77777777" w:rsidR="008E76DF" w:rsidRPr="008E76DF" w:rsidRDefault="008E76DF" w:rsidP="008E76DF">
            <w:pPr>
              <w:pStyle w:val="CasesLegislationAppealFrom"/>
              <w:spacing w:after="60"/>
            </w:pPr>
            <w:r w:rsidRPr="008E76DF">
              <w:rPr>
                <w:i/>
              </w:rPr>
              <w:t>World Book (Australia) Pty Ltd v Commissioner of Taxation</w:t>
            </w:r>
            <w:r w:rsidRPr="008E76DF">
              <w:t xml:space="preserve"> (1992) 27 NSWLR 377</w:t>
            </w:r>
          </w:p>
          <w:p w14:paraId="6AE364B0" w14:textId="74D4AB80" w:rsidR="008E76DF" w:rsidRPr="008E76DF" w:rsidRDefault="008E76DF" w:rsidP="008E76DF">
            <w:pPr>
              <w:pStyle w:val="CasesLegislationAppealFrom"/>
              <w:spacing w:after="60"/>
            </w:pPr>
            <w:r w:rsidRPr="008E76DF">
              <w:rPr>
                <w:i/>
              </w:rPr>
              <w:t xml:space="preserve">ZG Operations Australia Pty Ltd v </w:t>
            </w:r>
            <w:proofErr w:type="spellStart"/>
            <w:r w:rsidRPr="008E76DF">
              <w:rPr>
                <w:i/>
              </w:rPr>
              <w:t>Jamsek</w:t>
            </w:r>
            <w:proofErr w:type="spellEnd"/>
            <w:r w:rsidRPr="008E76DF">
              <w:t xml:space="preserve"> (2022) 96 ALJR 144; [2022] HCA 2</w:t>
            </w:r>
            <w:bookmarkEnd w:id="3"/>
          </w:p>
        </w:tc>
      </w:tr>
      <w:tr w:rsidR="00587C45" w14:paraId="014336BC" w14:textId="77777777" w:rsidTr="00125E89">
        <w:tc>
          <w:tcPr>
            <w:tcW w:w="3084" w:type="dxa"/>
            <w:shd w:val="clear" w:color="auto" w:fill="auto"/>
          </w:tcPr>
          <w:p w14:paraId="38E9A73E" w14:textId="77777777" w:rsidR="00587C45" w:rsidRDefault="00587C45" w:rsidP="0071061C">
            <w:pPr>
              <w:pStyle w:val="Normal1linespace"/>
              <w:widowControl w:val="0"/>
            </w:pPr>
          </w:p>
        </w:tc>
        <w:tc>
          <w:tcPr>
            <w:tcW w:w="5989" w:type="dxa"/>
            <w:shd w:val="clear" w:color="auto" w:fill="auto"/>
          </w:tcPr>
          <w:p w14:paraId="76C1BB81" w14:textId="77777777" w:rsidR="00587C45" w:rsidRDefault="00587C45" w:rsidP="0071061C">
            <w:pPr>
              <w:pStyle w:val="Normal1linespace"/>
              <w:widowControl w:val="0"/>
              <w:jc w:val="left"/>
            </w:pPr>
          </w:p>
        </w:tc>
      </w:tr>
      <w:tr w:rsidR="00587C45" w14:paraId="72E4893B" w14:textId="77777777" w:rsidTr="00125E89">
        <w:tc>
          <w:tcPr>
            <w:tcW w:w="3084" w:type="dxa"/>
            <w:shd w:val="clear" w:color="auto" w:fill="auto"/>
          </w:tcPr>
          <w:p w14:paraId="0A9768F2" w14:textId="77777777" w:rsidR="00587C45" w:rsidRDefault="00587C45" w:rsidP="00501A12">
            <w:pPr>
              <w:pStyle w:val="Normal1linespace"/>
              <w:widowControl w:val="0"/>
            </w:pPr>
            <w:r>
              <w:t>Division:</w:t>
            </w:r>
          </w:p>
        </w:tc>
        <w:tc>
          <w:tcPr>
            <w:tcW w:w="5989" w:type="dxa"/>
            <w:shd w:val="clear" w:color="auto" w:fill="auto"/>
          </w:tcPr>
          <w:p w14:paraId="6DA1CA8E" w14:textId="77777777" w:rsidR="00587C45" w:rsidRPr="00F17599" w:rsidRDefault="00A12671" w:rsidP="00501A12">
            <w:pPr>
              <w:pStyle w:val="Normal1linespace"/>
              <w:widowControl w:val="0"/>
              <w:jc w:val="left"/>
            </w:pPr>
            <w:fldSimple w:instr=" DOCPROPERTY  Division ">
              <w:r w:rsidR="00587C45">
                <w:t>General Division</w:t>
              </w:r>
            </w:fldSimple>
          </w:p>
        </w:tc>
      </w:tr>
      <w:tr w:rsidR="00587C45" w14:paraId="6F2EBB26" w14:textId="77777777" w:rsidTr="00125E89">
        <w:tc>
          <w:tcPr>
            <w:tcW w:w="3084" w:type="dxa"/>
            <w:shd w:val="clear" w:color="auto" w:fill="auto"/>
          </w:tcPr>
          <w:p w14:paraId="4471845C" w14:textId="77777777" w:rsidR="00587C45" w:rsidRDefault="00587C45" w:rsidP="00501A12">
            <w:pPr>
              <w:pStyle w:val="Normal1linespace"/>
              <w:widowControl w:val="0"/>
            </w:pPr>
            <w:bookmarkStart w:id="4" w:name="Registry_rows" w:colFirst="0" w:colLast="1"/>
          </w:p>
        </w:tc>
        <w:tc>
          <w:tcPr>
            <w:tcW w:w="5989" w:type="dxa"/>
            <w:shd w:val="clear" w:color="auto" w:fill="auto"/>
          </w:tcPr>
          <w:p w14:paraId="51EF94DD" w14:textId="77777777" w:rsidR="00587C45" w:rsidRDefault="00587C45" w:rsidP="00501A12">
            <w:pPr>
              <w:pStyle w:val="Normal1linespace"/>
              <w:widowControl w:val="0"/>
              <w:jc w:val="left"/>
            </w:pPr>
          </w:p>
        </w:tc>
      </w:tr>
      <w:tr w:rsidR="00587C45" w14:paraId="6892B588" w14:textId="77777777" w:rsidTr="00125E89">
        <w:tc>
          <w:tcPr>
            <w:tcW w:w="3084" w:type="dxa"/>
            <w:shd w:val="clear" w:color="auto" w:fill="auto"/>
          </w:tcPr>
          <w:p w14:paraId="6ECE8AFA" w14:textId="77777777" w:rsidR="00587C45" w:rsidRDefault="00587C45" w:rsidP="00501A12">
            <w:pPr>
              <w:pStyle w:val="Normal1linespace"/>
              <w:widowControl w:val="0"/>
            </w:pPr>
            <w:r>
              <w:t>Registry:</w:t>
            </w:r>
          </w:p>
        </w:tc>
        <w:tc>
          <w:tcPr>
            <w:tcW w:w="5989" w:type="dxa"/>
            <w:shd w:val="clear" w:color="auto" w:fill="auto"/>
          </w:tcPr>
          <w:p w14:paraId="04B68180" w14:textId="77777777" w:rsidR="00587C45" w:rsidRPr="00F17599" w:rsidRDefault="00A12671" w:rsidP="00501A12">
            <w:pPr>
              <w:pStyle w:val="Normal1linespace"/>
              <w:widowControl w:val="0"/>
              <w:jc w:val="left"/>
            </w:pPr>
            <w:fldSimple w:instr=" DOCPROPERTY  Registry ">
              <w:r w:rsidR="00587C45">
                <w:t>New South Wales</w:t>
              </w:r>
            </w:fldSimple>
          </w:p>
        </w:tc>
      </w:tr>
      <w:tr w:rsidR="00587C45" w14:paraId="06BCCCF0" w14:textId="77777777" w:rsidTr="00125E89">
        <w:tc>
          <w:tcPr>
            <w:tcW w:w="3084" w:type="dxa"/>
            <w:shd w:val="clear" w:color="auto" w:fill="auto"/>
          </w:tcPr>
          <w:p w14:paraId="5F4B1EC9" w14:textId="77777777" w:rsidR="00587C45" w:rsidRDefault="00587C45" w:rsidP="00501A12">
            <w:pPr>
              <w:pStyle w:val="Normal1linespace"/>
              <w:widowControl w:val="0"/>
            </w:pPr>
            <w:bookmarkStart w:id="5" w:name="NPARow" w:colFirst="0" w:colLast="1"/>
            <w:bookmarkEnd w:id="4"/>
          </w:p>
        </w:tc>
        <w:tc>
          <w:tcPr>
            <w:tcW w:w="5989" w:type="dxa"/>
            <w:shd w:val="clear" w:color="auto" w:fill="auto"/>
          </w:tcPr>
          <w:p w14:paraId="5FE8F2F0" w14:textId="77777777" w:rsidR="00587C45" w:rsidRPr="00F17599" w:rsidRDefault="00587C45" w:rsidP="00501A12">
            <w:pPr>
              <w:pStyle w:val="Normal1linespace"/>
              <w:widowControl w:val="0"/>
              <w:jc w:val="left"/>
              <w:rPr>
                <w:b/>
              </w:rPr>
            </w:pPr>
          </w:p>
        </w:tc>
      </w:tr>
      <w:tr w:rsidR="00587C45" w14:paraId="78FE3B32" w14:textId="77777777" w:rsidTr="00125E89">
        <w:tc>
          <w:tcPr>
            <w:tcW w:w="3084" w:type="dxa"/>
            <w:shd w:val="clear" w:color="auto" w:fill="auto"/>
          </w:tcPr>
          <w:p w14:paraId="140ECE4F" w14:textId="77777777" w:rsidR="00587C45" w:rsidRDefault="00587C45" w:rsidP="00501A12">
            <w:pPr>
              <w:pStyle w:val="Normal1linespace"/>
              <w:widowControl w:val="0"/>
            </w:pPr>
            <w:r>
              <w:t>National Practice Area:</w:t>
            </w:r>
          </w:p>
        </w:tc>
        <w:tc>
          <w:tcPr>
            <w:tcW w:w="5989" w:type="dxa"/>
            <w:shd w:val="clear" w:color="auto" w:fill="auto"/>
          </w:tcPr>
          <w:p w14:paraId="170D6C3E" w14:textId="77777777" w:rsidR="00587C45" w:rsidRPr="00F17599" w:rsidRDefault="00A12671" w:rsidP="0071061C">
            <w:pPr>
              <w:pStyle w:val="Normal1linespace"/>
              <w:widowControl w:val="0"/>
              <w:jc w:val="left"/>
              <w:rPr>
                <w:b/>
              </w:rPr>
            </w:pPr>
            <w:fldSimple w:instr=" DOCPROPERTY  &quot;Practice Area&quot;  \* MERGEFORMAT ">
              <w:r w:rsidR="00587C45">
                <w:t>Taxation</w:t>
              </w:r>
            </w:fldSimple>
          </w:p>
        </w:tc>
      </w:tr>
      <w:bookmarkEnd w:id="5"/>
      <w:tr w:rsidR="00587C45" w14:paraId="533F2096" w14:textId="77777777" w:rsidTr="00125E89">
        <w:tc>
          <w:tcPr>
            <w:tcW w:w="3084" w:type="dxa"/>
            <w:shd w:val="clear" w:color="auto" w:fill="auto"/>
          </w:tcPr>
          <w:p w14:paraId="4C31E19A" w14:textId="77777777" w:rsidR="00587C45" w:rsidRDefault="00587C45" w:rsidP="00501A12">
            <w:pPr>
              <w:pStyle w:val="Normal1linespace"/>
              <w:widowControl w:val="0"/>
            </w:pPr>
          </w:p>
        </w:tc>
        <w:tc>
          <w:tcPr>
            <w:tcW w:w="5989" w:type="dxa"/>
            <w:shd w:val="clear" w:color="auto" w:fill="auto"/>
          </w:tcPr>
          <w:p w14:paraId="30A8B547" w14:textId="77777777" w:rsidR="00587C45" w:rsidRDefault="00587C45" w:rsidP="00501A12">
            <w:pPr>
              <w:pStyle w:val="Normal1linespace"/>
              <w:widowControl w:val="0"/>
              <w:jc w:val="left"/>
            </w:pPr>
          </w:p>
        </w:tc>
      </w:tr>
      <w:tr w:rsidR="00587C45" w14:paraId="6C546374" w14:textId="77777777" w:rsidTr="00125E89">
        <w:tc>
          <w:tcPr>
            <w:tcW w:w="3084" w:type="dxa"/>
            <w:shd w:val="clear" w:color="auto" w:fill="auto"/>
          </w:tcPr>
          <w:p w14:paraId="37D1F262" w14:textId="77777777" w:rsidR="00587C45" w:rsidRDefault="00587C45" w:rsidP="00501A12">
            <w:pPr>
              <w:pStyle w:val="Normal1linespace"/>
              <w:widowControl w:val="0"/>
            </w:pPr>
            <w:r>
              <w:t>Number of paragraphs:</w:t>
            </w:r>
          </w:p>
        </w:tc>
        <w:tc>
          <w:tcPr>
            <w:tcW w:w="5989" w:type="dxa"/>
            <w:shd w:val="clear" w:color="auto" w:fill="auto"/>
          </w:tcPr>
          <w:p w14:paraId="0C4C75EB" w14:textId="435E6AE2" w:rsidR="00587C45" w:rsidRDefault="00125E89" w:rsidP="00501A12">
            <w:pPr>
              <w:pStyle w:val="Normal1linespace"/>
              <w:widowControl w:val="0"/>
              <w:jc w:val="left"/>
            </w:pPr>
            <w:bookmarkStart w:id="6" w:name="PlaceCategoryParagraphs"/>
            <w:r>
              <w:t>201</w:t>
            </w:r>
            <w:bookmarkEnd w:id="6"/>
          </w:p>
        </w:tc>
      </w:tr>
      <w:tr w:rsidR="00587C45" w14:paraId="069287F3" w14:textId="77777777" w:rsidTr="00125E89">
        <w:tc>
          <w:tcPr>
            <w:tcW w:w="3084" w:type="dxa"/>
            <w:shd w:val="clear" w:color="auto" w:fill="auto"/>
          </w:tcPr>
          <w:p w14:paraId="7C7843FC" w14:textId="77777777" w:rsidR="00587C45" w:rsidRDefault="00587C45" w:rsidP="00587C45">
            <w:pPr>
              <w:pStyle w:val="Normal1linespace"/>
              <w:widowControl w:val="0"/>
              <w:jc w:val="left"/>
            </w:pPr>
          </w:p>
        </w:tc>
        <w:tc>
          <w:tcPr>
            <w:tcW w:w="5989" w:type="dxa"/>
            <w:shd w:val="clear" w:color="auto" w:fill="auto"/>
          </w:tcPr>
          <w:p w14:paraId="2CD51BA6" w14:textId="77777777" w:rsidR="00587C45" w:rsidRDefault="00587C45" w:rsidP="00587C45">
            <w:pPr>
              <w:pStyle w:val="Normal1linespace"/>
              <w:widowControl w:val="0"/>
              <w:jc w:val="left"/>
            </w:pPr>
          </w:p>
        </w:tc>
      </w:tr>
      <w:tr w:rsidR="00587C45" w14:paraId="02E8CE15" w14:textId="77777777" w:rsidTr="00125E89">
        <w:tc>
          <w:tcPr>
            <w:tcW w:w="3084" w:type="dxa"/>
            <w:shd w:val="clear" w:color="auto" w:fill="auto"/>
          </w:tcPr>
          <w:p w14:paraId="3E76242F" w14:textId="50E9D841" w:rsidR="00587C45" w:rsidRDefault="00F00C4C" w:rsidP="00587C45">
            <w:pPr>
              <w:pStyle w:val="Normal1linespace"/>
              <w:widowControl w:val="0"/>
              <w:jc w:val="left"/>
            </w:pPr>
            <w:r>
              <w:t>Date of last submission</w:t>
            </w:r>
            <w:r w:rsidR="00587C45">
              <w:t>:</w:t>
            </w:r>
          </w:p>
        </w:tc>
        <w:tc>
          <w:tcPr>
            <w:tcW w:w="5989" w:type="dxa"/>
            <w:shd w:val="clear" w:color="auto" w:fill="auto"/>
          </w:tcPr>
          <w:p w14:paraId="5556EDAC" w14:textId="77777777" w:rsidR="00587C45" w:rsidRDefault="00587C45" w:rsidP="00587C45">
            <w:pPr>
              <w:pStyle w:val="Normal1linespace"/>
              <w:widowControl w:val="0"/>
              <w:jc w:val="left"/>
            </w:pPr>
            <w:r>
              <w:t>22 March 2022</w:t>
            </w:r>
          </w:p>
        </w:tc>
      </w:tr>
      <w:tr w:rsidR="00587C45" w14:paraId="6A7D9163" w14:textId="77777777" w:rsidTr="00125E89">
        <w:tc>
          <w:tcPr>
            <w:tcW w:w="3084" w:type="dxa"/>
            <w:shd w:val="clear" w:color="auto" w:fill="auto"/>
          </w:tcPr>
          <w:p w14:paraId="3836B300" w14:textId="77777777" w:rsidR="00587C45" w:rsidRDefault="00587C45" w:rsidP="00587C45">
            <w:pPr>
              <w:pStyle w:val="Normal1linespace"/>
              <w:widowControl w:val="0"/>
              <w:jc w:val="left"/>
            </w:pPr>
          </w:p>
        </w:tc>
        <w:tc>
          <w:tcPr>
            <w:tcW w:w="5989" w:type="dxa"/>
            <w:shd w:val="clear" w:color="auto" w:fill="auto"/>
          </w:tcPr>
          <w:p w14:paraId="257DE9C3" w14:textId="77777777" w:rsidR="00587C45" w:rsidRDefault="00587C45" w:rsidP="00587C45">
            <w:pPr>
              <w:pStyle w:val="Normal1linespace"/>
              <w:widowControl w:val="0"/>
              <w:jc w:val="left"/>
            </w:pPr>
          </w:p>
        </w:tc>
      </w:tr>
      <w:tr w:rsidR="00587C45" w14:paraId="1937AA8A" w14:textId="77777777" w:rsidTr="00125E89">
        <w:tc>
          <w:tcPr>
            <w:tcW w:w="3084" w:type="dxa"/>
            <w:shd w:val="clear" w:color="auto" w:fill="auto"/>
          </w:tcPr>
          <w:p w14:paraId="6E3F81F7" w14:textId="77777777" w:rsidR="00587C45" w:rsidRDefault="00587C45" w:rsidP="00587C45">
            <w:pPr>
              <w:pStyle w:val="Normal1linespace"/>
              <w:widowControl w:val="0"/>
              <w:jc w:val="left"/>
            </w:pPr>
            <w:bookmarkStart w:id="7" w:name="CounselDate" w:colFirst="0" w:colLast="2"/>
            <w:r w:rsidRPr="006A24E3">
              <w:t>Date of hearing:</w:t>
            </w:r>
          </w:p>
        </w:tc>
        <w:tc>
          <w:tcPr>
            <w:tcW w:w="5989" w:type="dxa"/>
            <w:shd w:val="clear" w:color="auto" w:fill="auto"/>
          </w:tcPr>
          <w:p w14:paraId="1569DC5D" w14:textId="77777777" w:rsidR="00587C45" w:rsidRDefault="00587C45" w:rsidP="00587C45">
            <w:pPr>
              <w:pStyle w:val="Normal1linespace"/>
              <w:widowControl w:val="0"/>
              <w:jc w:val="left"/>
            </w:pPr>
            <w:bookmarkStart w:id="8" w:name="HearingDate"/>
            <w:r>
              <w:t xml:space="preserve">7-11 December 2020 and 29 March 2022 </w:t>
            </w:r>
            <w:bookmarkEnd w:id="8"/>
          </w:p>
        </w:tc>
      </w:tr>
      <w:tr w:rsidR="00587C45" w14:paraId="24EA69B8" w14:textId="77777777" w:rsidTr="00125E89">
        <w:tc>
          <w:tcPr>
            <w:tcW w:w="3084" w:type="dxa"/>
            <w:shd w:val="clear" w:color="auto" w:fill="auto"/>
          </w:tcPr>
          <w:p w14:paraId="07961FF1" w14:textId="77777777" w:rsidR="00587C45" w:rsidRDefault="00587C45" w:rsidP="00587C45">
            <w:pPr>
              <w:pStyle w:val="Normal1linespace"/>
              <w:widowControl w:val="0"/>
              <w:jc w:val="left"/>
            </w:pPr>
          </w:p>
        </w:tc>
        <w:tc>
          <w:tcPr>
            <w:tcW w:w="5989" w:type="dxa"/>
            <w:shd w:val="clear" w:color="auto" w:fill="auto"/>
          </w:tcPr>
          <w:p w14:paraId="25540FAF" w14:textId="77777777" w:rsidR="00587C45" w:rsidRDefault="00587C45" w:rsidP="00587C45">
            <w:pPr>
              <w:pStyle w:val="Normal1linespace"/>
              <w:widowControl w:val="0"/>
              <w:jc w:val="left"/>
            </w:pPr>
          </w:p>
        </w:tc>
      </w:tr>
      <w:tr w:rsidR="007677BE" w14:paraId="3557F920" w14:textId="77777777" w:rsidTr="00125E89">
        <w:tc>
          <w:tcPr>
            <w:tcW w:w="3084" w:type="dxa"/>
            <w:shd w:val="clear" w:color="auto" w:fill="auto"/>
          </w:tcPr>
          <w:p w14:paraId="3B060A48" w14:textId="251394B3" w:rsidR="007677BE" w:rsidRDefault="007677BE" w:rsidP="00587C45">
            <w:pPr>
              <w:pStyle w:val="Normal1linespace"/>
              <w:widowControl w:val="0"/>
              <w:jc w:val="left"/>
            </w:pPr>
            <w:r>
              <w:t xml:space="preserve">Counsel for the Applicant </w:t>
            </w:r>
          </w:p>
        </w:tc>
        <w:tc>
          <w:tcPr>
            <w:tcW w:w="5989" w:type="dxa"/>
            <w:shd w:val="clear" w:color="auto" w:fill="auto"/>
          </w:tcPr>
          <w:p w14:paraId="71C5338F" w14:textId="3BADD501" w:rsidR="007677BE" w:rsidRDefault="007677BE" w:rsidP="007677BE">
            <w:pPr>
              <w:pStyle w:val="Normal1linespace"/>
              <w:widowControl w:val="0"/>
              <w:jc w:val="left"/>
            </w:pPr>
            <w:r>
              <w:t xml:space="preserve">Mr J Lockhart SC with Mr J Byrne </w:t>
            </w:r>
          </w:p>
        </w:tc>
      </w:tr>
      <w:tr w:rsidR="007677BE" w14:paraId="5C806826" w14:textId="77777777" w:rsidTr="00125E89">
        <w:tc>
          <w:tcPr>
            <w:tcW w:w="3084" w:type="dxa"/>
            <w:shd w:val="clear" w:color="auto" w:fill="auto"/>
          </w:tcPr>
          <w:p w14:paraId="2A5D181C" w14:textId="77777777" w:rsidR="007677BE" w:rsidRDefault="007677BE" w:rsidP="00587C45">
            <w:pPr>
              <w:pStyle w:val="Normal1linespace"/>
              <w:widowControl w:val="0"/>
              <w:jc w:val="left"/>
            </w:pPr>
          </w:p>
        </w:tc>
        <w:tc>
          <w:tcPr>
            <w:tcW w:w="5989" w:type="dxa"/>
            <w:shd w:val="clear" w:color="auto" w:fill="auto"/>
          </w:tcPr>
          <w:p w14:paraId="5072BB18" w14:textId="77777777" w:rsidR="007677BE" w:rsidRDefault="007677BE" w:rsidP="00587C45">
            <w:pPr>
              <w:pStyle w:val="Normal1linespace"/>
              <w:widowControl w:val="0"/>
              <w:jc w:val="left"/>
            </w:pPr>
          </w:p>
        </w:tc>
      </w:tr>
      <w:tr w:rsidR="007677BE" w14:paraId="5298D1EA" w14:textId="77777777" w:rsidTr="00125E89">
        <w:tc>
          <w:tcPr>
            <w:tcW w:w="3084" w:type="dxa"/>
            <w:shd w:val="clear" w:color="auto" w:fill="auto"/>
          </w:tcPr>
          <w:p w14:paraId="2042C3DA" w14:textId="75160E3C" w:rsidR="007677BE" w:rsidRDefault="00823814" w:rsidP="00587C45">
            <w:pPr>
              <w:pStyle w:val="Normal1linespace"/>
              <w:widowControl w:val="0"/>
              <w:jc w:val="left"/>
            </w:pPr>
            <w:r>
              <w:t>Solicitor</w:t>
            </w:r>
            <w:r w:rsidR="007677BE">
              <w:t xml:space="preserve"> for the Applicant</w:t>
            </w:r>
          </w:p>
        </w:tc>
        <w:tc>
          <w:tcPr>
            <w:tcW w:w="5989" w:type="dxa"/>
            <w:shd w:val="clear" w:color="auto" w:fill="auto"/>
          </w:tcPr>
          <w:p w14:paraId="3C6039DE" w14:textId="7E0BEA75" w:rsidR="007677BE" w:rsidRDefault="007677BE" w:rsidP="00587C45">
            <w:pPr>
              <w:pStyle w:val="Normal1linespace"/>
              <w:widowControl w:val="0"/>
              <w:jc w:val="left"/>
            </w:pPr>
            <w:r>
              <w:t xml:space="preserve">Holding Redlich </w:t>
            </w:r>
          </w:p>
        </w:tc>
      </w:tr>
      <w:tr w:rsidR="007677BE" w14:paraId="1BBA0EB2" w14:textId="77777777" w:rsidTr="00125E89">
        <w:tc>
          <w:tcPr>
            <w:tcW w:w="3084" w:type="dxa"/>
            <w:shd w:val="clear" w:color="auto" w:fill="auto"/>
          </w:tcPr>
          <w:p w14:paraId="3F2770C9" w14:textId="77777777" w:rsidR="007677BE" w:rsidRDefault="007677BE" w:rsidP="00587C45">
            <w:pPr>
              <w:pStyle w:val="Normal1linespace"/>
              <w:widowControl w:val="0"/>
              <w:jc w:val="left"/>
            </w:pPr>
          </w:p>
        </w:tc>
        <w:tc>
          <w:tcPr>
            <w:tcW w:w="5989" w:type="dxa"/>
            <w:shd w:val="clear" w:color="auto" w:fill="auto"/>
          </w:tcPr>
          <w:p w14:paraId="671E97FF" w14:textId="77777777" w:rsidR="007677BE" w:rsidRDefault="007677BE" w:rsidP="00587C45">
            <w:pPr>
              <w:pStyle w:val="Normal1linespace"/>
              <w:widowControl w:val="0"/>
              <w:jc w:val="left"/>
            </w:pPr>
          </w:p>
        </w:tc>
      </w:tr>
      <w:tr w:rsidR="007677BE" w14:paraId="411E3E06" w14:textId="77777777" w:rsidTr="00125E89">
        <w:tc>
          <w:tcPr>
            <w:tcW w:w="3084" w:type="dxa"/>
            <w:shd w:val="clear" w:color="auto" w:fill="auto"/>
          </w:tcPr>
          <w:p w14:paraId="2E29FDDB" w14:textId="0D30C1B9" w:rsidR="007677BE" w:rsidRDefault="007677BE" w:rsidP="00587C45">
            <w:pPr>
              <w:pStyle w:val="Normal1linespace"/>
              <w:widowControl w:val="0"/>
              <w:jc w:val="left"/>
            </w:pPr>
            <w:r>
              <w:t xml:space="preserve">Counsel for the Respondent </w:t>
            </w:r>
          </w:p>
        </w:tc>
        <w:tc>
          <w:tcPr>
            <w:tcW w:w="5989" w:type="dxa"/>
            <w:shd w:val="clear" w:color="auto" w:fill="auto"/>
          </w:tcPr>
          <w:p w14:paraId="1BFC8244" w14:textId="7A7C92A5" w:rsidR="007677BE" w:rsidRDefault="007677BE" w:rsidP="00587C45">
            <w:pPr>
              <w:pStyle w:val="Normal1linespace"/>
              <w:widowControl w:val="0"/>
              <w:jc w:val="left"/>
            </w:pPr>
            <w:r>
              <w:t xml:space="preserve">Mr L Livingston SC with Ms C Ensor </w:t>
            </w:r>
          </w:p>
        </w:tc>
      </w:tr>
      <w:tr w:rsidR="007677BE" w14:paraId="5A3EA58C" w14:textId="77777777" w:rsidTr="00125E89">
        <w:tc>
          <w:tcPr>
            <w:tcW w:w="3084" w:type="dxa"/>
            <w:shd w:val="clear" w:color="auto" w:fill="auto"/>
          </w:tcPr>
          <w:p w14:paraId="113EA080" w14:textId="77777777" w:rsidR="007677BE" w:rsidRDefault="007677BE" w:rsidP="00587C45">
            <w:pPr>
              <w:pStyle w:val="Normal1linespace"/>
              <w:widowControl w:val="0"/>
              <w:jc w:val="left"/>
            </w:pPr>
          </w:p>
        </w:tc>
        <w:tc>
          <w:tcPr>
            <w:tcW w:w="5989" w:type="dxa"/>
            <w:shd w:val="clear" w:color="auto" w:fill="auto"/>
          </w:tcPr>
          <w:p w14:paraId="2AA0147C" w14:textId="77777777" w:rsidR="007677BE" w:rsidRDefault="007677BE" w:rsidP="00587C45">
            <w:pPr>
              <w:pStyle w:val="Normal1linespace"/>
              <w:widowControl w:val="0"/>
              <w:jc w:val="left"/>
            </w:pPr>
          </w:p>
        </w:tc>
      </w:tr>
      <w:tr w:rsidR="007677BE" w14:paraId="144E1121" w14:textId="77777777" w:rsidTr="00125E89">
        <w:tc>
          <w:tcPr>
            <w:tcW w:w="3084" w:type="dxa"/>
            <w:shd w:val="clear" w:color="auto" w:fill="auto"/>
          </w:tcPr>
          <w:p w14:paraId="055A6009" w14:textId="56172C92" w:rsidR="007677BE" w:rsidRDefault="007677BE" w:rsidP="00587C45">
            <w:pPr>
              <w:pStyle w:val="Normal1linespace"/>
              <w:widowControl w:val="0"/>
              <w:jc w:val="left"/>
            </w:pPr>
            <w:r>
              <w:t xml:space="preserve">Solicitor for the Respondent </w:t>
            </w:r>
          </w:p>
        </w:tc>
        <w:tc>
          <w:tcPr>
            <w:tcW w:w="5989" w:type="dxa"/>
            <w:shd w:val="clear" w:color="auto" w:fill="auto"/>
          </w:tcPr>
          <w:p w14:paraId="7722FCED" w14:textId="5A061686" w:rsidR="007677BE" w:rsidRDefault="00181BE2" w:rsidP="004E7799">
            <w:pPr>
              <w:pStyle w:val="Normal1linespace"/>
              <w:widowControl w:val="0"/>
              <w:jc w:val="left"/>
            </w:pPr>
            <w:r>
              <w:t>A</w:t>
            </w:r>
            <w:r w:rsidR="004E7799">
              <w:t>TO Review and Dispute Resolution</w:t>
            </w:r>
            <w:r>
              <w:t xml:space="preserve"> </w:t>
            </w:r>
          </w:p>
        </w:tc>
      </w:tr>
    </w:tbl>
    <w:p w14:paraId="4FE673B6" w14:textId="77777777" w:rsidR="00B17D6E" w:rsidRDefault="00B17D6E">
      <w:pPr>
        <w:pStyle w:val="Normal1linespace"/>
      </w:pPr>
      <w:bookmarkStart w:id="9" w:name="CompletionTable"/>
      <w:bookmarkEnd w:id="7"/>
    </w:p>
    <w:bookmarkEnd w:id="9"/>
    <w:p w14:paraId="277E7AEA" w14:textId="07737CF9" w:rsidR="00395B24" w:rsidRDefault="00395B24">
      <w:pPr>
        <w:pStyle w:val="Normal1linespace"/>
        <w:sectPr w:rsidR="00395B24" w:rsidSect="001F2473">
          <w:footerReference w:type="default" r:id="rId9"/>
          <w:endnotePr>
            <w:numFmt w:val="decimal"/>
          </w:endnotePr>
          <w:type w:val="continuous"/>
          <w:pgSz w:w="11907" w:h="16840" w:code="9"/>
          <w:pgMar w:top="1440" w:right="1440" w:bottom="1440" w:left="1440" w:header="851" w:footer="768" w:gutter="0"/>
          <w:pgNumType w:start="1"/>
          <w:cols w:space="720"/>
          <w:noEndnote/>
          <w:titlePg/>
        </w:sectPr>
      </w:pPr>
    </w:p>
    <w:p w14:paraId="3A3E23F9" w14:textId="77777777" w:rsidR="008C7167" w:rsidRPr="00045BB7" w:rsidRDefault="0011419D" w:rsidP="00045BB7">
      <w:pPr>
        <w:pStyle w:val="NormalHeadings"/>
        <w:spacing w:line="480" w:lineRule="auto"/>
        <w:jc w:val="center"/>
        <w:rPr>
          <w:sz w:val="28"/>
          <w:szCs w:val="28"/>
        </w:rPr>
      </w:pPr>
      <w:r w:rsidRPr="00045BB7">
        <w:rPr>
          <w:sz w:val="28"/>
          <w:szCs w:val="28"/>
        </w:rPr>
        <w:lastRenderedPageBreak/>
        <w:t>ORDERS</w:t>
      </w:r>
    </w:p>
    <w:tbl>
      <w:tblPr>
        <w:tblW w:w="0" w:type="auto"/>
        <w:tblLayout w:type="fixed"/>
        <w:tblLook w:val="0000" w:firstRow="0" w:lastRow="0" w:firstColumn="0" w:lastColumn="0" w:noHBand="0" w:noVBand="0"/>
        <w:tblCaption w:val="Parties"/>
        <w:tblDescription w:val="Parties"/>
      </w:tblPr>
      <w:tblGrid>
        <w:gridCol w:w="2376"/>
        <w:gridCol w:w="4536"/>
        <w:gridCol w:w="2330"/>
      </w:tblGrid>
      <w:tr w:rsidR="00A46CCC" w14:paraId="24D0F099" w14:textId="77777777" w:rsidTr="00E81DA6">
        <w:tc>
          <w:tcPr>
            <w:tcW w:w="6912" w:type="dxa"/>
            <w:gridSpan w:val="2"/>
          </w:tcPr>
          <w:p w14:paraId="7CF6CD70" w14:textId="77777777" w:rsidR="00A46CCC" w:rsidRPr="001765E0" w:rsidRDefault="00A46CCC" w:rsidP="00525A49">
            <w:pPr>
              <w:pStyle w:val="NormalHeadings"/>
            </w:pPr>
          </w:p>
        </w:tc>
        <w:tc>
          <w:tcPr>
            <w:tcW w:w="2330" w:type="dxa"/>
          </w:tcPr>
          <w:p w14:paraId="2334348E" w14:textId="77777777" w:rsidR="00A46CCC" w:rsidRDefault="00587C45" w:rsidP="00F92355">
            <w:pPr>
              <w:pStyle w:val="NormalHeadings"/>
              <w:jc w:val="right"/>
            </w:pPr>
            <w:bookmarkStart w:id="10" w:name="FileNo"/>
            <w:r>
              <w:t>NSD 175 of 2020</w:t>
            </w:r>
            <w:bookmarkEnd w:id="10"/>
          </w:p>
        </w:tc>
      </w:tr>
      <w:tr w:rsidR="00A76C13" w14:paraId="7BCF4AD9" w14:textId="77777777" w:rsidTr="0071061C">
        <w:tc>
          <w:tcPr>
            <w:tcW w:w="9242" w:type="dxa"/>
            <w:gridSpan w:val="3"/>
          </w:tcPr>
          <w:p w14:paraId="7EAADC38" w14:textId="77777777" w:rsidR="00A76C13" w:rsidRPr="00A76C13" w:rsidRDefault="00587C45" w:rsidP="00587C45">
            <w:pPr>
              <w:pStyle w:val="NormalHeadings"/>
              <w:jc w:val="left"/>
            </w:pPr>
            <w:bookmarkStart w:id="11" w:name="InTheMatterOf"/>
            <w:r>
              <w:t xml:space="preserve"> </w:t>
            </w:r>
            <w:bookmarkEnd w:id="11"/>
          </w:p>
        </w:tc>
      </w:tr>
      <w:tr w:rsidR="00A46CCC" w14:paraId="1229A14D" w14:textId="77777777" w:rsidTr="0071061C">
        <w:trPr>
          <w:trHeight w:val="386"/>
        </w:trPr>
        <w:tc>
          <w:tcPr>
            <w:tcW w:w="2376" w:type="dxa"/>
          </w:tcPr>
          <w:p w14:paraId="5A77666F" w14:textId="77777777" w:rsidR="00A46CCC" w:rsidRDefault="00A46CCC" w:rsidP="0071061C">
            <w:pPr>
              <w:pStyle w:val="NormalHeadings"/>
              <w:jc w:val="left"/>
              <w:rPr>
                <w:caps/>
                <w:szCs w:val="24"/>
              </w:rPr>
            </w:pPr>
            <w:bookmarkStart w:id="12" w:name="Parties"/>
            <w:r>
              <w:rPr>
                <w:caps/>
                <w:szCs w:val="24"/>
              </w:rPr>
              <w:t>BETWEEN:</w:t>
            </w:r>
          </w:p>
        </w:tc>
        <w:tc>
          <w:tcPr>
            <w:tcW w:w="6866" w:type="dxa"/>
            <w:gridSpan w:val="2"/>
          </w:tcPr>
          <w:p w14:paraId="31A1970D" w14:textId="77777777" w:rsidR="00587C45" w:rsidRDefault="00587C45" w:rsidP="00587C45">
            <w:pPr>
              <w:pStyle w:val="NormalHeadings"/>
              <w:jc w:val="left"/>
            </w:pPr>
            <w:bookmarkStart w:id="13" w:name="Applicant"/>
            <w:r>
              <w:t>JMC PTY LIMITED (ACN 003 572 012)</w:t>
            </w:r>
          </w:p>
          <w:p w14:paraId="1F2CA8B0" w14:textId="77777777" w:rsidR="00587C45" w:rsidRDefault="00587C45" w:rsidP="00587C45">
            <w:pPr>
              <w:pStyle w:val="PartyType"/>
            </w:pPr>
            <w:r>
              <w:t>Applicant</w:t>
            </w:r>
          </w:p>
          <w:bookmarkEnd w:id="13"/>
          <w:p w14:paraId="0F502F0C" w14:textId="77777777" w:rsidR="00A46CCC" w:rsidRPr="006555B4" w:rsidRDefault="00A46CCC" w:rsidP="0071061C">
            <w:pPr>
              <w:pStyle w:val="NormalHeadings"/>
              <w:jc w:val="left"/>
            </w:pPr>
          </w:p>
        </w:tc>
      </w:tr>
      <w:tr w:rsidR="00A46CCC" w14:paraId="6E3A7E10" w14:textId="77777777" w:rsidTr="0071061C">
        <w:trPr>
          <w:trHeight w:val="386"/>
        </w:trPr>
        <w:tc>
          <w:tcPr>
            <w:tcW w:w="2376" w:type="dxa"/>
          </w:tcPr>
          <w:p w14:paraId="621DB474" w14:textId="77777777" w:rsidR="00A46CCC" w:rsidRDefault="00A46CCC" w:rsidP="0071061C">
            <w:pPr>
              <w:pStyle w:val="NormalHeadings"/>
              <w:jc w:val="left"/>
              <w:rPr>
                <w:caps/>
                <w:szCs w:val="24"/>
              </w:rPr>
            </w:pPr>
            <w:r>
              <w:rPr>
                <w:caps/>
                <w:szCs w:val="24"/>
              </w:rPr>
              <w:t>AND:</w:t>
            </w:r>
          </w:p>
        </w:tc>
        <w:tc>
          <w:tcPr>
            <w:tcW w:w="6866" w:type="dxa"/>
            <w:gridSpan w:val="2"/>
          </w:tcPr>
          <w:p w14:paraId="28A0A9CC" w14:textId="77777777" w:rsidR="00587C45" w:rsidRDefault="00587C45" w:rsidP="00587C45">
            <w:pPr>
              <w:pStyle w:val="NormalHeadings"/>
              <w:jc w:val="left"/>
            </w:pPr>
            <w:bookmarkStart w:id="14" w:name="Respondent"/>
            <w:r>
              <w:t>COMMISSIONER OF TAXATION</w:t>
            </w:r>
          </w:p>
          <w:p w14:paraId="369EC0EA" w14:textId="77777777" w:rsidR="00587C45" w:rsidRDefault="00587C45" w:rsidP="00587C45">
            <w:pPr>
              <w:pStyle w:val="PartyType"/>
            </w:pPr>
            <w:r>
              <w:t>Respondent</w:t>
            </w:r>
          </w:p>
          <w:bookmarkEnd w:id="14"/>
          <w:p w14:paraId="035BA7A1" w14:textId="77777777" w:rsidR="00A46CCC" w:rsidRPr="006555B4" w:rsidRDefault="00A46CCC" w:rsidP="0071061C">
            <w:pPr>
              <w:pStyle w:val="NormalHeadings"/>
              <w:jc w:val="left"/>
            </w:pPr>
          </w:p>
        </w:tc>
      </w:tr>
    </w:tbl>
    <w:p w14:paraId="55031CF4" w14:textId="77777777" w:rsidR="00395B24" w:rsidRDefault="00395B24">
      <w:pPr>
        <w:pStyle w:val="NormalHeadings"/>
      </w:pPr>
      <w:bookmarkStart w:id="15" w:name="CrossClaimPosition"/>
      <w:bookmarkEnd w:id="12"/>
      <w:bookmarkEnd w:id="15"/>
    </w:p>
    <w:tbl>
      <w:tblPr>
        <w:tblW w:w="0" w:type="auto"/>
        <w:tblLayout w:type="fixed"/>
        <w:tblLook w:val="0000" w:firstRow="0" w:lastRow="0" w:firstColumn="0" w:lastColumn="0" w:noHBand="0" w:noVBand="0"/>
        <w:tblCaption w:val="Judge"/>
        <w:tblDescription w:val="Judge"/>
      </w:tblPr>
      <w:tblGrid>
        <w:gridCol w:w="2376"/>
        <w:gridCol w:w="6866"/>
      </w:tblGrid>
      <w:tr w:rsidR="00395B24" w14:paraId="368E12DB" w14:textId="77777777">
        <w:tc>
          <w:tcPr>
            <w:tcW w:w="2376" w:type="dxa"/>
          </w:tcPr>
          <w:p w14:paraId="737AA144" w14:textId="77777777" w:rsidR="00395B24" w:rsidRDefault="00974709">
            <w:pPr>
              <w:pStyle w:val="NormalHeadings"/>
              <w:spacing w:after="120"/>
              <w:jc w:val="left"/>
              <w:rPr>
                <w:caps/>
                <w:szCs w:val="24"/>
              </w:rPr>
            </w:pPr>
            <w:bookmarkStart w:id="16" w:name="JudgeText"/>
            <w:r>
              <w:rPr>
                <w:caps/>
                <w:szCs w:val="24"/>
              </w:rPr>
              <w:t>order made by</w:t>
            </w:r>
            <w:bookmarkEnd w:id="16"/>
            <w:r w:rsidR="002C7385">
              <w:rPr>
                <w:caps/>
                <w:szCs w:val="24"/>
              </w:rPr>
              <w:t>:</w:t>
            </w:r>
          </w:p>
        </w:tc>
        <w:tc>
          <w:tcPr>
            <w:tcW w:w="6866" w:type="dxa"/>
          </w:tcPr>
          <w:p w14:paraId="4289ABBC" w14:textId="3301670D" w:rsidR="00395B24" w:rsidRDefault="00587C45" w:rsidP="00B216A9">
            <w:pPr>
              <w:pStyle w:val="NormalHeadings"/>
              <w:jc w:val="left"/>
              <w:rPr>
                <w:caps/>
                <w:szCs w:val="24"/>
              </w:rPr>
            </w:pPr>
            <w:bookmarkStart w:id="17" w:name="Judge"/>
            <w:r>
              <w:rPr>
                <w:caps/>
                <w:szCs w:val="24"/>
              </w:rPr>
              <w:t>WIGNEY J</w:t>
            </w:r>
            <w:bookmarkEnd w:id="17"/>
          </w:p>
        </w:tc>
      </w:tr>
      <w:tr w:rsidR="00395B24" w14:paraId="0F13DBD0" w14:textId="77777777">
        <w:tc>
          <w:tcPr>
            <w:tcW w:w="2376" w:type="dxa"/>
          </w:tcPr>
          <w:p w14:paraId="037620F2" w14:textId="77777777" w:rsidR="00395B24" w:rsidRDefault="002C7385">
            <w:pPr>
              <w:pStyle w:val="NormalHeadings"/>
              <w:spacing w:after="120"/>
              <w:jc w:val="left"/>
              <w:rPr>
                <w:caps/>
                <w:szCs w:val="24"/>
              </w:rPr>
            </w:pPr>
            <w:r>
              <w:rPr>
                <w:caps/>
                <w:szCs w:val="24"/>
              </w:rPr>
              <w:t>DATE OF ORDER:</w:t>
            </w:r>
          </w:p>
        </w:tc>
        <w:tc>
          <w:tcPr>
            <w:tcW w:w="6866" w:type="dxa"/>
          </w:tcPr>
          <w:p w14:paraId="65DA9F08" w14:textId="0F519DAC" w:rsidR="00395B24" w:rsidRDefault="00630ED3">
            <w:pPr>
              <w:pStyle w:val="NormalHeadings"/>
              <w:jc w:val="left"/>
              <w:rPr>
                <w:caps/>
                <w:szCs w:val="24"/>
              </w:rPr>
            </w:pPr>
            <w:r>
              <w:rPr>
                <w:caps/>
                <w:szCs w:val="24"/>
              </w:rPr>
              <w:t>29</w:t>
            </w:r>
            <w:r w:rsidR="00C31707">
              <w:rPr>
                <w:caps/>
                <w:szCs w:val="24"/>
              </w:rPr>
              <w:t xml:space="preserve"> June 2022</w:t>
            </w:r>
          </w:p>
        </w:tc>
      </w:tr>
    </w:tbl>
    <w:p w14:paraId="07E46F3E" w14:textId="77777777" w:rsidR="00395B24" w:rsidRDefault="00395B24">
      <w:pPr>
        <w:pStyle w:val="NormalHeadings"/>
        <w:rPr>
          <w:b w:val="0"/>
        </w:rPr>
      </w:pPr>
    </w:p>
    <w:p w14:paraId="618C453C" w14:textId="77777777" w:rsidR="008D1617" w:rsidRDefault="008D1617">
      <w:pPr>
        <w:pStyle w:val="NormalHeadings"/>
        <w:rPr>
          <w:b w:val="0"/>
        </w:rPr>
      </w:pPr>
    </w:p>
    <w:p w14:paraId="5D48F2F9" w14:textId="77777777" w:rsidR="00395B24" w:rsidRDefault="002C7385">
      <w:pPr>
        <w:pStyle w:val="NormalHeadings"/>
      </w:pPr>
      <w:r>
        <w:t>THE COURT ORDERS THAT:</w:t>
      </w:r>
    </w:p>
    <w:p w14:paraId="529E350A" w14:textId="77777777" w:rsidR="007F60DF" w:rsidRDefault="007F60DF" w:rsidP="00243E5E">
      <w:pPr>
        <w:pStyle w:val="NormalHeadings"/>
      </w:pPr>
    </w:p>
    <w:p w14:paraId="3D8D3378" w14:textId="513EE99C" w:rsidR="001F094F" w:rsidRDefault="001F094F" w:rsidP="001F094F">
      <w:pPr>
        <w:pStyle w:val="Order1"/>
      </w:pPr>
      <w:r>
        <w:t xml:space="preserve">The </w:t>
      </w:r>
      <w:r w:rsidR="00036A9A">
        <w:t xml:space="preserve">applicant’s </w:t>
      </w:r>
      <w:r>
        <w:t xml:space="preserve">appeal </w:t>
      </w:r>
      <w:r w:rsidR="00036A9A">
        <w:t xml:space="preserve">against the appealable objection decision made by the respondent on 17 January 2020 </w:t>
      </w:r>
      <w:r>
        <w:t>be dismissed.</w:t>
      </w:r>
    </w:p>
    <w:p w14:paraId="6D2D4F22" w14:textId="5AD11E97" w:rsidR="001F094F" w:rsidRDefault="001F094F" w:rsidP="001F094F">
      <w:pPr>
        <w:pStyle w:val="Order1"/>
      </w:pPr>
      <w:r>
        <w:t>The applicant pay the respondent’s costs.</w:t>
      </w:r>
    </w:p>
    <w:p w14:paraId="5F07E9B1" w14:textId="3A463529" w:rsidR="00A431E6" w:rsidRDefault="00A431E6" w:rsidP="001A6C52">
      <w:pPr>
        <w:pStyle w:val="BodyText"/>
      </w:pPr>
    </w:p>
    <w:p w14:paraId="32723EFC" w14:textId="77777777" w:rsidR="004E7799" w:rsidRDefault="004E7799" w:rsidP="001A6C52">
      <w:pPr>
        <w:pStyle w:val="BodyText"/>
      </w:pPr>
    </w:p>
    <w:p w14:paraId="4D9D18FF" w14:textId="77777777" w:rsidR="0050309C" w:rsidRDefault="00587C45" w:rsidP="004D53E5">
      <w:pPr>
        <w:pStyle w:val="SingleSpace"/>
      </w:pPr>
      <w:bookmarkStart w:id="18" w:name="OrdersStatement"/>
      <w:r>
        <w:t>Note:</w:t>
      </w:r>
      <w:r>
        <w:tab/>
        <w:t xml:space="preserve">Entry of orders is dealt with in Rule 39.32 of the </w:t>
      </w:r>
      <w:r>
        <w:rPr>
          <w:i/>
        </w:rPr>
        <w:t>Federal Court Rules 2011</w:t>
      </w:r>
      <w:r>
        <w:t>.</w:t>
      </w:r>
      <w:bookmarkEnd w:id="18"/>
    </w:p>
    <w:p w14:paraId="1ED4C57B" w14:textId="77777777" w:rsidR="00E23577" w:rsidRDefault="00E23577" w:rsidP="002B0E91">
      <w:pPr>
        <w:pStyle w:val="BodyText"/>
      </w:pPr>
    </w:p>
    <w:p w14:paraId="63A8C72A" w14:textId="77777777" w:rsidR="00395B24" w:rsidRDefault="00395B24">
      <w:pPr>
        <w:pStyle w:val="NormalHeadings"/>
        <w:spacing w:before="240" w:after="120"/>
        <w:rPr>
          <w:b w:val="0"/>
        </w:rPr>
        <w:sectPr w:rsidR="00395B24" w:rsidSect="0092590B">
          <w:headerReference w:type="default" r:id="rId10"/>
          <w:footerReference w:type="default" r:id="rId11"/>
          <w:headerReference w:type="first" r:id="rId12"/>
          <w:footerReference w:type="first" r:id="rId13"/>
          <w:endnotePr>
            <w:numFmt w:val="decimal"/>
          </w:endnotePr>
          <w:pgSz w:w="11907" w:h="16840" w:code="9"/>
          <w:pgMar w:top="1440" w:right="1440" w:bottom="1440" w:left="1440" w:header="851" w:footer="851" w:gutter="0"/>
          <w:pgNumType w:fmt="lowerRoman" w:start="1"/>
          <w:cols w:space="720"/>
          <w:noEndnote/>
          <w:titlePg/>
        </w:sectPr>
      </w:pPr>
    </w:p>
    <w:p w14:paraId="5CED7B09" w14:textId="77777777" w:rsidR="00484F6D" w:rsidRPr="00045BB7" w:rsidRDefault="00484F6D" w:rsidP="00045BB7">
      <w:pPr>
        <w:pStyle w:val="NormalHeadings"/>
        <w:spacing w:line="480" w:lineRule="auto"/>
        <w:jc w:val="center"/>
        <w:rPr>
          <w:sz w:val="28"/>
          <w:szCs w:val="28"/>
        </w:rPr>
      </w:pPr>
      <w:bookmarkStart w:id="19" w:name="ReasonsPage"/>
      <w:bookmarkEnd w:id="19"/>
      <w:r w:rsidRPr="00045BB7">
        <w:rPr>
          <w:sz w:val="28"/>
          <w:szCs w:val="28"/>
        </w:rPr>
        <w:lastRenderedPageBreak/>
        <w:t>REASONS FOR JUDGMENT</w:t>
      </w:r>
    </w:p>
    <w:p w14:paraId="1D95EDE0" w14:textId="77777777" w:rsidR="00694BEB" w:rsidRDefault="00587C45" w:rsidP="005E0510">
      <w:pPr>
        <w:pStyle w:val="NormalHeadings"/>
        <w:spacing w:line="360" w:lineRule="auto"/>
        <w:jc w:val="left"/>
        <w:rPr>
          <w:sz w:val="26"/>
          <w:szCs w:val="26"/>
        </w:rPr>
      </w:pPr>
      <w:r>
        <w:rPr>
          <w:sz w:val="26"/>
          <w:szCs w:val="26"/>
        </w:rPr>
        <w:t>WIGNEY J:</w:t>
      </w:r>
    </w:p>
    <w:p w14:paraId="1BD3698B" w14:textId="17F538DD" w:rsidR="00A0137B" w:rsidRDefault="00097397" w:rsidP="00CD1346">
      <w:pPr>
        <w:pStyle w:val="ParaNumbering"/>
      </w:pPr>
      <w:r w:rsidRPr="007F5A38">
        <w:rPr>
          <w:b/>
        </w:rPr>
        <w:t>JMC</w:t>
      </w:r>
      <w:r>
        <w:t xml:space="preserve"> Pty Limited </w:t>
      </w:r>
      <w:r w:rsidR="007F5A38">
        <w:t xml:space="preserve">provides higher education programmes within the creative industries sector.  It has campuses in Sydney, Melbourne and Brisbane.  </w:t>
      </w:r>
      <w:r w:rsidR="00070E88">
        <w:t xml:space="preserve">One of the degrees it offered to </w:t>
      </w:r>
      <w:r w:rsidR="004A0276">
        <w:t xml:space="preserve">its </w:t>
      </w:r>
      <w:r w:rsidR="00070E88">
        <w:t xml:space="preserve">students was a Bachelor of Creative </w:t>
      </w:r>
      <w:r w:rsidR="004A0276">
        <w:t>Technologies</w:t>
      </w:r>
      <w:r w:rsidR="00CF779A">
        <w:t xml:space="preserve"> </w:t>
      </w:r>
      <w:r w:rsidR="00070E88">
        <w:t>(Audio Engineering and Sound Production).</w:t>
      </w:r>
      <w:r w:rsidR="00DF0BBD">
        <w:t xml:space="preserve">  </w:t>
      </w:r>
      <w:r w:rsidR="00852E1D">
        <w:t>Mr</w:t>
      </w:r>
      <w:r w:rsidR="00D93DE6">
        <w:t> </w:t>
      </w:r>
      <w:proofErr w:type="spellStart"/>
      <w:r w:rsidR="00852E1D">
        <w:t>Nichollas</w:t>
      </w:r>
      <w:proofErr w:type="spellEnd"/>
      <w:r w:rsidR="00852E1D">
        <w:t xml:space="preserve"> </w:t>
      </w:r>
      <w:r w:rsidR="00852E1D" w:rsidRPr="00852E1D">
        <w:rPr>
          <w:b/>
        </w:rPr>
        <w:t>Harrison</w:t>
      </w:r>
      <w:r w:rsidR="00852E1D">
        <w:t xml:space="preserve"> </w:t>
      </w:r>
      <w:r w:rsidR="005E0B86">
        <w:t xml:space="preserve">is a qualified sound engineer or technician.  </w:t>
      </w:r>
      <w:r w:rsidR="00DF0BBD">
        <w:t>During the periods from 1 April 2013 to 30 June 2016 and 1 July 2017 to 31 March 2018</w:t>
      </w:r>
      <w:r w:rsidR="008070B6">
        <w:t xml:space="preserve"> (the </w:t>
      </w:r>
      <w:r w:rsidR="008070B6" w:rsidRPr="008070B6">
        <w:rPr>
          <w:b/>
        </w:rPr>
        <w:t>relevant period</w:t>
      </w:r>
      <w:r w:rsidR="005C3F67">
        <w:rPr>
          <w:b/>
        </w:rPr>
        <w:t>s</w:t>
      </w:r>
      <w:r w:rsidR="008070B6">
        <w:t>)</w:t>
      </w:r>
      <w:r w:rsidR="00DF0BBD">
        <w:t>,</w:t>
      </w:r>
      <w:r w:rsidR="005E0B86">
        <w:t xml:space="preserve"> JMC engaged Mr Harrison to </w:t>
      </w:r>
      <w:r w:rsidR="00CD7E3C">
        <w:t xml:space="preserve">provide </w:t>
      </w:r>
      <w:r w:rsidR="008070B6">
        <w:t>it with “</w:t>
      </w:r>
      <w:r w:rsidR="00945743">
        <w:t>teaching services</w:t>
      </w:r>
      <w:r w:rsidR="008070B6">
        <w:t>”</w:t>
      </w:r>
      <w:r w:rsidR="00CD7E3C">
        <w:t>.</w:t>
      </w:r>
      <w:r w:rsidR="00945743">
        <w:t xml:space="preserve">  Those teaching services comprised delivering lectures</w:t>
      </w:r>
      <w:r w:rsidR="00F37BAD">
        <w:t xml:space="preserve"> </w:t>
      </w:r>
      <w:r w:rsidR="008070B6">
        <w:t xml:space="preserve">to JMC’s students at its Melbourne campus </w:t>
      </w:r>
      <w:r w:rsidR="00F37BAD">
        <w:t xml:space="preserve">and marking </w:t>
      </w:r>
      <w:r w:rsidR="008070B6">
        <w:t xml:space="preserve">student </w:t>
      </w:r>
      <w:r w:rsidR="00F37BAD">
        <w:t>examination</w:t>
      </w:r>
      <w:r w:rsidR="008070B6">
        <w:t>s or</w:t>
      </w:r>
      <w:r w:rsidR="00F37BAD">
        <w:t xml:space="preserve"> assignments.</w:t>
      </w:r>
    </w:p>
    <w:p w14:paraId="52B11047" w14:textId="77777777" w:rsidR="00036C08" w:rsidRDefault="00F37BAD" w:rsidP="00082AEB">
      <w:pPr>
        <w:pStyle w:val="ParaNumbering"/>
      </w:pPr>
      <w:r>
        <w:t xml:space="preserve">The terms and conditions upon which </w:t>
      </w:r>
      <w:r w:rsidR="00A0137B">
        <w:t xml:space="preserve">Mr Harrison was engaged to provide </w:t>
      </w:r>
      <w:r>
        <w:t xml:space="preserve">teaching </w:t>
      </w:r>
      <w:r w:rsidR="003F1C6B">
        <w:t>services were recorded in writing</w:t>
      </w:r>
      <w:r w:rsidR="00726743">
        <w:t>.</w:t>
      </w:r>
      <w:r w:rsidR="00EC2980">
        <w:t xml:space="preserve">  The terms and condition</w:t>
      </w:r>
      <w:r w:rsidR="007B506B">
        <w:t xml:space="preserve">s included </w:t>
      </w:r>
      <w:r w:rsidR="00EC2980">
        <w:t xml:space="preserve">that </w:t>
      </w:r>
      <w:r w:rsidR="007B506B">
        <w:t xml:space="preserve">JMC would pay </w:t>
      </w:r>
      <w:r w:rsidR="00EC2980">
        <w:t>Mr</w:t>
      </w:r>
      <w:r w:rsidR="006318C9">
        <w:t> </w:t>
      </w:r>
      <w:r w:rsidR="00EC2980">
        <w:t>Harrison a</w:t>
      </w:r>
      <w:r w:rsidR="00D51357">
        <w:t>n</w:t>
      </w:r>
      <w:r w:rsidR="00EC2980">
        <w:t xml:space="preserve"> hourly rate for </w:t>
      </w:r>
      <w:r w:rsidR="008070B6">
        <w:t>delivering</w:t>
      </w:r>
      <w:r w:rsidR="00EC2980">
        <w:t xml:space="preserve"> lectures and marking </w:t>
      </w:r>
      <w:r w:rsidR="008070B6">
        <w:t>examinations</w:t>
      </w:r>
      <w:r w:rsidR="007B506B">
        <w:t xml:space="preserve">.  Mr Harrison was required to </w:t>
      </w:r>
      <w:r w:rsidR="00EC2980">
        <w:t>submit invoices</w:t>
      </w:r>
      <w:r w:rsidR="003D304C">
        <w:t xml:space="preserve"> </w:t>
      </w:r>
      <w:r w:rsidR="0003082E">
        <w:t xml:space="preserve">to JMC </w:t>
      </w:r>
      <w:r w:rsidR="003D304C">
        <w:t>which specified the particulars of the teaching services</w:t>
      </w:r>
      <w:r w:rsidR="00036C08">
        <w:t xml:space="preserve"> he had provided</w:t>
      </w:r>
      <w:r w:rsidR="00B17D3F">
        <w:t xml:space="preserve">.  Those invoices were </w:t>
      </w:r>
      <w:r w:rsidR="00036C08">
        <w:t xml:space="preserve">required </w:t>
      </w:r>
      <w:r w:rsidR="00B17D3F">
        <w:t>to be</w:t>
      </w:r>
      <w:r w:rsidR="00D51357">
        <w:t xml:space="preserve"> </w:t>
      </w:r>
      <w:r w:rsidR="003D304C">
        <w:t>accompanied by time sheets and signed weekly “lesson plans”.</w:t>
      </w:r>
      <w:r w:rsidR="00082AEB">
        <w:t xml:space="preserve">  </w:t>
      </w:r>
      <w:r w:rsidR="00EF2128">
        <w:t>The terms</w:t>
      </w:r>
      <w:r w:rsidR="00D51357">
        <w:t xml:space="preserve"> and conditions</w:t>
      </w:r>
      <w:r w:rsidR="00EF2128">
        <w:t xml:space="preserve"> </w:t>
      </w:r>
      <w:r w:rsidR="00036C08">
        <w:t xml:space="preserve">of Mr Harrison’s engagement </w:t>
      </w:r>
      <w:r w:rsidR="00EF2128">
        <w:t xml:space="preserve">also gave JMC, through its managing academic officer, a degree of oversight and control </w:t>
      </w:r>
      <w:r w:rsidR="007957B7">
        <w:t xml:space="preserve">over </w:t>
      </w:r>
      <w:r w:rsidR="00082AEB" w:rsidRPr="00082AEB">
        <w:t>Mr Harrison</w:t>
      </w:r>
      <w:r w:rsidR="007957B7">
        <w:t>, including when,</w:t>
      </w:r>
      <w:r w:rsidR="00EF2128">
        <w:t xml:space="preserve"> </w:t>
      </w:r>
      <w:r w:rsidR="007957B7">
        <w:t xml:space="preserve">how and where he </w:t>
      </w:r>
      <w:r w:rsidR="00E10A30">
        <w:t xml:space="preserve">was to </w:t>
      </w:r>
      <w:r w:rsidR="00EF2128">
        <w:t xml:space="preserve">provide the services.  </w:t>
      </w:r>
    </w:p>
    <w:p w14:paraId="1884B1B2" w14:textId="3D63F11E" w:rsidR="00A67D10" w:rsidRDefault="00EF2128" w:rsidP="00082AEB">
      <w:pPr>
        <w:pStyle w:val="ParaNumbering"/>
      </w:pPr>
      <w:r>
        <w:t>Mr Harrison</w:t>
      </w:r>
      <w:r w:rsidR="00082AEB" w:rsidRPr="00082AEB">
        <w:t xml:space="preserve"> </w:t>
      </w:r>
      <w:r w:rsidR="007957B7">
        <w:t xml:space="preserve">provided the services to JMC and </w:t>
      </w:r>
      <w:r w:rsidR="00082AEB" w:rsidRPr="00082AEB">
        <w:t xml:space="preserve">submitted invoices </w:t>
      </w:r>
      <w:r w:rsidR="00082AEB">
        <w:t xml:space="preserve">throughout the </w:t>
      </w:r>
      <w:r w:rsidR="00A67D10">
        <w:t xml:space="preserve">relevant </w:t>
      </w:r>
      <w:r w:rsidR="00082AEB">
        <w:t>period</w:t>
      </w:r>
      <w:r w:rsidR="005C3F67">
        <w:t>s</w:t>
      </w:r>
      <w:r w:rsidR="00E269C3">
        <w:t xml:space="preserve">.  </w:t>
      </w:r>
      <w:r w:rsidR="00082AEB">
        <w:t xml:space="preserve">JMC </w:t>
      </w:r>
      <w:r>
        <w:t xml:space="preserve">duly </w:t>
      </w:r>
      <w:r w:rsidR="00082AEB">
        <w:t xml:space="preserve">paid Mr Harrison in accordance with those invoices.  </w:t>
      </w:r>
      <w:r w:rsidR="009133CD">
        <w:t xml:space="preserve">JMC did not, however, make any superannuation contributions in respect of Mr Harrison.  </w:t>
      </w:r>
      <w:r w:rsidR="00CD150E">
        <w:t>That was no doubt</w:t>
      </w:r>
      <w:r w:rsidR="00E9323A">
        <w:t>ed</w:t>
      </w:r>
      <w:r w:rsidR="004A0276">
        <w:t xml:space="preserve"> because JMC considered that Mr </w:t>
      </w:r>
      <w:r w:rsidR="00CD150E">
        <w:t>Harrison provided the teaching services to it as a</w:t>
      </w:r>
      <w:r w:rsidR="00A67D10">
        <w:t>n independent</w:t>
      </w:r>
      <w:r w:rsidR="00CD150E">
        <w:t xml:space="preserve"> contractor, not an employee.  </w:t>
      </w:r>
    </w:p>
    <w:p w14:paraId="35A1B5FB" w14:textId="77777777" w:rsidR="00CD150E" w:rsidRDefault="00CD150E" w:rsidP="00082AEB">
      <w:pPr>
        <w:pStyle w:val="ParaNumbering"/>
      </w:pPr>
      <w:r>
        <w:t xml:space="preserve">The </w:t>
      </w:r>
      <w:r w:rsidRPr="001F27AB">
        <w:rPr>
          <w:b/>
        </w:rPr>
        <w:t>Commission</w:t>
      </w:r>
      <w:r w:rsidR="001F27AB" w:rsidRPr="001F27AB">
        <w:rPr>
          <w:b/>
        </w:rPr>
        <w:t>er</w:t>
      </w:r>
      <w:r>
        <w:t xml:space="preserve"> of Taxation, however, considered otherwise.</w:t>
      </w:r>
    </w:p>
    <w:p w14:paraId="17CF407E" w14:textId="6DE8B548" w:rsidR="00A96F36" w:rsidRDefault="001F27AB" w:rsidP="00082AEB">
      <w:pPr>
        <w:pStyle w:val="ParaNumbering"/>
      </w:pPr>
      <w:r>
        <w:t xml:space="preserve">On 25 March 2019, the Commissioner issued </w:t>
      </w:r>
      <w:r w:rsidR="00EF2128">
        <w:t xml:space="preserve">to JMC </w:t>
      </w:r>
      <w:r>
        <w:t>notices of assessment of superannuation guarantee charge</w:t>
      </w:r>
      <w:r w:rsidR="00EF2128">
        <w:t>s</w:t>
      </w:r>
      <w:r>
        <w:t xml:space="preserve"> </w:t>
      </w:r>
      <w:r w:rsidR="00EF2128">
        <w:t>in respect of Mr Harrison</w:t>
      </w:r>
      <w:r w:rsidR="005C3F67">
        <w:t xml:space="preserve">’s engagement during the relevant </w:t>
      </w:r>
      <w:r>
        <w:t>periods</w:t>
      </w:r>
      <w:r w:rsidR="00916920">
        <w:t>.  Th</w:t>
      </w:r>
      <w:r>
        <w:t>e assessments totalled $17,369.63, including interest and administration component</w:t>
      </w:r>
      <w:r w:rsidR="00D51357">
        <w:t>s</w:t>
      </w:r>
      <w:r>
        <w:t xml:space="preserve">. </w:t>
      </w:r>
      <w:r w:rsidR="009C1A8E">
        <w:t xml:space="preserve"> </w:t>
      </w:r>
      <w:r w:rsidR="00126F93">
        <w:t>The assessments were premis</w:t>
      </w:r>
      <w:r w:rsidR="009E54D9">
        <w:t>ed on the Commissioner having found</w:t>
      </w:r>
      <w:r w:rsidR="00126F93">
        <w:t xml:space="preserve"> </w:t>
      </w:r>
      <w:r w:rsidR="00FA3651">
        <w:t>that Mr</w:t>
      </w:r>
      <w:r w:rsidR="00126F93">
        <w:t xml:space="preserve"> </w:t>
      </w:r>
      <w:r w:rsidR="00FA3651">
        <w:t>Harrison</w:t>
      </w:r>
      <w:r w:rsidR="00126F93">
        <w:t xml:space="preserve"> was JMC’s employee </w:t>
      </w:r>
      <w:r w:rsidR="00FA6113">
        <w:t xml:space="preserve">for the purposes of the </w:t>
      </w:r>
      <w:r w:rsidR="00FA6113" w:rsidRPr="008E76DF">
        <w:rPr>
          <w:i/>
        </w:rPr>
        <w:t xml:space="preserve">Superannuation Guarantee (Administration) Act </w:t>
      </w:r>
      <w:r w:rsidR="003800C5" w:rsidRPr="008E76DF">
        <w:rPr>
          <w:i/>
        </w:rPr>
        <w:t>1992</w:t>
      </w:r>
      <w:r w:rsidR="003800C5" w:rsidRPr="008E76DF">
        <w:t xml:space="preserve"> (</w:t>
      </w:r>
      <w:proofErr w:type="spellStart"/>
      <w:r w:rsidR="003800C5" w:rsidRPr="008E76DF">
        <w:t>Cth</w:t>
      </w:r>
      <w:proofErr w:type="spellEnd"/>
      <w:r w:rsidR="003800C5" w:rsidRPr="008E76DF">
        <w:t xml:space="preserve">) </w:t>
      </w:r>
      <w:r w:rsidR="003800C5">
        <w:t>(</w:t>
      </w:r>
      <w:r w:rsidR="003800C5" w:rsidRPr="003800C5">
        <w:rPr>
          <w:b/>
        </w:rPr>
        <w:t>SGA Act</w:t>
      </w:r>
      <w:r w:rsidR="003800C5">
        <w:t>)</w:t>
      </w:r>
      <w:r w:rsidR="005C3F67">
        <w:t>,</w:t>
      </w:r>
      <w:r w:rsidR="003800C5">
        <w:t xml:space="preserve"> </w:t>
      </w:r>
      <w:r w:rsidR="00FA3651">
        <w:t xml:space="preserve">either </w:t>
      </w:r>
      <w:r w:rsidR="005C3F67">
        <w:t xml:space="preserve">because he fell </w:t>
      </w:r>
      <w:r w:rsidR="00FA3651">
        <w:t>within the “ordinary meaning”</w:t>
      </w:r>
      <w:r w:rsidR="003800C5">
        <w:t xml:space="preserve"> of the</w:t>
      </w:r>
      <w:r w:rsidR="00FA3651">
        <w:t xml:space="preserve"> term</w:t>
      </w:r>
      <w:r w:rsidR="003800C5">
        <w:t xml:space="preserve"> “employee” </w:t>
      </w:r>
      <w:r w:rsidR="003800C5">
        <w:lastRenderedPageBreak/>
        <w:t>(</w:t>
      </w:r>
      <w:r w:rsidR="003800C5" w:rsidRPr="008E76DF">
        <w:t>s</w:t>
      </w:r>
      <w:r w:rsidR="00FD3D4F" w:rsidRPr="008E76DF">
        <w:t> </w:t>
      </w:r>
      <w:r w:rsidR="003800C5" w:rsidRPr="008E76DF">
        <w:t>12(1) of the SG</w:t>
      </w:r>
      <w:r w:rsidR="00D51357" w:rsidRPr="008E76DF">
        <w:t>A</w:t>
      </w:r>
      <w:r w:rsidR="003800C5" w:rsidRPr="008E76DF">
        <w:t xml:space="preserve"> Act</w:t>
      </w:r>
      <w:r w:rsidR="003800C5">
        <w:t>)</w:t>
      </w:r>
      <w:r w:rsidR="00FA3651">
        <w:t xml:space="preserve">, or because he worked </w:t>
      </w:r>
      <w:r w:rsidR="00FA6113">
        <w:t>under contracts that were “wholly or principally” for his “labour”</w:t>
      </w:r>
      <w:r w:rsidR="005C3F67">
        <w:t xml:space="preserve"> and therefore fell within the “extended” meaning of employee in</w:t>
      </w:r>
      <w:r w:rsidR="003800C5">
        <w:t xml:space="preserve"> </w:t>
      </w:r>
      <w:r w:rsidR="003800C5" w:rsidRPr="008E76DF">
        <w:t>s 12(3) of the SGA Act</w:t>
      </w:r>
      <w:r w:rsidR="003800C5">
        <w:t xml:space="preserve">.  </w:t>
      </w:r>
    </w:p>
    <w:p w14:paraId="04E9E13E" w14:textId="10B2FBA6" w:rsidR="008A5553" w:rsidRDefault="009C1A8E" w:rsidP="00082AEB">
      <w:pPr>
        <w:pStyle w:val="ParaNumbering"/>
      </w:pPr>
      <w:r>
        <w:t>On 22 May 2019, JMC lodged an objectio</w:t>
      </w:r>
      <w:r w:rsidR="009E54D9">
        <w:t>n against th</w:t>
      </w:r>
      <w:r w:rsidR="0061391B">
        <w:t xml:space="preserve">e </w:t>
      </w:r>
      <w:r w:rsidR="009E54D9">
        <w:t xml:space="preserve">Commissioner’s </w:t>
      </w:r>
      <w:r w:rsidR="0061391B">
        <w:t>assessments.  On</w:t>
      </w:r>
      <w:r>
        <w:t xml:space="preserve"> 17 January 2020, the Commissioner disallowed JMC’s objection.</w:t>
      </w:r>
      <w:r w:rsidR="008A5553">
        <w:t xml:space="preserve">  JMC appealed to this Court against the Commissioner’s objection decision</w:t>
      </w:r>
      <w:r w:rsidR="00A96F36">
        <w:t>:</w:t>
      </w:r>
      <w:r w:rsidR="00A96F36" w:rsidRPr="008E76DF">
        <w:t xml:space="preserve"> s </w:t>
      </w:r>
      <w:proofErr w:type="gramStart"/>
      <w:r w:rsidR="00A96F36" w:rsidRPr="008E76DF">
        <w:t>14ZZ(</w:t>
      </w:r>
      <w:proofErr w:type="gramEnd"/>
      <w:r w:rsidR="00A96F36" w:rsidRPr="008E76DF">
        <w:t xml:space="preserve">1) of the </w:t>
      </w:r>
      <w:r w:rsidR="00A96F36" w:rsidRPr="008E76DF">
        <w:rPr>
          <w:i/>
        </w:rPr>
        <w:t>Taxation Administration Act 1953</w:t>
      </w:r>
      <w:r w:rsidR="00A96F36" w:rsidRPr="008E76DF">
        <w:t xml:space="preserve"> (</w:t>
      </w:r>
      <w:proofErr w:type="spellStart"/>
      <w:r w:rsidR="00A96F36" w:rsidRPr="008E76DF">
        <w:t>Cth</w:t>
      </w:r>
      <w:proofErr w:type="spellEnd"/>
      <w:r w:rsidR="00A96F36" w:rsidRPr="008E76DF">
        <w:t>)</w:t>
      </w:r>
      <w:r w:rsidR="00A96F36">
        <w:t xml:space="preserve"> (</w:t>
      </w:r>
      <w:r w:rsidR="00A96F36" w:rsidRPr="00A96F36">
        <w:rPr>
          <w:b/>
        </w:rPr>
        <w:t>TA Act</w:t>
      </w:r>
      <w:r w:rsidR="00A96F36">
        <w:t>).</w:t>
      </w:r>
      <w:r w:rsidR="006F55D0">
        <w:t xml:space="preserve">  JMC claimed that the objection decision should be varied by allowing</w:t>
      </w:r>
      <w:r w:rsidR="001C2D94">
        <w:t>,</w:t>
      </w:r>
      <w:r w:rsidR="006F55D0">
        <w:t xml:space="preserve"> in full, its objection against the assessments.</w:t>
      </w:r>
      <w:r w:rsidR="00A96F36">
        <w:t xml:space="preserve"> </w:t>
      </w:r>
    </w:p>
    <w:p w14:paraId="1B72B53B" w14:textId="2D0330E6" w:rsidR="006935C3" w:rsidRDefault="00940F56" w:rsidP="00E74082">
      <w:pPr>
        <w:pStyle w:val="ParaNumbering"/>
      </w:pPr>
      <w:r>
        <w:t xml:space="preserve">The ultimate question for determination </w:t>
      </w:r>
      <w:r w:rsidR="001C2D94">
        <w:t xml:space="preserve">in this proceeding </w:t>
      </w:r>
      <w:r>
        <w:t xml:space="preserve">is whether JMC discharged its burden of proving that the assessments were excessive or otherwise incorrect: </w:t>
      </w:r>
      <w:r w:rsidRPr="008E76DF">
        <w:t xml:space="preserve">s </w:t>
      </w:r>
      <w:proofErr w:type="gramStart"/>
      <w:r w:rsidRPr="008E76DF">
        <w:t>14ZZO</w:t>
      </w:r>
      <w:r w:rsidR="00E74082" w:rsidRPr="008E76DF">
        <w:t>(</w:t>
      </w:r>
      <w:proofErr w:type="gramEnd"/>
      <w:r w:rsidR="00E74082" w:rsidRPr="008E76DF">
        <w:t>b)(</w:t>
      </w:r>
      <w:proofErr w:type="spellStart"/>
      <w:r w:rsidR="00E74082" w:rsidRPr="008E76DF">
        <w:t>i</w:t>
      </w:r>
      <w:proofErr w:type="spellEnd"/>
      <w:r w:rsidR="00E74082" w:rsidRPr="008E76DF">
        <w:t>) of the TA Act.</w:t>
      </w:r>
      <w:r w:rsidR="00E74082">
        <w:t xml:space="preserve">  Th</w:t>
      </w:r>
      <w:r w:rsidR="00C10638">
        <w:t>e answer to th</w:t>
      </w:r>
      <w:r w:rsidR="00E74082">
        <w:t>at question hinge</w:t>
      </w:r>
      <w:r w:rsidR="005D1A46">
        <w:t>d</w:t>
      </w:r>
      <w:r w:rsidR="00E74082">
        <w:t xml:space="preserve"> on whether JMC </w:t>
      </w:r>
      <w:r w:rsidR="00C10638">
        <w:t xml:space="preserve">was able to </w:t>
      </w:r>
      <w:r w:rsidR="00E74082">
        <w:t xml:space="preserve">demonstrate that Mr Harrison was </w:t>
      </w:r>
      <w:r w:rsidR="00726B50">
        <w:t xml:space="preserve">not </w:t>
      </w:r>
      <w:r w:rsidR="006935C3">
        <w:t xml:space="preserve">its </w:t>
      </w:r>
      <w:r w:rsidR="00E74082">
        <w:t>employee</w:t>
      </w:r>
      <w:r w:rsidR="00726B50">
        <w:t xml:space="preserve"> for the purposes of the SGA Act</w:t>
      </w:r>
      <w:r w:rsidR="00C262E8">
        <w:t xml:space="preserve">.  That required JMC to demonstrate that Mr Harrison was not an employee having regard to </w:t>
      </w:r>
      <w:proofErr w:type="gramStart"/>
      <w:r w:rsidR="00C262E8">
        <w:t xml:space="preserve">both the </w:t>
      </w:r>
      <w:r w:rsidR="00B23971">
        <w:t>ordinary or</w:t>
      </w:r>
      <w:proofErr w:type="gramEnd"/>
      <w:r w:rsidR="00B23971">
        <w:t xml:space="preserve"> </w:t>
      </w:r>
      <w:r w:rsidR="00726B50">
        <w:t xml:space="preserve">common law </w:t>
      </w:r>
      <w:r w:rsidR="00B23971">
        <w:t xml:space="preserve">meaning of </w:t>
      </w:r>
      <w:r w:rsidR="005D1A46">
        <w:t>“</w:t>
      </w:r>
      <w:r w:rsidR="00B23971">
        <w:t>employee</w:t>
      </w:r>
      <w:r w:rsidR="00C262E8">
        <w:t>” and</w:t>
      </w:r>
      <w:r w:rsidR="00B23971">
        <w:t xml:space="preserve"> </w:t>
      </w:r>
      <w:r w:rsidR="00224E22">
        <w:t xml:space="preserve">the extended meaning of </w:t>
      </w:r>
      <w:r w:rsidR="00D51357">
        <w:t>“</w:t>
      </w:r>
      <w:r w:rsidR="00224E22">
        <w:t>employee</w:t>
      </w:r>
      <w:r w:rsidR="00D51357">
        <w:t>”</w:t>
      </w:r>
      <w:r w:rsidR="00224E22">
        <w:t xml:space="preserve"> in s 12(3) of the SGA Act</w:t>
      </w:r>
      <w:r w:rsidR="007468E7">
        <w:t>.  The question whether Mr Harrison was an employee within the extended meaning turned</w:t>
      </w:r>
      <w:r w:rsidR="005B1326">
        <w:t xml:space="preserve"> on </w:t>
      </w:r>
      <w:r w:rsidR="008F5E0A">
        <w:t xml:space="preserve">the question </w:t>
      </w:r>
      <w:r w:rsidR="00247A2C">
        <w:t xml:space="preserve">whether </w:t>
      </w:r>
      <w:r w:rsidR="008F5E0A">
        <w:t>Mr Harrison</w:t>
      </w:r>
      <w:r w:rsidR="00247A2C">
        <w:t xml:space="preserve"> worked under contracts </w:t>
      </w:r>
      <w:r w:rsidR="00603AC1">
        <w:t xml:space="preserve">with JMC </w:t>
      </w:r>
      <w:r w:rsidR="00247A2C">
        <w:t>which were principally for his labour</w:t>
      </w:r>
      <w:r w:rsidR="006935C3">
        <w:t>.</w:t>
      </w:r>
    </w:p>
    <w:p w14:paraId="7E59E8B8" w14:textId="01428D73" w:rsidR="00DB6D1D" w:rsidRDefault="00C55A15" w:rsidP="00E74082">
      <w:pPr>
        <w:pStyle w:val="ParaNumbering"/>
      </w:pPr>
      <w:r>
        <w:t>The question whether Mr</w:t>
      </w:r>
      <w:r w:rsidR="00796F4A">
        <w:t xml:space="preserve"> Harrison was an employee</w:t>
      </w:r>
      <w:r w:rsidR="00B9614B">
        <w:t xml:space="preserve"> </w:t>
      </w:r>
      <w:r w:rsidR="00796F4A">
        <w:t xml:space="preserve">having regard to common law principles is </w:t>
      </w:r>
      <w:r w:rsidR="00187DEB">
        <w:t>difficult</w:t>
      </w:r>
      <w:r w:rsidR="0093768D">
        <w:t xml:space="preserve"> and </w:t>
      </w:r>
      <w:r w:rsidR="00603AC1">
        <w:t xml:space="preserve">somewhat </w:t>
      </w:r>
      <w:r w:rsidR="0093768D">
        <w:t>finely balanced</w:t>
      </w:r>
      <w:r w:rsidR="00187DEB">
        <w:t xml:space="preserve">.  </w:t>
      </w:r>
      <w:r w:rsidR="00EC3676">
        <w:t xml:space="preserve">While </w:t>
      </w:r>
      <w:r w:rsidR="00ED3AAA">
        <w:t>there we</w:t>
      </w:r>
      <w:r w:rsidR="00EC3676">
        <w:t xml:space="preserve">re undoubtedly terms </w:t>
      </w:r>
      <w:r w:rsidR="00D51357">
        <w:t>in</w:t>
      </w:r>
      <w:r w:rsidR="00EC3676">
        <w:t xml:space="preserve"> the contracts between </w:t>
      </w:r>
      <w:r w:rsidR="009B5525">
        <w:t>Mr Harrison and JMC which tend</w:t>
      </w:r>
      <w:r w:rsidR="00EC3676">
        <w:t xml:space="preserve"> to suggest that </w:t>
      </w:r>
      <w:r w:rsidR="004F131F">
        <w:t>Mr Harrison</w:t>
      </w:r>
      <w:r w:rsidR="00EC3676">
        <w:t xml:space="preserve"> </w:t>
      </w:r>
      <w:r w:rsidR="009B5525">
        <w:t xml:space="preserve">may have </w:t>
      </w:r>
      <w:r w:rsidR="00EC3676">
        <w:t xml:space="preserve">provided teaching services to JMC as an independent contractor, </w:t>
      </w:r>
      <w:r w:rsidR="008C3C3D">
        <w:t xml:space="preserve">a </w:t>
      </w:r>
      <w:r w:rsidR="001E7F93">
        <w:t xml:space="preserve">close analysis of </w:t>
      </w:r>
      <w:r w:rsidR="00B9143E">
        <w:t xml:space="preserve">the totality of the </w:t>
      </w:r>
      <w:r w:rsidR="00C57C3D">
        <w:t xml:space="preserve">legal rights and obligations provided for in the contracts </w:t>
      </w:r>
      <w:r w:rsidR="00146A20">
        <w:t>between JMC and Mr Harrison</w:t>
      </w:r>
      <w:r w:rsidR="0098203F">
        <w:t xml:space="preserve"> </w:t>
      </w:r>
      <w:r w:rsidR="008C3C3D">
        <w:t xml:space="preserve">ultimately </w:t>
      </w:r>
      <w:r w:rsidR="0098203F">
        <w:t xml:space="preserve">supports the conclusion that the relationship was one of </w:t>
      </w:r>
      <w:r w:rsidR="00B9143E">
        <w:t>employer and employee.</w:t>
      </w:r>
      <w:r w:rsidR="00146A20">
        <w:t xml:space="preserve">  The question whether Mr Harrison fell within the extended meaning of “employee</w:t>
      </w:r>
      <w:r w:rsidR="00C31707">
        <w:t>”</w:t>
      </w:r>
      <w:r w:rsidR="00146A20">
        <w:t xml:space="preserve"> in s 12(3) of the SGA Act is </w:t>
      </w:r>
      <w:r w:rsidR="00906FFA">
        <w:t xml:space="preserve">perhaps </w:t>
      </w:r>
      <w:r w:rsidR="00146A20">
        <w:t xml:space="preserve">somewhat clearer.  </w:t>
      </w:r>
      <w:r w:rsidR="00906FFA">
        <w:t xml:space="preserve">There could be little doubt that </w:t>
      </w:r>
      <w:r w:rsidR="001A2533">
        <w:t>Mr Harrison worked under a series of contracts with JMC</w:t>
      </w:r>
      <w:r w:rsidR="008C3C3D">
        <w:t>.  A c</w:t>
      </w:r>
      <w:r w:rsidR="00906FFA">
        <w:t>lose a</w:t>
      </w:r>
      <w:r w:rsidR="006C53D5">
        <w:t>nalysis of those contracts reveals that they</w:t>
      </w:r>
      <w:r w:rsidR="001A2533">
        <w:t xml:space="preserve"> were principally for </w:t>
      </w:r>
      <w:r w:rsidR="001238CE">
        <w:t xml:space="preserve">Mr Harrison’s </w:t>
      </w:r>
      <w:r w:rsidR="001A2533">
        <w:t>labour.</w:t>
      </w:r>
    </w:p>
    <w:p w14:paraId="1A9F6AA2" w14:textId="2471BBFD" w:rsidR="00696858" w:rsidRDefault="00906FFA" w:rsidP="009B5525">
      <w:pPr>
        <w:pStyle w:val="ParaNumbering"/>
      </w:pPr>
      <w:r>
        <w:t xml:space="preserve">In the end result, </w:t>
      </w:r>
      <w:r w:rsidR="009B5525" w:rsidRPr="009B5525">
        <w:t xml:space="preserve">JMC </w:t>
      </w:r>
      <w:r w:rsidR="009B5525">
        <w:t xml:space="preserve">failed to </w:t>
      </w:r>
      <w:r w:rsidR="009B5525" w:rsidRPr="009B5525">
        <w:t xml:space="preserve">discharge its burden of proving that Mr Harrison was not its employee during the relevant periods.  </w:t>
      </w:r>
      <w:r w:rsidR="004A0276">
        <w:t>The balance of these reasons for</w:t>
      </w:r>
      <w:r w:rsidR="00DB6D1D">
        <w:t xml:space="preserve"> judg</w:t>
      </w:r>
      <w:r w:rsidR="009B5525">
        <w:t>ment explains the basis of that finding</w:t>
      </w:r>
      <w:r w:rsidR="00DB6D1D">
        <w:t xml:space="preserve">. </w:t>
      </w:r>
      <w:r w:rsidR="001A2533">
        <w:t xml:space="preserve"> </w:t>
      </w:r>
      <w:r w:rsidR="00B9143E">
        <w:t xml:space="preserve">  </w:t>
      </w:r>
      <w:r w:rsidR="00EC3676">
        <w:t xml:space="preserve">  </w:t>
      </w:r>
      <w:r w:rsidR="00B9614B">
        <w:t xml:space="preserve"> </w:t>
      </w:r>
      <w:r w:rsidR="00A04628">
        <w:t xml:space="preserve"> </w:t>
      </w:r>
      <w:r w:rsidR="00C55A15">
        <w:t xml:space="preserve"> </w:t>
      </w:r>
      <w:r w:rsidR="00696858">
        <w:t xml:space="preserve"> </w:t>
      </w:r>
    </w:p>
    <w:p w14:paraId="70CA864A" w14:textId="77777777" w:rsidR="00696858" w:rsidRDefault="00696858" w:rsidP="00696858">
      <w:pPr>
        <w:pStyle w:val="Heading1"/>
      </w:pPr>
      <w:r>
        <w:lastRenderedPageBreak/>
        <w:t>RELEVANT LAW AND PRINCIPLES</w:t>
      </w:r>
    </w:p>
    <w:p w14:paraId="248EC2FD" w14:textId="77777777" w:rsidR="00A7016B" w:rsidRDefault="00A7016B" w:rsidP="00E74082">
      <w:pPr>
        <w:pStyle w:val="ParaNumbering"/>
      </w:pPr>
      <w:r>
        <w:t>It is necessary to first consider the relevant law and principles that must be applied in determining whether Mr Harrison was an employee of JMC.</w:t>
      </w:r>
    </w:p>
    <w:p w14:paraId="13DB325D" w14:textId="77777777" w:rsidR="00A7016B" w:rsidRDefault="00A7016B" w:rsidP="00E74082">
      <w:pPr>
        <w:pStyle w:val="ParaNumbering"/>
      </w:pPr>
      <w:r>
        <w:t>Subsections 12(1) and (3) of the SGA Act provide as follows:</w:t>
      </w:r>
    </w:p>
    <w:p w14:paraId="5B27D414" w14:textId="372EFE3D" w:rsidR="00EF15FC" w:rsidRPr="008E0995" w:rsidRDefault="00681232" w:rsidP="008E0995">
      <w:pPr>
        <w:pStyle w:val="Quote1"/>
        <w:rPr>
          <w:b/>
        </w:rPr>
      </w:pPr>
      <w:r w:rsidRPr="008E0995">
        <w:rPr>
          <w:b/>
        </w:rPr>
        <w:t>12</w:t>
      </w:r>
      <w:r w:rsidR="008E0995">
        <w:rPr>
          <w:b/>
        </w:rPr>
        <w:tab/>
      </w:r>
      <w:r w:rsidR="00EF15FC" w:rsidRPr="008E0995">
        <w:rPr>
          <w:b/>
        </w:rPr>
        <w:t>Interpretation: employer, employee</w:t>
      </w:r>
    </w:p>
    <w:p w14:paraId="21FFE93F" w14:textId="3D2BD038" w:rsidR="00EF15FC" w:rsidRDefault="00681232" w:rsidP="008E0995">
      <w:pPr>
        <w:pStyle w:val="Quote1"/>
        <w:ind w:left="1440" w:hanging="703"/>
      </w:pPr>
      <w:r>
        <w:t>(1)</w:t>
      </w:r>
      <w:r w:rsidR="008E0995">
        <w:tab/>
      </w:r>
      <w:r w:rsidR="00EF15FC">
        <w:t xml:space="preserve">Subject to this section, in this Act, </w:t>
      </w:r>
      <w:r w:rsidR="00EF15FC" w:rsidRPr="004E2490">
        <w:rPr>
          <w:b/>
          <w:i/>
        </w:rPr>
        <w:t>employee</w:t>
      </w:r>
      <w:r w:rsidR="00EF15FC">
        <w:t xml:space="preserve"> and </w:t>
      </w:r>
      <w:r w:rsidR="00EF15FC" w:rsidRPr="004E2490">
        <w:rPr>
          <w:b/>
          <w:i/>
        </w:rPr>
        <w:t>employer</w:t>
      </w:r>
      <w:r w:rsidR="00EF15FC">
        <w:t xml:space="preserve"> have their ordinary meaning. However, for the purposes of this Act, subsections (2) to (11):</w:t>
      </w:r>
    </w:p>
    <w:p w14:paraId="71A3D187" w14:textId="6F8DF5E2" w:rsidR="00EF15FC" w:rsidRDefault="00681232" w:rsidP="0078013C">
      <w:pPr>
        <w:pStyle w:val="Quote2"/>
        <w:ind w:left="2160" w:hanging="720"/>
      </w:pPr>
      <w:r>
        <w:t>(a)</w:t>
      </w:r>
      <w:r w:rsidR="008E0995">
        <w:tab/>
      </w:r>
      <w:proofErr w:type="gramStart"/>
      <w:r w:rsidR="00EF15FC">
        <w:t>expand</w:t>
      </w:r>
      <w:proofErr w:type="gramEnd"/>
      <w:r w:rsidR="00EF15FC">
        <w:t xml:space="preserve"> the meaning of those terms; and</w:t>
      </w:r>
    </w:p>
    <w:p w14:paraId="34AA185D" w14:textId="144DC118" w:rsidR="00EF15FC" w:rsidRDefault="00681232" w:rsidP="0078013C">
      <w:pPr>
        <w:pStyle w:val="Quote2"/>
        <w:ind w:left="2160" w:hanging="720"/>
      </w:pPr>
      <w:r>
        <w:t>(b)</w:t>
      </w:r>
      <w:r w:rsidR="008E0995">
        <w:tab/>
      </w:r>
      <w:proofErr w:type="gramStart"/>
      <w:r w:rsidR="00EF15FC">
        <w:t>make</w:t>
      </w:r>
      <w:proofErr w:type="gramEnd"/>
      <w:r w:rsidR="00EF15FC">
        <w:t xml:space="preserve"> particular provision to avoid doubt as to the status of certain persons.</w:t>
      </w:r>
    </w:p>
    <w:p w14:paraId="7C75660C" w14:textId="3DFB1D1E" w:rsidR="00A7016B" w:rsidRDefault="00D7103C" w:rsidP="008E0995">
      <w:pPr>
        <w:pStyle w:val="Quote1"/>
      </w:pPr>
      <w:r>
        <w:t>….</w:t>
      </w:r>
    </w:p>
    <w:p w14:paraId="3ED8D864" w14:textId="1AB1C29E" w:rsidR="00EF15FC" w:rsidRDefault="00681232" w:rsidP="008E0995">
      <w:pPr>
        <w:pStyle w:val="Quote1"/>
        <w:ind w:left="1440" w:hanging="703"/>
      </w:pPr>
      <w:r>
        <w:t>(3)</w:t>
      </w:r>
      <w:r w:rsidR="008E0995">
        <w:tab/>
      </w:r>
      <w:r w:rsidR="00EF15FC" w:rsidRPr="00EF15FC">
        <w:t>If a person works under a contract that is wholly or principally for the labour of the person, the person is an employee of the other party to the contract.</w:t>
      </w:r>
    </w:p>
    <w:p w14:paraId="1FF23BE3" w14:textId="7D6D6DAA" w:rsidR="00FA0D2D" w:rsidRDefault="00FA0D2D" w:rsidP="00FA0D2D">
      <w:pPr>
        <w:pStyle w:val="ParaNumbering"/>
      </w:pPr>
      <w:r>
        <w:t xml:space="preserve">As has already been noted, the Commissioner </w:t>
      </w:r>
      <w:r w:rsidR="00FD0F7B">
        <w:t xml:space="preserve">contended that Mr Harrison </w:t>
      </w:r>
      <w:r w:rsidR="00551276">
        <w:t xml:space="preserve">was an employee of JMC having regard to </w:t>
      </w:r>
      <w:r>
        <w:t>both the ordinary and the extended meaning</w:t>
      </w:r>
      <w:r w:rsidR="0072667F">
        <w:t>s</w:t>
      </w:r>
      <w:r>
        <w:t xml:space="preserve"> of </w:t>
      </w:r>
      <w:r w:rsidR="001965D4">
        <w:t>“</w:t>
      </w:r>
      <w:r>
        <w:t>employee</w:t>
      </w:r>
      <w:r w:rsidR="001965D4">
        <w:t>”</w:t>
      </w:r>
      <w:r w:rsidR="0072667F">
        <w:t xml:space="preserve">.  It is accordingly necessary to consider the principles applicable to both the ordinary and the extended meaning of </w:t>
      </w:r>
      <w:r w:rsidR="001965D4">
        <w:t>“</w:t>
      </w:r>
      <w:r w:rsidR="0072667F">
        <w:t>employee</w:t>
      </w:r>
      <w:r w:rsidR="001965D4">
        <w:t>”</w:t>
      </w:r>
      <w:r w:rsidR="0072667F">
        <w:t>.</w:t>
      </w:r>
    </w:p>
    <w:p w14:paraId="2AF038DA" w14:textId="77777777" w:rsidR="00FA0D2D" w:rsidRDefault="00FA0D2D" w:rsidP="00FA0D2D">
      <w:pPr>
        <w:pStyle w:val="Heading2"/>
      </w:pPr>
      <w:r>
        <w:t>The ordinary meaning of “employee”</w:t>
      </w:r>
    </w:p>
    <w:p w14:paraId="5CC1BE50" w14:textId="344A08D0" w:rsidR="00B40AD2" w:rsidRDefault="00B40AD2" w:rsidP="00E74082">
      <w:pPr>
        <w:pStyle w:val="ParaNumbering"/>
      </w:pPr>
      <w:r>
        <w:t xml:space="preserve">The ordinary meaning of the terms “employee” and “employer” </w:t>
      </w:r>
      <w:r w:rsidR="008D4171">
        <w:t>f</w:t>
      </w:r>
      <w:r>
        <w:t>or the purposes of s 12(1) of the SGA Act</w:t>
      </w:r>
      <w:r w:rsidR="008D4171">
        <w:t xml:space="preserve"> is the meaning of those terms at common law</w:t>
      </w:r>
      <w:r>
        <w:t>.</w:t>
      </w:r>
    </w:p>
    <w:p w14:paraId="0FAEE8F8" w14:textId="09B97B31" w:rsidR="00ED5B6D" w:rsidRDefault="00693AF4" w:rsidP="00243E06">
      <w:pPr>
        <w:pStyle w:val="ParaNumbering"/>
      </w:pPr>
      <w:r>
        <w:t>B</w:t>
      </w:r>
      <w:r w:rsidR="008D4171">
        <w:t xml:space="preserve">oth JMC and the Commissioner </w:t>
      </w:r>
      <w:r w:rsidR="00146A21">
        <w:t xml:space="preserve">initially </w:t>
      </w:r>
      <w:r w:rsidR="008D4171">
        <w:t xml:space="preserve">proceeded on the basis that </w:t>
      </w:r>
      <w:r w:rsidR="002C2348">
        <w:t xml:space="preserve">the determination of whether one person was employed by another at common law involved a multifactorial assessment of the “totality of the relationship” </w:t>
      </w:r>
      <w:r w:rsidR="006A435B">
        <w:t>(</w:t>
      </w:r>
      <w:r w:rsidR="002C2348" w:rsidRPr="008E76DF">
        <w:rPr>
          <w:i/>
        </w:rPr>
        <w:t xml:space="preserve">Stevens v </w:t>
      </w:r>
      <w:proofErr w:type="spellStart"/>
      <w:r w:rsidR="002C2348" w:rsidRPr="008E76DF">
        <w:rPr>
          <w:b/>
          <w:i/>
        </w:rPr>
        <w:t>Brodribb</w:t>
      </w:r>
      <w:proofErr w:type="spellEnd"/>
      <w:r w:rsidR="002C2348" w:rsidRPr="008E76DF">
        <w:rPr>
          <w:i/>
        </w:rPr>
        <w:t xml:space="preserve"> </w:t>
      </w:r>
      <w:r w:rsidR="006A435B" w:rsidRPr="008E76DF">
        <w:rPr>
          <w:i/>
        </w:rPr>
        <w:t>Sawmilling Co Pty Ltd</w:t>
      </w:r>
      <w:r w:rsidR="006A435B" w:rsidRPr="008E76DF">
        <w:t xml:space="preserve"> (1986) 160 CLR 16; [1986] HCA 1 at 29</w:t>
      </w:r>
      <w:r w:rsidR="002F1E3B" w:rsidRPr="008E76DF">
        <w:t xml:space="preserve"> (Mason J)</w:t>
      </w:r>
      <w:r w:rsidR="00E26B26">
        <w:t>) and that the relationship was not to be found merely from the contractual terms, but also from the</w:t>
      </w:r>
      <w:r w:rsidR="00A7016B">
        <w:t xml:space="preserve"> </w:t>
      </w:r>
      <w:r w:rsidR="002069E8">
        <w:t xml:space="preserve">“system which was operated thereunder” and the “work practices imposed”: </w:t>
      </w:r>
      <w:r w:rsidR="002069E8" w:rsidRPr="008E76DF">
        <w:rPr>
          <w:b/>
          <w:i/>
        </w:rPr>
        <w:t>Hollis</w:t>
      </w:r>
      <w:r w:rsidR="002069E8" w:rsidRPr="008E76DF">
        <w:rPr>
          <w:i/>
        </w:rPr>
        <w:t xml:space="preserve"> v </w:t>
      </w:r>
      <w:proofErr w:type="spellStart"/>
      <w:r w:rsidR="002069E8" w:rsidRPr="008E76DF">
        <w:rPr>
          <w:i/>
        </w:rPr>
        <w:t>Vabu</w:t>
      </w:r>
      <w:proofErr w:type="spellEnd"/>
      <w:r w:rsidR="002069E8" w:rsidRPr="008E76DF">
        <w:rPr>
          <w:i/>
        </w:rPr>
        <w:t xml:space="preserve"> Pty Ltd</w:t>
      </w:r>
      <w:r w:rsidR="002069E8" w:rsidRPr="008E76DF">
        <w:t xml:space="preserve"> (2001) 207 CLR 21; [2001] HCA 44</w:t>
      </w:r>
      <w:r w:rsidR="002069E8">
        <w:t xml:space="preserve"> at [24]</w:t>
      </w:r>
      <w:r w:rsidR="002F1E3B">
        <w:t xml:space="preserve"> (Gleeson CJ, </w:t>
      </w:r>
      <w:proofErr w:type="spellStart"/>
      <w:r w:rsidR="002F1E3B">
        <w:t>Gaudron</w:t>
      </w:r>
      <w:proofErr w:type="spellEnd"/>
      <w:r w:rsidR="002F1E3B">
        <w:t xml:space="preserve">, </w:t>
      </w:r>
      <w:proofErr w:type="spellStart"/>
      <w:r w:rsidR="002F1E3B">
        <w:t>Gummow</w:t>
      </w:r>
      <w:proofErr w:type="spellEnd"/>
      <w:r w:rsidR="002F1E3B">
        <w:t>, Kirby and Hayne JJ)</w:t>
      </w:r>
      <w:r w:rsidR="00161310">
        <w:t>; see also [47]</w:t>
      </w:r>
      <w:r w:rsidR="002069E8">
        <w:t>.</w:t>
      </w:r>
      <w:r w:rsidR="00E80461">
        <w:t xml:space="preserve">  </w:t>
      </w:r>
      <w:r w:rsidR="00146A21">
        <w:t xml:space="preserve">That was perhaps understandable given the state of </w:t>
      </w:r>
      <w:r w:rsidR="006857F8">
        <w:t xml:space="preserve">the </w:t>
      </w:r>
      <w:r w:rsidR="00146A21">
        <w:t>authori</w:t>
      </w:r>
      <w:r w:rsidR="006857F8">
        <w:t>ties</w:t>
      </w:r>
      <w:r w:rsidR="00146A21">
        <w:t xml:space="preserve"> at the time.  </w:t>
      </w:r>
      <w:r w:rsidR="008875C4">
        <w:t>Numerous</w:t>
      </w:r>
      <w:r w:rsidR="00F14242">
        <w:t xml:space="preserve"> Full Court decisions had</w:t>
      </w:r>
      <w:r w:rsidR="008875C4">
        <w:t xml:space="preserve"> applied the multifactorial test: </w:t>
      </w:r>
      <w:r w:rsidR="002F1E3B">
        <w:t xml:space="preserve">see, </w:t>
      </w:r>
      <w:r w:rsidR="00705543">
        <w:t>for example</w:t>
      </w:r>
      <w:r w:rsidR="002F1E3B">
        <w:t xml:space="preserve">, </w:t>
      </w:r>
      <w:r w:rsidR="00243E06" w:rsidRPr="008E76DF">
        <w:rPr>
          <w:i/>
        </w:rPr>
        <w:t>ACT Visiting Medical Officers Association v Australian Industrial Relations Commission</w:t>
      </w:r>
      <w:r w:rsidR="00243E06" w:rsidRPr="008E76DF">
        <w:t xml:space="preserve"> (2006) 232 ALR 69; [2006] FCAFC 109 </w:t>
      </w:r>
      <w:r w:rsidR="00243E06" w:rsidRPr="00243E06">
        <w:t>at [19] (Wilcox, Conti and Stone JJ)</w:t>
      </w:r>
      <w:r w:rsidR="00243E06">
        <w:t>;</w:t>
      </w:r>
      <w:r w:rsidR="002F1E3B">
        <w:t xml:space="preserve"> </w:t>
      </w:r>
      <w:r w:rsidR="008D6023" w:rsidRPr="008E76DF">
        <w:rPr>
          <w:i/>
        </w:rPr>
        <w:t xml:space="preserve">Federal Commissioner of Taxation v </w:t>
      </w:r>
      <w:proofErr w:type="spellStart"/>
      <w:r w:rsidR="008D6023" w:rsidRPr="008E76DF">
        <w:rPr>
          <w:i/>
        </w:rPr>
        <w:t>Jayasinghe</w:t>
      </w:r>
      <w:proofErr w:type="spellEnd"/>
      <w:r w:rsidR="008D6023" w:rsidRPr="008E76DF">
        <w:rPr>
          <w:i/>
        </w:rPr>
        <w:t xml:space="preserve"> </w:t>
      </w:r>
      <w:r w:rsidR="008D6023" w:rsidRPr="008E76DF">
        <w:t>(2016) 247 FCR 40; [2016] FCAFC 79 at [57] (</w:t>
      </w:r>
      <w:proofErr w:type="spellStart"/>
      <w:r w:rsidR="008D6023" w:rsidRPr="008E76DF">
        <w:t>Pagone</w:t>
      </w:r>
      <w:proofErr w:type="spellEnd"/>
      <w:r w:rsidR="008D6023" w:rsidRPr="008E76DF">
        <w:t xml:space="preserve"> and Davies JJ)</w:t>
      </w:r>
      <w:r w:rsidR="008D6023">
        <w:t>;</w:t>
      </w:r>
      <w:r w:rsidR="002F1E3B">
        <w:t xml:space="preserve"> </w:t>
      </w:r>
      <w:r w:rsidR="00243E06" w:rsidRPr="008E76DF">
        <w:rPr>
          <w:b/>
          <w:i/>
        </w:rPr>
        <w:t xml:space="preserve">ACE </w:t>
      </w:r>
      <w:r w:rsidR="00243E06" w:rsidRPr="008E76DF">
        <w:rPr>
          <w:b/>
          <w:i/>
        </w:rPr>
        <w:lastRenderedPageBreak/>
        <w:t>Insurance</w:t>
      </w:r>
      <w:r w:rsidR="00243E06" w:rsidRPr="008E76DF">
        <w:rPr>
          <w:i/>
        </w:rPr>
        <w:t xml:space="preserve"> Ltd v </w:t>
      </w:r>
      <w:proofErr w:type="spellStart"/>
      <w:r w:rsidR="00243E06" w:rsidRPr="008E76DF">
        <w:rPr>
          <w:i/>
        </w:rPr>
        <w:t>Trifunovski</w:t>
      </w:r>
      <w:proofErr w:type="spellEnd"/>
      <w:r w:rsidR="00243E06" w:rsidRPr="008E76DF">
        <w:t xml:space="preserve"> (201</w:t>
      </w:r>
      <w:r w:rsidR="00CF69C1" w:rsidRPr="008E76DF">
        <w:t>3) 209 FCR 145; [2013] FCAFC 3</w:t>
      </w:r>
      <w:r w:rsidR="00CF69C1">
        <w:t xml:space="preserve">.  </w:t>
      </w:r>
      <w:r w:rsidR="00146A21">
        <w:t>Be that as it may, the result was that</w:t>
      </w:r>
      <w:r w:rsidR="006857F8">
        <w:t>,</w:t>
      </w:r>
      <w:r w:rsidR="00146A21">
        <w:t xml:space="preserve"> when JMC’s application proceeded to trial, </w:t>
      </w:r>
      <w:r w:rsidR="00E80461">
        <w:t xml:space="preserve">a good deal of evidence </w:t>
      </w:r>
      <w:r w:rsidR="00ED5B6D">
        <w:t xml:space="preserve">concerning work practices and how JMC and Mr Harrison conducted themselves during the period </w:t>
      </w:r>
      <w:r w:rsidR="006857F8">
        <w:t xml:space="preserve">that </w:t>
      </w:r>
      <w:r w:rsidR="00DB3D70">
        <w:t xml:space="preserve">Mr Harrison provided teaching services to JMC </w:t>
      </w:r>
      <w:r w:rsidR="00E80461">
        <w:t>was tendered and admitted without objection</w:t>
      </w:r>
      <w:r w:rsidR="00ED5B6D">
        <w:t>.</w:t>
      </w:r>
    </w:p>
    <w:p w14:paraId="442C26C5" w14:textId="3CB4E98C" w:rsidR="004D738C" w:rsidRDefault="00ED5B6D" w:rsidP="00683770">
      <w:pPr>
        <w:pStyle w:val="ParaNumbering"/>
      </w:pPr>
      <w:r>
        <w:t>After the trial concluded and while</w:t>
      </w:r>
      <w:r w:rsidR="000C2EF5">
        <w:t xml:space="preserve"> judgment was reserved,</w:t>
      </w:r>
      <w:r>
        <w:t xml:space="preserve"> the High Court granted special leave and </w:t>
      </w:r>
      <w:r w:rsidR="006857F8">
        <w:t xml:space="preserve">subsequently </w:t>
      </w:r>
      <w:r>
        <w:t xml:space="preserve">allowed appeals in </w:t>
      </w:r>
      <w:r w:rsidR="0013253F">
        <w:t xml:space="preserve">two cases which raised similar questions to those raised in this case: </w:t>
      </w:r>
      <w:r w:rsidR="006857F8">
        <w:t xml:space="preserve">see </w:t>
      </w:r>
      <w:r w:rsidR="0013253F" w:rsidRPr="008E76DF">
        <w:rPr>
          <w:i/>
        </w:rPr>
        <w:t xml:space="preserve">Construction, Forestry, Maritime, Mining and Energy Union v </w:t>
      </w:r>
      <w:r w:rsidR="0013253F" w:rsidRPr="008E76DF">
        <w:rPr>
          <w:b/>
          <w:i/>
        </w:rPr>
        <w:t>Personnel Contracting</w:t>
      </w:r>
      <w:r w:rsidR="0013253F" w:rsidRPr="008E76DF">
        <w:rPr>
          <w:i/>
        </w:rPr>
        <w:t xml:space="preserve"> Pty Ltd</w:t>
      </w:r>
      <w:r w:rsidR="0084610F" w:rsidRPr="008E76DF">
        <w:rPr>
          <w:i/>
        </w:rPr>
        <w:t xml:space="preserve"> </w:t>
      </w:r>
      <w:r w:rsidR="0084610F" w:rsidRPr="008E76DF">
        <w:t>(2022) 96 ALJR 89;</w:t>
      </w:r>
      <w:r w:rsidR="0013253F" w:rsidRPr="008E76DF">
        <w:t xml:space="preserve"> [2022] HCA 1</w:t>
      </w:r>
      <w:r w:rsidR="00C300F1">
        <w:t xml:space="preserve"> and </w:t>
      </w:r>
      <w:r w:rsidR="00C300F1" w:rsidRPr="008E76DF">
        <w:rPr>
          <w:i/>
        </w:rPr>
        <w:t xml:space="preserve">ZG Operations Australia Pty Ltd v </w:t>
      </w:r>
      <w:proofErr w:type="spellStart"/>
      <w:r w:rsidR="00C300F1" w:rsidRPr="008E76DF">
        <w:rPr>
          <w:b/>
          <w:i/>
        </w:rPr>
        <w:t>Jamsek</w:t>
      </w:r>
      <w:proofErr w:type="spellEnd"/>
      <w:r w:rsidR="00C300F1" w:rsidRPr="008E76DF">
        <w:t xml:space="preserve"> </w:t>
      </w:r>
      <w:r w:rsidR="0084610F" w:rsidRPr="008E76DF">
        <w:t xml:space="preserve">(2022) 96 ALJR 144; </w:t>
      </w:r>
      <w:r w:rsidR="00C300F1" w:rsidRPr="008E76DF">
        <w:t>[2022] HCA 2</w:t>
      </w:r>
      <w:r w:rsidR="00C300F1">
        <w:t>.</w:t>
      </w:r>
      <w:r w:rsidR="00455FA5">
        <w:t xml:space="preserve">  The judgments </w:t>
      </w:r>
      <w:r w:rsidR="00A73CEB">
        <w:t xml:space="preserve">of the majority of the justices </w:t>
      </w:r>
      <w:r w:rsidR="00455FA5">
        <w:t>in those two cases moved the goalposts, or</w:t>
      </w:r>
      <w:r w:rsidR="00DA737B">
        <w:t>,</w:t>
      </w:r>
      <w:r w:rsidR="001942B6">
        <w:t xml:space="preserve"> as </w:t>
      </w:r>
      <w:r w:rsidR="00A73CEB">
        <w:t xml:space="preserve">all but two of the justices (Gageler and Gleeson JJ) </w:t>
      </w:r>
      <w:r w:rsidR="001942B6">
        <w:t xml:space="preserve">would have it, </w:t>
      </w:r>
      <w:r w:rsidR="00DA1006">
        <w:t>affirmed</w:t>
      </w:r>
      <w:r w:rsidR="009873FA">
        <w:t xml:space="preserve"> where the goalposts had</w:t>
      </w:r>
      <w:r w:rsidR="00DA1006">
        <w:t xml:space="preserve"> always been</w:t>
      </w:r>
      <w:r w:rsidR="009873FA">
        <w:t xml:space="preserve">, or should always have </w:t>
      </w:r>
      <w:r w:rsidR="002A0491">
        <w:t xml:space="preserve">been </w:t>
      </w:r>
      <w:r w:rsidR="009873FA">
        <w:t>seen to have been.</w:t>
      </w:r>
      <w:r w:rsidR="006F4E6C">
        <w:t xml:space="preserve">  </w:t>
      </w:r>
    </w:p>
    <w:p w14:paraId="6CD821A4" w14:textId="46872C47" w:rsidR="0072667F" w:rsidRDefault="006F4E6C" w:rsidP="00683770">
      <w:pPr>
        <w:pStyle w:val="ParaNumbering"/>
      </w:pPr>
      <w:r>
        <w:t xml:space="preserve">The fundamental principles established by </w:t>
      </w:r>
      <w:r w:rsidR="0049673B">
        <w:t xml:space="preserve">the judgments of the majority of </w:t>
      </w:r>
      <w:r w:rsidR="004A0276">
        <w:t xml:space="preserve">the </w:t>
      </w:r>
      <w:r w:rsidR="0049673B">
        <w:t xml:space="preserve">justices in </w:t>
      </w:r>
      <w:r w:rsidR="004D738C" w:rsidRPr="004D738C">
        <w:rPr>
          <w:i/>
        </w:rPr>
        <w:t xml:space="preserve">Personnel </w:t>
      </w:r>
      <w:r w:rsidR="006857F8" w:rsidRPr="004D738C">
        <w:rPr>
          <w:i/>
        </w:rPr>
        <w:t>Con</w:t>
      </w:r>
      <w:r w:rsidR="006857F8">
        <w:rPr>
          <w:i/>
        </w:rPr>
        <w:t>tracting</w:t>
      </w:r>
      <w:r w:rsidR="006857F8">
        <w:t xml:space="preserve"> </w:t>
      </w:r>
      <w:r w:rsidR="004D738C">
        <w:t xml:space="preserve">and </w:t>
      </w:r>
      <w:proofErr w:type="spellStart"/>
      <w:r w:rsidR="004D738C" w:rsidRPr="004D738C">
        <w:rPr>
          <w:i/>
        </w:rPr>
        <w:t>Jamsek</w:t>
      </w:r>
      <w:proofErr w:type="spellEnd"/>
      <w:r w:rsidR="004D738C">
        <w:t xml:space="preserve"> </w:t>
      </w:r>
      <w:r>
        <w:t xml:space="preserve">may be </w:t>
      </w:r>
      <w:r w:rsidR="004D738C">
        <w:t xml:space="preserve">shortly </w:t>
      </w:r>
      <w:r>
        <w:t>summarised as follows.</w:t>
      </w:r>
      <w:r w:rsidR="009873FA">
        <w:t xml:space="preserve">  </w:t>
      </w:r>
    </w:p>
    <w:p w14:paraId="3A8F74C2" w14:textId="74D478C2" w:rsidR="00683770" w:rsidRDefault="006F4E6C" w:rsidP="00E74082">
      <w:pPr>
        <w:pStyle w:val="ParaNumbering"/>
      </w:pPr>
      <w:r>
        <w:t xml:space="preserve">First, where the rights and duties of the parties are comprehensively committed to a written contract, </w:t>
      </w:r>
      <w:r w:rsidR="00435F6D">
        <w:t>the legal rights and obligations established by the contract are decisive of the character of the relationship provided that the validity of t</w:t>
      </w:r>
      <w:r w:rsidR="00416449">
        <w:t>he contract has not been challe</w:t>
      </w:r>
      <w:r w:rsidR="00435F6D">
        <w:t xml:space="preserve">nged as a sham, or </w:t>
      </w:r>
      <w:r w:rsidR="00416449">
        <w:t xml:space="preserve">that </w:t>
      </w:r>
      <w:r w:rsidR="00435F6D">
        <w:t>the terms of the contract</w:t>
      </w:r>
      <w:r w:rsidR="00416449">
        <w:t xml:space="preserve"> </w:t>
      </w:r>
      <w:r w:rsidR="00FE7377">
        <w:t xml:space="preserve">have not been varied, waived or </w:t>
      </w:r>
      <w:r w:rsidR="006857F8">
        <w:t xml:space="preserve">are </w:t>
      </w:r>
      <w:r w:rsidR="00FE7377">
        <w:t xml:space="preserve">subject to an estoppel: </w:t>
      </w:r>
      <w:r w:rsidR="007B675E" w:rsidRPr="00D651BD">
        <w:rPr>
          <w:i/>
        </w:rPr>
        <w:t>Personnel Contracting</w:t>
      </w:r>
      <w:r w:rsidR="007B675E">
        <w:t xml:space="preserve"> a</w:t>
      </w:r>
      <w:r w:rsidR="00D651BD">
        <w:t>t [43], [44], [47], [59] (</w:t>
      </w:r>
      <w:proofErr w:type="spellStart"/>
      <w:r w:rsidR="00D651BD">
        <w:t>Kiefel</w:t>
      </w:r>
      <w:proofErr w:type="spellEnd"/>
      <w:r w:rsidR="007B675E">
        <w:t xml:space="preserve"> CJ, Keane and Edelman JJ), [172] (Gordon J</w:t>
      </w:r>
      <w:r w:rsidR="00F93C56">
        <w:t>, Steward J relevantly agreeing at [203]</w:t>
      </w:r>
      <w:r w:rsidR="00D651BD">
        <w:t>).</w:t>
      </w:r>
      <w:r w:rsidR="00763893">
        <w:t xml:space="preserve"> The task is to construe and characterise the contract made between the parties at the time it was entered into: </w:t>
      </w:r>
      <w:r w:rsidR="00763893" w:rsidRPr="00763893">
        <w:rPr>
          <w:i/>
        </w:rPr>
        <w:t>Personnel Contracting</w:t>
      </w:r>
      <w:r w:rsidR="00763893">
        <w:t xml:space="preserve"> at [174] (Gordon J). </w:t>
      </w:r>
      <w:r w:rsidR="000406F6">
        <w:t xml:space="preserve">  </w:t>
      </w:r>
    </w:p>
    <w:p w14:paraId="2C7F0AC6" w14:textId="093677E3" w:rsidR="0044493E" w:rsidRDefault="00683770" w:rsidP="000C2EF5">
      <w:pPr>
        <w:pStyle w:val="ParaNumbering"/>
      </w:pPr>
      <w:r>
        <w:t xml:space="preserve">Second, </w:t>
      </w:r>
      <w:r w:rsidR="006857F8">
        <w:t xml:space="preserve">in order </w:t>
      </w:r>
      <w:r w:rsidR="003B1A17">
        <w:t xml:space="preserve">to ascertain the relevant legal rights and obligations, the contract of employment must be construed in accordance with the established principles of contractual interpretation: </w:t>
      </w:r>
      <w:r w:rsidR="003B1A17" w:rsidRPr="0044493E">
        <w:rPr>
          <w:i/>
        </w:rPr>
        <w:t>Personnel Contracting</w:t>
      </w:r>
      <w:r w:rsidR="003B1A17">
        <w:t xml:space="preserve"> at [6</w:t>
      </w:r>
      <w:r w:rsidR="007C4A92">
        <w:t>0</w:t>
      </w:r>
      <w:r w:rsidR="003B1A17">
        <w:t>]</w:t>
      </w:r>
      <w:r w:rsidR="000C2EF5">
        <w:t xml:space="preserve"> (</w:t>
      </w:r>
      <w:proofErr w:type="spellStart"/>
      <w:r w:rsidR="000C2EF5" w:rsidRPr="000C2EF5">
        <w:t>Kiefel</w:t>
      </w:r>
      <w:proofErr w:type="spellEnd"/>
      <w:r w:rsidR="000C2EF5" w:rsidRPr="000C2EF5">
        <w:t xml:space="preserve"> CJ, Keane and Edelman JJ</w:t>
      </w:r>
      <w:r w:rsidR="00F93C56">
        <w:t>)</w:t>
      </w:r>
      <w:r w:rsidR="003B1A17">
        <w:t>,</w:t>
      </w:r>
      <w:r w:rsidR="000C2EF5">
        <w:t xml:space="preserve"> [124] (</w:t>
      </w:r>
      <w:r w:rsidR="00FC7F34">
        <w:t>Gageler and Gleeson JJ</w:t>
      </w:r>
      <w:r w:rsidR="00F93C56">
        <w:t>)</w:t>
      </w:r>
      <w:r w:rsidR="00C75D43">
        <w:t>, [173] (Gordon J)</w:t>
      </w:r>
      <w:r w:rsidR="00F93C56">
        <w:t>.</w:t>
      </w:r>
      <w:r w:rsidR="00522B99">
        <w:t xml:space="preserve">  </w:t>
      </w:r>
      <w:r w:rsidR="001D68C0">
        <w:t xml:space="preserve">In that respect, regard may be had to the circumstances surrounding the making of the contract, as well as to events and circumstances external to the contract which are objective, known to the parties at the time of contracting and which assist in identifying the purpose or object of the contract: </w:t>
      </w:r>
      <w:r w:rsidR="001D68C0" w:rsidRPr="00763893">
        <w:rPr>
          <w:i/>
        </w:rPr>
        <w:t>Personnel Contracting</w:t>
      </w:r>
      <w:r w:rsidR="001D68C0">
        <w:t xml:space="preserve"> at [174]</w:t>
      </w:r>
      <w:r w:rsidR="00FC7F34">
        <w:t>-[175]</w:t>
      </w:r>
      <w:r w:rsidR="00C31707">
        <w:t xml:space="preserve"> </w:t>
      </w:r>
      <w:r w:rsidR="004A0276">
        <w:t xml:space="preserve">(Gordon J); </w:t>
      </w:r>
      <w:proofErr w:type="spellStart"/>
      <w:r w:rsidR="001D68C0" w:rsidRPr="0044493E">
        <w:rPr>
          <w:i/>
        </w:rPr>
        <w:t>Jamsek</w:t>
      </w:r>
      <w:proofErr w:type="spellEnd"/>
      <w:r w:rsidR="001D68C0">
        <w:t xml:space="preserve"> at </w:t>
      </w:r>
      <w:r w:rsidR="000D1AF9">
        <w:t xml:space="preserve">[61] </w:t>
      </w:r>
      <w:r w:rsidR="0044493E">
        <w:t>(</w:t>
      </w:r>
      <w:proofErr w:type="spellStart"/>
      <w:r w:rsidR="0044493E">
        <w:t>Kiefel</w:t>
      </w:r>
      <w:proofErr w:type="spellEnd"/>
      <w:r w:rsidR="0044493E">
        <w:t xml:space="preserve"> CJ, Keane and Edelman JJ)</w:t>
      </w:r>
      <w:r w:rsidR="006857F8">
        <w:t>,</w:t>
      </w:r>
      <w:r w:rsidR="000D1AF9">
        <w:t xml:space="preserve"> referring to </w:t>
      </w:r>
      <w:proofErr w:type="spellStart"/>
      <w:r w:rsidR="000D1AF9" w:rsidRPr="008E76DF">
        <w:rPr>
          <w:i/>
        </w:rPr>
        <w:t>Codelfa</w:t>
      </w:r>
      <w:proofErr w:type="spellEnd"/>
      <w:r w:rsidR="000D1AF9" w:rsidRPr="008E76DF">
        <w:rPr>
          <w:i/>
        </w:rPr>
        <w:t xml:space="preserve"> Construction Pty Ltd v State Rail Authori</w:t>
      </w:r>
      <w:r w:rsidR="0044493E" w:rsidRPr="008E76DF">
        <w:rPr>
          <w:i/>
        </w:rPr>
        <w:t xml:space="preserve">ty </w:t>
      </w:r>
      <w:r w:rsidR="00FC7F34" w:rsidRPr="008E76DF">
        <w:rPr>
          <w:i/>
        </w:rPr>
        <w:t xml:space="preserve">of NSW </w:t>
      </w:r>
      <w:r w:rsidR="0044493E" w:rsidRPr="008E76DF">
        <w:t>(198</w:t>
      </w:r>
      <w:r w:rsidR="00FC7F34" w:rsidRPr="008E76DF">
        <w:t>2</w:t>
      </w:r>
      <w:r w:rsidR="0044493E" w:rsidRPr="008E76DF">
        <w:t xml:space="preserve">) </w:t>
      </w:r>
      <w:r w:rsidR="00A568B0" w:rsidRPr="008E76DF">
        <w:t>149 CLR 337</w:t>
      </w:r>
      <w:r w:rsidR="00A568B0">
        <w:t xml:space="preserve"> at </w:t>
      </w:r>
      <w:r w:rsidR="0044493E">
        <w:t>35</w:t>
      </w:r>
      <w:r w:rsidR="00A568B0">
        <w:t>2</w:t>
      </w:r>
      <w:r w:rsidR="0044493E">
        <w:t>.</w:t>
      </w:r>
      <w:r w:rsidR="00985F00">
        <w:t xml:space="preserve">  </w:t>
      </w:r>
      <w:r w:rsidR="004355B4">
        <w:t xml:space="preserve">The nature </w:t>
      </w:r>
      <w:r w:rsidR="004355B4">
        <w:lastRenderedPageBreak/>
        <w:t xml:space="preserve">of the specific job that the putative employee applied for and the nature and extent of </w:t>
      </w:r>
      <w:r w:rsidR="006857F8">
        <w:t xml:space="preserve">any </w:t>
      </w:r>
      <w:r w:rsidR="004355B4">
        <w:t xml:space="preserve">tools or equipment they have to supply for that job may </w:t>
      </w:r>
      <w:r w:rsidR="006D395F">
        <w:t xml:space="preserve">also </w:t>
      </w:r>
      <w:r w:rsidR="004355B4">
        <w:t xml:space="preserve">be relevant: </w:t>
      </w:r>
      <w:r w:rsidR="004355B4" w:rsidRPr="004355B4">
        <w:rPr>
          <w:i/>
        </w:rPr>
        <w:t>Personnel Contracting</w:t>
      </w:r>
      <w:r w:rsidR="004355B4">
        <w:t xml:space="preserve"> at [175] (Gordon J).  </w:t>
      </w:r>
      <w:r w:rsidR="005C3A45">
        <w:t>It is, however,</w:t>
      </w:r>
      <w:r w:rsidR="00985F00">
        <w:t xml:space="preserve"> </w:t>
      </w:r>
      <w:r w:rsidR="00CE5768">
        <w:t xml:space="preserve">generally </w:t>
      </w:r>
      <w:r w:rsidR="00985F00">
        <w:t xml:space="preserve">not legitimate to use in aid of the construction of a contract anything which the parties said or did after it was made: </w:t>
      </w:r>
      <w:r w:rsidR="00985F00" w:rsidRPr="00985F00">
        <w:rPr>
          <w:i/>
        </w:rPr>
        <w:t>Personnel Contracting</w:t>
      </w:r>
      <w:r w:rsidR="00985F00">
        <w:t xml:space="preserve"> at [176] (Gordon J).</w:t>
      </w:r>
      <w:r w:rsidR="0044493E">
        <w:t xml:space="preserve"> </w:t>
      </w:r>
    </w:p>
    <w:p w14:paraId="20CD0EAC" w14:textId="53104147" w:rsidR="00F75CAA" w:rsidRDefault="008158B5" w:rsidP="000C2EF5">
      <w:pPr>
        <w:pStyle w:val="ParaNumbering"/>
      </w:pPr>
      <w:r w:rsidRPr="008158B5">
        <w:t>T</w:t>
      </w:r>
      <w:r w:rsidR="00985F00">
        <w:t>hird, and flowing from the first two principles, t</w:t>
      </w:r>
      <w:r w:rsidRPr="008158B5">
        <w:t xml:space="preserve">he characterisation of the relationship </w:t>
      </w:r>
      <w:r>
        <w:t xml:space="preserve">between the parties </w:t>
      </w:r>
      <w:r w:rsidRPr="008158B5">
        <w:t>is not affected by circumstances, facts or occurrences</w:t>
      </w:r>
      <w:r>
        <w:t xml:space="preserve"> arising between the parties that have no bearing on their legal rights: </w:t>
      </w:r>
      <w:r w:rsidRPr="00985F00">
        <w:rPr>
          <w:i/>
        </w:rPr>
        <w:t>Personnel Contracting</w:t>
      </w:r>
      <w:r w:rsidR="000C2EF5">
        <w:t xml:space="preserve"> at [44] (</w:t>
      </w:r>
      <w:proofErr w:type="spellStart"/>
      <w:r w:rsidR="000C2EF5" w:rsidRPr="000C2EF5">
        <w:t>Kiefel</w:t>
      </w:r>
      <w:proofErr w:type="spellEnd"/>
      <w:r w:rsidR="000C2EF5" w:rsidRPr="000C2EF5">
        <w:t xml:space="preserve"> CJ, Keane and Edelman JJ</w:t>
      </w:r>
      <w:r>
        <w:t>), [173]-[178]</w:t>
      </w:r>
      <w:r w:rsidR="001D68C0">
        <w:t xml:space="preserve"> </w:t>
      </w:r>
      <w:r w:rsidR="000C2EF5">
        <w:t>(Gordon J</w:t>
      </w:r>
      <w:r w:rsidR="00985F00">
        <w:t>)</w:t>
      </w:r>
      <w:r w:rsidR="006857F8">
        <w:t>;</w:t>
      </w:r>
      <w:r w:rsidR="00985F00">
        <w:t xml:space="preserve"> </w:t>
      </w:r>
      <w:proofErr w:type="spellStart"/>
      <w:r w:rsidR="00985F00" w:rsidRPr="00747C89">
        <w:rPr>
          <w:i/>
        </w:rPr>
        <w:t>Jamsek</w:t>
      </w:r>
      <w:proofErr w:type="spellEnd"/>
      <w:r w:rsidR="000C2EF5">
        <w:t xml:space="preserve"> at </w:t>
      </w:r>
      <w:r w:rsidR="00985F00">
        <w:t>[109]</w:t>
      </w:r>
      <w:r w:rsidR="000C2EF5">
        <w:t xml:space="preserve"> (Gordon and Steward JJ</w:t>
      </w:r>
      <w:r>
        <w:t>)</w:t>
      </w:r>
      <w:r w:rsidR="00985F00">
        <w:t>.</w:t>
      </w:r>
      <w:r w:rsidR="00886143">
        <w:t xml:space="preserve">  A “</w:t>
      </w:r>
      <w:r w:rsidR="00A60370">
        <w:t>wide-ranging</w:t>
      </w:r>
      <w:r w:rsidR="00886143">
        <w:t xml:space="preserve"> review of the entire history of the parties’ dealings” is neither necessary nor appropriate: </w:t>
      </w:r>
      <w:r w:rsidR="00886143" w:rsidRPr="00747C89">
        <w:rPr>
          <w:i/>
        </w:rPr>
        <w:t>Personnel Contracting</w:t>
      </w:r>
      <w:r w:rsidR="00886143">
        <w:t xml:space="preserve"> at </w:t>
      </w:r>
      <w:r w:rsidR="000C2EF5">
        <w:t>[59] (</w:t>
      </w:r>
      <w:proofErr w:type="spellStart"/>
      <w:r w:rsidR="000C2EF5" w:rsidRPr="000C2EF5">
        <w:t>Kiefel</w:t>
      </w:r>
      <w:proofErr w:type="spellEnd"/>
      <w:r w:rsidR="000C2EF5" w:rsidRPr="000C2EF5">
        <w:t xml:space="preserve"> CJ, Keane and Edelman JJ</w:t>
      </w:r>
      <w:r w:rsidR="00AE7FF7">
        <w:t xml:space="preserve">); see also </w:t>
      </w:r>
      <w:r w:rsidR="000C2EF5">
        <w:t>[185]-[189] (Gordon J</w:t>
      </w:r>
      <w:r w:rsidR="00AE7FF7">
        <w:t>)</w:t>
      </w:r>
      <w:r w:rsidR="008D2866">
        <w:t xml:space="preserve">.  </w:t>
      </w:r>
      <w:r w:rsidR="007F6A3D">
        <w:t xml:space="preserve">For a “matter to bear upon the ultimate characterisation of a relationship, it must be concerned with the rights and duties established by the parties’ contract, and </w:t>
      </w:r>
      <w:r w:rsidR="007F6A3D" w:rsidRPr="00A43B6C">
        <w:rPr>
          <w:i/>
        </w:rPr>
        <w:t>not simply an aspect of how the parties’ relationship h</w:t>
      </w:r>
      <w:r w:rsidR="00A43B6C">
        <w:rPr>
          <w:i/>
        </w:rPr>
        <w:t>as come to play out in practice</w:t>
      </w:r>
      <w:r w:rsidR="007F6A3D">
        <w:t xml:space="preserve"> but bearing no necessary connection to the contractual obligations of the parties</w:t>
      </w:r>
      <w:r w:rsidR="00A43B6C">
        <w:t xml:space="preserve">”: </w:t>
      </w:r>
      <w:r w:rsidR="00A43B6C" w:rsidRPr="00F75CAA">
        <w:rPr>
          <w:i/>
        </w:rPr>
        <w:t>Personnel Contracting</w:t>
      </w:r>
      <w:r w:rsidR="00F17EDE">
        <w:t xml:space="preserve"> at [61] (</w:t>
      </w:r>
      <w:proofErr w:type="spellStart"/>
      <w:r w:rsidR="00F17EDE">
        <w:t>Kiefel</w:t>
      </w:r>
      <w:proofErr w:type="spellEnd"/>
      <w:r w:rsidR="00F17EDE">
        <w:t> </w:t>
      </w:r>
      <w:r w:rsidR="00A43B6C">
        <w:t>CJ, Keane and Edelman JJ)</w:t>
      </w:r>
      <w:r w:rsidR="006857F8">
        <w:t xml:space="preserve"> (emphasis added)</w:t>
      </w:r>
      <w:r w:rsidR="00A43B6C">
        <w:t xml:space="preserve">. </w:t>
      </w:r>
      <w:r w:rsidR="00237E91">
        <w:t xml:space="preserve"> </w:t>
      </w:r>
    </w:p>
    <w:p w14:paraId="75B88D8F" w14:textId="679EB66A" w:rsidR="00F75CAA" w:rsidRDefault="006D395F" w:rsidP="008158B5">
      <w:pPr>
        <w:pStyle w:val="ParaNumbering"/>
      </w:pPr>
      <w:r>
        <w:t>It follows that t</w:t>
      </w:r>
      <w:r w:rsidR="006857F8">
        <w:t>he</w:t>
      </w:r>
      <w:r w:rsidR="00237E91">
        <w:t xml:space="preserve"> fact that t</w:t>
      </w:r>
      <w:r w:rsidR="006857F8">
        <w:t>he parties’ subsequent conduct</w:t>
      </w:r>
      <w:r w:rsidR="00237E91">
        <w:t xml:space="preserve"> </w:t>
      </w:r>
      <w:r w:rsidR="00371ECA">
        <w:t xml:space="preserve">may </w:t>
      </w:r>
      <w:r w:rsidR="00237E91">
        <w:t xml:space="preserve">not </w:t>
      </w:r>
      <w:r w:rsidR="00371ECA">
        <w:t xml:space="preserve">have </w:t>
      </w:r>
      <w:r w:rsidR="00237E91">
        <w:t>precisely align</w:t>
      </w:r>
      <w:r w:rsidR="00371ECA">
        <w:t>ed</w:t>
      </w:r>
      <w:r w:rsidR="00237E91">
        <w:t xml:space="preserve"> with their contractual rights and obligations, or the fact that a particular contractual right may </w:t>
      </w:r>
      <w:r w:rsidR="006857F8">
        <w:t xml:space="preserve">have </w:t>
      </w:r>
      <w:r w:rsidR="00237E91">
        <w:t xml:space="preserve">never been exercised or utilised, will </w:t>
      </w:r>
      <w:r w:rsidR="00446636">
        <w:t xml:space="preserve">generally </w:t>
      </w:r>
      <w:r w:rsidR="00237E91">
        <w:t>be irrelevant when it comes to characterising the</w:t>
      </w:r>
      <w:r w:rsidR="00F75CAA">
        <w:t xml:space="preserve"> relationship</w:t>
      </w:r>
      <w:r w:rsidR="00237E91">
        <w:t>.</w:t>
      </w:r>
      <w:r w:rsidR="00A43B6C">
        <w:t xml:space="preserve"> </w:t>
      </w:r>
      <w:r w:rsidR="004D738C">
        <w:t xml:space="preserve"> </w:t>
      </w:r>
      <w:r w:rsidR="005E5888">
        <w:t>That is so unless the manner in which the parties conducted themselves after entering into the con</w:t>
      </w:r>
      <w:r w:rsidR="00D06F00">
        <w:t>tract was such as to establish that the contract was a sham, or that the contract had been varied</w:t>
      </w:r>
      <w:r w:rsidR="000C2EF5">
        <w:t xml:space="preserve">, or that </w:t>
      </w:r>
      <w:r w:rsidR="004D66F4">
        <w:t>certain rights under the contract were subject to an estoppel</w:t>
      </w:r>
      <w:r w:rsidR="00D06F00">
        <w:t>.</w:t>
      </w:r>
    </w:p>
    <w:p w14:paraId="441BA62D" w14:textId="5E1FBD70" w:rsidR="00244E5A" w:rsidRDefault="003E2B57" w:rsidP="008158B5">
      <w:pPr>
        <w:pStyle w:val="ParaNumbering"/>
      </w:pPr>
      <w:r>
        <w:t>Fourth, t</w:t>
      </w:r>
      <w:r w:rsidR="004E7644">
        <w:t>he contractual provisions that may be relevant in determining the nature of the relationship include</w:t>
      </w:r>
      <w:r w:rsidR="00D06F00">
        <w:t>, but are not limited to,</w:t>
      </w:r>
      <w:r w:rsidR="004E7644">
        <w:t xml:space="preserve"> those that deal with the mode o</w:t>
      </w:r>
      <w:r w:rsidR="008E0C51">
        <w:t>f</w:t>
      </w:r>
      <w:r w:rsidR="004E7644">
        <w:t xml:space="preserve"> remuneration, the provision and maintenance of equipment, the obligation to work, the hours of work, the provision for holidays, the</w:t>
      </w:r>
      <w:r w:rsidR="007048CF">
        <w:t xml:space="preserve"> deduction of income tax, the</w:t>
      </w:r>
      <w:r w:rsidR="004E7644">
        <w:t xml:space="preserve"> delegation of work</w:t>
      </w:r>
      <w:r w:rsidR="0003019A">
        <w:t xml:space="preserve"> and the right to exercise direction and control: </w:t>
      </w:r>
      <w:r w:rsidR="0003019A" w:rsidRPr="005A29E1">
        <w:rPr>
          <w:i/>
        </w:rPr>
        <w:t>Personnel Contracting</w:t>
      </w:r>
      <w:r w:rsidR="0003019A">
        <w:t xml:space="preserve"> a</w:t>
      </w:r>
      <w:r w:rsidR="005A29E1">
        <w:t xml:space="preserve">t </w:t>
      </w:r>
      <w:r w:rsidR="00033099">
        <w:t xml:space="preserve">[113] (Gageler and Gleeson JJ); </w:t>
      </w:r>
      <w:r w:rsidR="005A29E1">
        <w:t>[174] (Gordon J)</w:t>
      </w:r>
      <w:r w:rsidR="008E0C51">
        <w:t>,</w:t>
      </w:r>
      <w:r w:rsidR="00033099">
        <w:t xml:space="preserve"> referring to</w:t>
      </w:r>
      <w:r w:rsidR="00F62172">
        <w:t xml:space="preserve"> </w:t>
      </w:r>
      <w:proofErr w:type="spellStart"/>
      <w:r w:rsidR="00F62172" w:rsidRPr="00B06575">
        <w:rPr>
          <w:i/>
        </w:rPr>
        <w:t>Brodribb</w:t>
      </w:r>
      <w:proofErr w:type="spellEnd"/>
      <w:r w:rsidR="00F62172">
        <w:t xml:space="preserve"> at 24 (Mason J)</w:t>
      </w:r>
      <w:r w:rsidR="00033099">
        <w:t xml:space="preserve">; see also </w:t>
      </w:r>
      <w:r w:rsidR="00E66920">
        <w:t>36-37</w:t>
      </w:r>
      <w:r w:rsidR="00033099">
        <w:t xml:space="preserve"> </w:t>
      </w:r>
      <w:r w:rsidR="00D06F00">
        <w:t>(Wilson and Dawson JJ)</w:t>
      </w:r>
      <w:r w:rsidR="00BD36C0">
        <w:t xml:space="preserve">.  </w:t>
      </w:r>
    </w:p>
    <w:p w14:paraId="73C2F6AB" w14:textId="464A5721" w:rsidR="00981412" w:rsidRDefault="00D06F00" w:rsidP="008158B5">
      <w:pPr>
        <w:pStyle w:val="ParaNumbering"/>
      </w:pPr>
      <w:r>
        <w:t>I</w:t>
      </w:r>
      <w:r w:rsidR="00E92DD3">
        <w:t xml:space="preserve">n </w:t>
      </w:r>
      <w:proofErr w:type="spellStart"/>
      <w:r w:rsidR="00E92DD3" w:rsidRPr="00265528">
        <w:rPr>
          <w:i/>
        </w:rPr>
        <w:t>Brodribb</w:t>
      </w:r>
      <w:proofErr w:type="spellEnd"/>
      <w:r w:rsidR="00E92DD3">
        <w:t xml:space="preserve">, Wilson and Dawson JJ </w:t>
      </w:r>
      <w:r w:rsidR="00265528">
        <w:t xml:space="preserve">said </w:t>
      </w:r>
      <w:r>
        <w:t xml:space="preserve">(at </w:t>
      </w:r>
      <w:r w:rsidR="00E66920">
        <w:t>36-37</w:t>
      </w:r>
      <w:r>
        <w:t xml:space="preserve">) </w:t>
      </w:r>
      <w:r w:rsidR="00265528">
        <w:t xml:space="preserve">that the indicia which suggested an employment relationship included “the right to have a particular person do the work, the right to suspend or dismiss the person engaged, the right to the exclusive services of the person </w:t>
      </w:r>
      <w:r w:rsidR="00265528">
        <w:lastRenderedPageBreak/>
        <w:t>engaged and the right to dictate the place of work, hours of work and the like”</w:t>
      </w:r>
      <w:r w:rsidR="008E0C51">
        <w:t>,</w:t>
      </w:r>
      <w:r w:rsidR="00265528">
        <w:t xml:space="preserve"> whereas those that </w:t>
      </w:r>
      <w:r w:rsidR="003E4CE1">
        <w:t xml:space="preserve">suggested a contract for services included “work involving a profession, trade or distinct calling on the part of the person engaged, </w:t>
      </w:r>
      <w:r w:rsidR="00E66920">
        <w:t>the</w:t>
      </w:r>
      <w:r w:rsidR="003E4CE1">
        <w:t xml:space="preserve"> provision by him of his own place o</w:t>
      </w:r>
      <w:r w:rsidR="008E0C51">
        <w:t>f</w:t>
      </w:r>
      <w:r w:rsidR="003E4CE1">
        <w:t xml:space="preserve"> work or of his own equipment, the creation by him of goodwill or saleable assets in the</w:t>
      </w:r>
      <w:r w:rsidR="00FF600E">
        <w:t xml:space="preserve"> </w:t>
      </w:r>
      <w:r w:rsidR="003E4CE1">
        <w:t xml:space="preserve">course of his work, the payment by him </w:t>
      </w:r>
      <w:r w:rsidR="00E66920">
        <w:t>from</w:t>
      </w:r>
      <w:r w:rsidR="003E4CE1">
        <w:t xml:space="preserve"> hi</w:t>
      </w:r>
      <w:r w:rsidR="00244E5A">
        <w:t xml:space="preserve">s remuneration of business expenses of any significant proportion and the payment to him of remuneration without deduction </w:t>
      </w:r>
      <w:r w:rsidR="00E66920">
        <w:t>for</w:t>
      </w:r>
      <w:r w:rsidR="00244E5A">
        <w:t xml:space="preserve"> income tax”.  Their Ho</w:t>
      </w:r>
      <w:r w:rsidR="00FF600E">
        <w:t>n</w:t>
      </w:r>
      <w:r w:rsidR="00244E5A">
        <w:t>ours were, however, careful to note</w:t>
      </w:r>
      <w:r w:rsidR="00E66920">
        <w:t xml:space="preserve"> (at 37)</w:t>
      </w:r>
      <w:r w:rsidR="00244E5A">
        <w:t xml:space="preserve"> that “any attempt to list the relevant</w:t>
      </w:r>
      <w:r w:rsidR="00FF600E">
        <w:t xml:space="preserve"> </w:t>
      </w:r>
      <w:r w:rsidR="00244E5A">
        <w:t>matters, however incompletely, may mislead because they can be no more than a guide</w:t>
      </w:r>
      <w:r w:rsidR="00FF600E">
        <w:t xml:space="preserve"> to the existence</w:t>
      </w:r>
      <w:r w:rsidR="00E66920">
        <w:t xml:space="preserve"> of the relationship</w:t>
      </w:r>
      <w:r w:rsidR="00FF600E">
        <w:t xml:space="preserve"> of master and servant”.  It should also be emphasised that </w:t>
      </w:r>
      <w:r w:rsidR="008E0C51">
        <w:t xml:space="preserve">the </w:t>
      </w:r>
      <w:r w:rsidR="00FF600E">
        <w:t xml:space="preserve">list of possible indicia must </w:t>
      </w:r>
      <w:r w:rsidR="00316086">
        <w:t xml:space="preserve">now </w:t>
      </w:r>
      <w:r w:rsidR="00FF600E">
        <w:t>be approached</w:t>
      </w:r>
      <w:r w:rsidR="0006412E">
        <w:t xml:space="preserve"> on the basis that the focus </w:t>
      </w:r>
      <w:r w:rsidR="00316086">
        <w:t xml:space="preserve">is </w:t>
      </w:r>
      <w:r w:rsidR="0006412E">
        <w:t>on the parties’ contractual rights and obligations</w:t>
      </w:r>
      <w:r w:rsidR="00316086">
        <w:t xml:space="preserve"> relevant to those matters</w:t>
      </w:r>
      <w:r w:rsidR="0006412E">
        <w:t>, at least where the contract is wholly in writing</w:t>
      </w:r>
      <w:r w:rsidR="005659AA">
        <w:t>, not on</w:t>
      </w:r>
      <w:r w:rsidR="00E73C7B">
        <w:t xml:space="preserve"> the way in which the work was actually carried out</w:t>
      </w:r>
      <w:r w:rsidR="0006412E">
        <w:t>.</w:t>
      </w:r>
    </w:p>
    <w:p w14:paraId="197DF4A9" w14:textId="41ECBEFA" w:rsidR="00A21FD9" w:rsidRDefault="00981412" w:rsidP="00B51DAC">
      <w:pPr>
        <w:pStyle w:val="ParaNumbering"/>
      </w:pPr>
      <w:r>
        <w:t xml:space="preserve">Fifth, the characterisation of the relationship as one of </w:t>
      </w:r>
      <w:r w:rsidR="00DE468E">
        <w:t xml:space="preserve">service or </w:t>
      </w:r>
      <w:r>
        <w:t>employment</w:t>
      </w:r>
      <w:r w:rsidR="00535CD8">
        <w:t xml:space="preserve"> involving an employer and employee, </w:t>
      </w:r>
      <w:r w:rsidR="009533AC">
        <w:t xml:space="preserve">as opposed to </w:t>
      </w:r>
      <w:r w:rsidR="00DE468E">
        <w:t xml:space="preserve">a relationship involving </w:t>
      </w:r>
      <w:r w:rsidR="00535CD8">
        <w:t>an independent contractor</w:t>
      </w:r>
      <w:r w:rsidR="00DE468E">
        <w:t xml:space="preserve"> providing services to a principal</w:t>
      </w:r>
      <w:r w:rsidR="00535CD8">
        <w:t xml:space="preserve">, often hinges on two considerations.  The first </w:t>
      </w:r>
      <w:r w:rsidR="008F748E">
        <w:t xml:space="preserve">consideration </w:t>
      </w:r>
      <w:r w:rsidR="00535CD8">
        <w:t>is</w:t>
      </w:r>
      <w:r w:rsidR="009533AC">
        <w:t xml:space="preserve"> the extent to which the putative employer has the right to control how, where and when the putative employee</w:t>
      </w:r>
      <w:r w:rsidR="0006412E">
        <w:t xml:space="preserve"> </w:t>
      </w:r>
      <w:r w:rsidR="009533AC">
        <w:t xml:space="preserve">performs the work: </w:t>
      </w:r>
      <w:r w:rsidR="00457BEA" w:rsidRPr="00FB0F11">
        <w:rPr>
          <w:i/>
        </w:rPr>
        <w:t>Personnel Contracting</w:t>
      </w:r>
      <w:r w:rsidR="00457BEA">
        <w:t xml:space="preserve"> at [73]-[74] (</w:t>
      </w:r>
      <w:proofErr w:type="spellStart"/>
      <w:r w:rsidR="00457BEA">
        <w:t>Kiefel</w:t>
      </w:r>
      <w:proofErr w:type="spellEnd"/>
      <w:r w:rsidR="00457BEA">
        <w:t xml:space="preserve"> CJ, Keane and Edelman JJ); [113] (Gageler and Gleeson JJ)</w:t>
      </w:r>
      <w:r w:rsidR="00FB0F11">
        <w:t xml:space="preserve">; see also </w:t>
      </w:r>
      <w:proofErr w:type="spellStart"/>
      <w:r w:rsidR="00FB0F11" w:rsidRPr="00FB0F11">
        <w:rPr>
          <w:i/>
        </w:rPr>
        <w:t>Brodribb</w:t>
      </w:r>
      <w:proofErr w:type="spellEnd"/>
      <w:r w:rsidR="00FB0F11">
        <w:t xml:space="preserve"> at 24 (Mason J) and </w:t>
      </w:r>
      <w:r w:rsidR="009F051C">
        <w:t>36-37</w:t>
      </w:r>
      <w:r w:rsidR="00FB0F11">
        <w:t xml:space="preserve"> (Wilson and Dawson JJ)</w:t>
      </w:r>
      <w:r w:rsidR="008E0C51">
        <w:t>.</w:t>
      </w:r>
      <w:r w:rsidR="00FF600E">
        <w:t xml:space="preserve"> </w:t>
      </w:r>
      <w:r w:rsidR="003E4CE1">
        <w:t xml:space="preserve"> </w:t>
      </w:r>
      <w:r w:rsidR="00FB0F11">
        <w:t xml:space="preserve">The second is the extent to which the putative </w:t>
      </w:r>
      <w:r w:rsidR="00B516B9">
        <w:t>employee can be seen to</w:t>
      </w:r>
      <w:r w:rsidR="009D0C37">
        <w:t xml:space="preserve"> work in his or her own business, as </w:t>
      </w:r>
      <w:r w:rsidR="00857FC3">
        <w:t>distinct from the business of the putative employer</w:t>
      </w:r>
      <w:r w:rsidR="00B51DAC">
        <w:t xml:space="preserve"> – the so-called </w:t>
      </w:r>
      <w:r w:rsidR="00B51DAC" w:rsidRPr="00B51DAC">
        <w:t>“own business</w:t>
      </w:r>
      <w:r w:rsidR="00B51DAC">
        <w:t>/employer’s business” dichotomy</w:t>
      </w:r>
      <w:r w:rsidR="00857FC3">
        <w:t xml:space="preserve">: </w:t>
      </w:r>
      <w:r w:rsidR="00857FC3" w:rsidRPr="00857FC3">
        <w:rPr>
          <w:i/>
        </w:rPr>
        <w:t xml:space="preserve">Personnel </w:t>
      </w:r>
      <w:r w:rsidR="00134905" w:rsidRPr="00857FC3">
        <w:rPr>
          <w:i/>
        </w:rPr>
        <w:t>Con</w:t>
      </w:r>
      <w:r w:rsidR="00134905">
        <w:rPr>
          <w:i/>
        </w:rPr>
        <w:t>tracting</w:t>
      </w:r>
      <w:r w:rsidR="00134905">
        <w:t xml:space="preserve"> </w:t>
      </w:r>
      <w:r w:rsidR="00857FC3">
        <w:t xml:space="preserve">at [36]-[39] </w:t>
      </w:r>
      <w:r w:rsidR="00857FC3" w:rsidRPr="00857FC3">
        <w:t>(</w:t>
      </w:r>
      <w:proofErr w:type="spellStart"/>
      <w:r w:rsidR="00857FC3" w:rsidRPr="00857FC3">
        <w:t>Kiefel</w:t>
      </w:r>
      <w:proofErr w:type="spellEnd"/>
      <w:r w:rsidR="00857FC3" w:rsidRPr="00857FC3">
        <w:t xml:space="preserve"> CJ, Keane and Edelman JJ); [113] (Gageler and Gleeson JJ)</w:t>
      </w:r>
      <w:r w:rsidR="00857FC3">
        <w:t xml:space="preserve">; </w:t>
      </w:r>
      <w:proofErr w:type="spellStart"/>
      <w:r w:rsidR="00A21FD9">
        <w:t>cf</w:t>
      </w:r>
      <w:proofErr w:type="spellEnd"/>
      <w:r w:rsidR="00A21FD9">
        <w:t xml:space="preserve"> [180]-[183] (Gordon J).  Neither of those considerations are determinative and both involve </w:t>
      </w:r>
      <w:r w:rsidR="0067253B">
        <w:t xml:space="preserve">questions </w:t>
      </w:r>
      <w:r w:rsidR="00A21FD9">
        <w:t>of degree.</w:t>
      </w:r>
    </w:p>
    <w:p w14:paraId="101FB8A9" w14:textId="61CD02C1" w:rsidR="00A21FD9" w:rsidRDefault="00B51DAC" w:rsidP="007C740F">
      <w:pPr>
        <w:pStyle w:val="ParaNumbering"/>
      </w:pPr>
      <w:r>
        <w:t xml:space="preserve">As for the element of control, </w:t>
      </w:r>
      <w:r w:rsidR="00CF6607">
        <w:t xml:space="preserve">“the existence of a right of control by a putative employer over the activities of a putative employee </w:t>
      </w:r>
      <w:r w:rsidR="0052375F">
        <w:t xml:space="preserve">serves </w:t>
      </w:r>
      <w:r w:rsidR="00CF6607">
        <w:t xml:space="preserve">to </w:t>
      </w:r>
      <w:r w:rsidR="0052375F">
        <w:t xml:space="preserve">sensitise </w:t>
      </w:r>
      <w:r w:rsidR="00DE468E">
        <w:t>one to the subservient and dependent nature of the</w:t>
      </w:r>
      <w:r w:rsidR="007C740F">
        <w:t xml:space="preserve"> </w:t>
      </w:r>
      <w:r w:rsidR="00DE468E">
        <w:t>work of an employee, so as to assist in an assessment of whether a relationship is properly to be regarded as a contract of service rather than a contract for services</w:t>
      </w:r>
      <w:r w:rsidR="007C740F">
        <w:t xml:space="preserve">”: </w:t>
      </w:r>
      <w:r w:rsidR="007C740F" w:rsidRPr="007C740F">
        <w:rPr>
          <w:i/>
        </w:rPr>
        <w:t>Personnel Contracting</w:t>
      </w:r>
      <w:r w:rsidR="007C740F">
        <w:t xml:space="preserve"> at [73] </w:t>
      </w:r>
      <w:r w:rsidR="007C740F" w:rsidRPr="007C740F">
        <w:t>(</w:t>
      </w:r>
      <w:proofErr w:type="spellStart"/>
      <w:r w:rsidR="007C740F" w:rsidRPr="007C740F">
        <w:t>Kiefel</w:t>
      </w:r>
      <w:proofErr w:type="spellEnd"/>
      <w:r w:rsidR="007C740F" w:rsidRPr="007C740F">
        <w:t xml:space="preserve"> CJ, Keane and Edelman JJ)</w:t>
      </w:r>
      <w:r w:rsidR="007C740F">
        <w:t xml:space="preserve">.  </w:t>
      </w:r>
    </w:p>
    <w:p w14:paraId="2BFBE6E4" w14:textId="50143A09" w:rsidR="00884EB1" w:rsidRDefault="00032A58" w:rsidP="008158B5">
      <w:pPr>
        <w:pStyle w:val="ParaNumbering"/>
      </w:pPr>
      <w:r>
        <w:t xml:space="preserve">As for the </w:t>
      </w:r>
      <w:r w:rsidR="00134905">
        <w:t>“</w:t>
      </w:r>
      <w:r>
        <w:t>own business/employer’s business</w:t>
      </w:r>
      <w:r w:rsidR="00134905">
        <w:t>”</w:t>
      </w:r>
      <w:r>
        <w:t xml:space="preserve"> dichotomy, it also </w:t>
      </w:r>
      <w:r w:rsidR="002F6C3F">
        <w:t xml:space="preserve">“usefully focusses attention upon those aspects of the relationship generally defined by the contract which bear more directly upon whether the putative employee’s work was so subordinate to the employer’s </w:t>
      </w:r>
      <w:r w:rsidR="002F6C3F">
        <w:lastRenderedPageBreak/>
        <w:t>business that it can be seen to have been p</w:t>
      </w:r>
      <w:r w:rsidR="00134905">
        <w:t>er</w:t>
      </w:r>
      <w:r w:rsidR="002F6C3F">
        <w:t xml:space="preserve">formed as an employee of that business rather than as part of an independent enterprise”: </w:t>
      </w:r>
      <w:r w:rsidR="002F6C3F" w:rsidRPr="0007647F">
        <w:rPr>
          <w:i/>
        </w:rPr>
        <w:t>Personnel Contracting</w:t>
      </w:r>
      <w:r w:rsidR="002F6C3F">
        <w:t xml:space="preserve"> at [39] (</w:t>
      </w:r>
      <w:proofErr w:type="spellStart"/>
      <w:r w:rsidR="002F6C3F">
        <w:t>Kiefel</w:t>
      </w:r>
      <w:proofErr w:type="spellEnd"/>
      <w:r w:rsidR="002F6C3F">
        <w:t xml:space="preserve"> CJ, Keane and Edelman JJ)</w:t>
      </w:r>
      <w:r w:rsidR="003C5311">
        <w:t xml:space="preserve">; </w:t>
      </w:r>
      <w:proofErr w:type="spellStart"/>
      <w:r w:rsidR="003C5311">
        <w:t>cf</w:t>
      </w:r>
      <w:proofErr w:type="spellEnd"/>
      <w:r w:rsidR="003C5311">
        <w:t xml:space="preserve"> [180]-[182] (Gordon J)</w:t>
      </w:r>
      <w:r w:rsidR="002F6C3F">
        <w:t>.</w:t>
      </w:r>
      <w:r w:rsidR="00ED3BC8">
        <w:t xml:space="preserve">  Another way of framing the question, which focusses </w:t>
      </w:r>
      <w:r>
        <w:t xml:space="preserve">more directly </w:t>
      </w:r>
      <w:r w:rsidR="00ED3BC8">
        <w:t xml:space="preserve">on the terms of the contract, is whether the person “is </w:t>
      </w:r>
      <w:r w:rsidR="00ED3BC8" w:rsidRPr="009E7F24">
        <w:rPr>
          <w:i/>
        </w:rPr>
        <w:t>contracted to work in the business or enterprise of</w:t>
      </w:r>
      <w:r w:rsidR="00ED3BC8">
        <w:t xml:space="preserve"> the purported employer”: </w:t>
      </w:r>
      <w:r w:rsidR="00ED3BC8" w:rsidRPr="00ED3BC8">
        <w:rPr>
          <w:i/>
        </w:rPr>
        <w:t>Personnel Contracting</w:t>
      </w:r>
      <w:r w:rsidR="00ED3BC8">
        <w:t xml:space="preserve"> at [183]</w:t>
      </w:r>
      <w:r w:rsidR="00884EB1">
        <w:t xml:space="preserve"> (Gordon J)</w:t>
      </w:r>
      <w:r w:rsidR="005B2FDA">
        <w:t xml:space="preserve"> (emphasis in original)</w:t>
      </w:r>
      <w:r w:rsidR="00ED3BC8">
        <w:t>.</w:t>
      </w:r>
      <w:r w:rsidR="00884EB1">
        <w:t xml:space="preserve">  </w:t>
      </w:r>
      <w:r w:rsidR="00134905">
        <w:t>One</w:t>
      </w:r>
      <w:r w:rsidR="00884EB1">
        <w:t xml:space="preserve"> consequence </w:t>
      </w:r>
      <w:r w:rsidR="00B06575">
        <w:t xml:space="preserve">of </w:t>
      </w:r>
      <w:r w:rsidR="00C31707">
        <w:t xml:space="preserve">answering </w:t>
      </w:r>
      <w:r w:rsidR="00134905">
        <w:t xml:space="preserve">that question in the </w:t>
      </w:r>
      <w:r w:rsidR="00884EB1">
        <w:t xml:space="preserve">negative </w:t>
      </w:r>
      <w:r w:rsidR="00884EB1" w:rsidRPr="00884EB1">
        <w:rPr>
          <w:i/>
        </w:rPr>
        <w:t>may</w:t>
      </w:r>
      <w:r w:rsidR="00884EB1">
        <w:t xml:space="preserve"> be that the person is not an employee. </w:t>
      </w:r>
    </w:p>
    <w:p w14:paraId="79D574D8" w14:textId="1EBF640F" w:rsidR="006612B8" w:rsidRDefault="006D0761" w:rsidP="006612B8">
      <w:pPr>
        <w:pStyle w:val="ParaNumbering"/>
      </w:pPr>
      <w:r>
        <w:t>Sixth, a</w:t>
      </w:r>
      <w:r w:rsidR="006E131A">
        <w:t xml:space="preserve"> “label” which the parties may have chosen to describe their relationship is not determinative of the nature of the relationship and wil</w:t>
      </w:r>
      <w:r w:rsidR="00797D08">
        <w:t>l rarely assist the</w:t>
      </w:r>
      <w:r w:rsidR="006E131A">
        <w:t xml:space="preserve"> court in characterising</w:t>
      </w:r>
      <w:r w:rsidR="00797D08">
        <w:t xml:space="preserve"> the relationship by reference to the contractual rights and duties of the parties: </w:t>
      </w:r>
      <w:r w:rsidR="00797D08" w:rsidRPr="00797D08">
        <w:rPr>
          <w:i/>
        </w:rPr>
        <w:t>Personnel Contracting</w:t>
      </w:r>
      <w:r w:rsidR="00797D08">
        <w:t xml:space="preserve"> at [63]-[66] (</w:t>
      </w:r>
      <w:proofErr w:type="spellStart"/>
      <w:r w:rsidR="00797D08">
        <w:t>Kiefel</w:t>
      </w:r>
      <w:proofErr w:type="spellEnd"/>
      <w:r w:rsidR="00797D08">
        <w:t xml:space="preserve"> CJ, Keane and Edelman JJ)</w:t>
      </w:r>
      <w:r w:rsidR="006939F5">
        <w:t>;</w:t>
      </w:r>
      <w:r w:rsidR="00246023">
        <w:t xml:space="preserve"> [127] (Gageler and Gleeson JJ);</w:t>
      </w:r>
      <w:r w:rsidR="006939F5">
        <w:t xml:space="preserve"> [184] (Gordon J).</w:t>
      </w:r>
      <w:r w:rsidR="002439A3">
        <w:t xml:space="preserve">  T</w:t>
      </w:r>
      <w:r w:rsidR="00E31C79">
        <w:t xml:space="preserve">he parties’ “legitimate freedom to agree upon the rights and duties which constitute their relationship” does not “extend to attaching a ‘label’ to describe their relationship which is inconsistent with the </w:t>
      </w:r>
      <w:r w:rsidR="009105D0">
        <w:t>rights and duties otherwise set forth” – to permit otherwise would elevate the freedom to “</w:t>
      </w:r>
      <w:r w:rsidR="005B2FDA">
        <w:t xml:space="preserve">a </w:t>
      </w:r>
      <w:r w:rsidR="009105D0">
        <w:t xml:space="preserve">power to alter the operation of statute </w:t>
      </w:r>
      <w:r w:rsidR="00F427DE">
        <w:t xml:space="preserve">law to suit … the interests of the party with the greater bargaining power”: </w:t>
      </w:r>
      <w:r w:rsidR="00F427DE" w:rsidRPr="006612B8">
        <w:rPr>
          <w:i/>
        </w:rPr>
        <w:t>Personnel Contracting</w:t>
      </w:r>
      <w:r w:rsidR="00F427DE">
        <w:t xml:space="preserve"> at [58] (</w:t>
      </w:r>
      <w:proofErr w:type="spellStart"/>
      <w:r w:rsidR="00F427DE" w:rsidRPr="00F427DE">
        <w:t>Kiefel</w:t>
      </w:r>
      <w:proofErr w:type="spellEnd"/>
      <w:r w:rsidR="00F427DE" w:rsidRPr="00F427DE">
        <w:t xml:space="preserve"> CJ, Keane and Edelman JJ)</w:t>
      </w:r>
      <w:r w:rsidR="00F427DE">
        <w:t>.</w:t>
      </w:r>
      <w:r w:rsidR="006939F5">
        <w:t xml:space="preserve"> </w:t>
      </w:r>
    </w:p>
    <w:p w14:paraId="0CF06F45" w14:textId="663C6F9C" w:rsidR="00235DB4" w:rsidRDefault="006612B8" w:rsidP="006612B8">
      <w:pPr>
        <w:pStyle w:val="ParaNumbering"/>
      </w:pPr>
      <w:r>
        <w:t xml:space="preserve">The characterisation of a relationship as being either </w:t>
      </w:r>
      <w:r w:rsidR="003309DA">
        <w:t xml:space="preserve">one of employer and employee, or one involving the engagement of an independent contractor, </w:t>
      </w:r>
      <w:r>
        <w:t>is ultimately an evaluative judgment</w:t>
      </w:r>
      <w:r w:rsidR="003309DA">
        <w:t xml:space="preserve"> </w:t>
      </w:r>
      <w:r w:rsidR="00134905">
        <w:t xml:space="preserve">that </w:t>
      </w:r>
      <w:r w:rsidR="003309DA">
        <w:t>tak</w:t>
      </w:r>
      <w:r w:rsidR="00134905">
        <w:t>es</w:t>
      </w:r>
      <w:r w:rsidR="003309DA">
        <w:t xml:space="preserve"> into account the </w:t>
      </w:r>
      <w:r w:rsidR="00F50DF3">
        <w:t xml:space="preserve">totality of the </w:t>
      </w:r>
      <w:r w:rsidR="003309DA">
        <w:t>parties’ contractual rights and obligations.</w:t>
      </w:r>
      <w:r w:rsidR="00CA590D">
        <w:t xml:space="preserve">  The exercise may not ne</w:t>
      </w:r>
      <w:r w:rsidR="007E28AF">
        <w:t>cessarily be straightforward because</w:t>
      </w:r>
      <w:r w:rsidR="004D66F4">
        <w:t>,</w:t>
      </w:r>
      <w:r w:rsidR="007E28AF">
        <w:t xml:space="preserve"> in some cases at least, </w:t>
      </w:r>
      <w:r w:rsidR="004D66F4">
        <w:t>the parties’ contractual rights and obligations</w:t>
      </w:r>
      <w:r w:rsidR="007E28AF">
        <w:t xml:space="preserve"> may point in different directions.  The evaluative exercise also should not be approached on</w:t>
      </w:r>
      <w:r w:rsidR="00B33B68">
        <w:t xml:space="preserve"> the</w:t>
      </w:r>
      <w:r w:rsidR="007E28AF">
        <w:t xml:space="preserve"> basis that there is some</w:t>
      </w:r>
      <w:r w:rsidR="00B33B68">
        <w:t xml:space="preserve"> </w:t>
      </w:r>
      <w:r w:rsidR="007E28AF">
        <w:t>checklist</w:t>
      </w:r>
      <w:r w:rsidR="00B33B68">
        <w:t xml:space="preserve"> against which ticks and crosses may be placed so as to produce the right an</w:t>
      </w:r>
      <w:r w:rsidR="004A0276">
        <w:t>swer.  Some degree of uncertaint</w:t>
      </w:r>
      <w:r w:rsidR="00B33B68">
        <w:t>y is unavoidable, particular</w:t>
      </w:r>
      <w:r w:rsidR="00134905">
        <w:t>ly</w:t>
      </w:r>
      <w:r w:rsidR="00B33B68">
        <w:t xml:space="preserve"> in the case of many modern</w:t>
      </w:r>
      <w:r w:rsidR="00134905">
        <w:t>-</w:t>
      </w:r>
      <w:r w:rsidR="00B33B68">
        <w:t>day work or service contracts</w:t>
      </w:r>
      <w:r w:rsidR="001B4963">
        <w:t>.</w:t>
      </w:r>
      <w:r w:rsidR="003309DA">
        <w:t xml:space="preserve"> </w:t>
      </w:r>
      <w:r>
        <w:t xml:space="preserve"> </w:t>
      </w:r>
      <w:r w:rsidR="00662E61">
        <w:t xml:space="preserve"> </w:t>
      </w:r>
    </w:p>
    <w:p w14:paraId="7EE953A6" w14:textId="7C4DAF03" w:rsidR="006D0761" w:rsidRDefault="006D0761" w:rsidP="006D0761">
      <w:pPr>
        <w:pStyle w:val="Heading2"/>
      </w:pPr>
      <w:r>
        <w:t xml:space="preserve">The extended meaning of </w:t>
      </w:r>
      <w:r w:rsidR="00134905">
        <w:t>“</w:t>
      </w:r>
      <w:r>
        <w:t>employee</w:t>
      </w:r>
      <w:r w:rsidR="00134905">
        <w:t>” in s 12(3) of the SGA Act</w:t>
      </w:r>
    </w:p>
    <w:p w14:paraId="583B003D" w14:textId="771C0968" w:rsidR="00F14A78" w:rsidRDefault="00134905" w:rsidP="008158B5">
      <w:pPr>
        <w:pStyle w:val="ParaNumbering"/>
      </w:pPr>
      <w:r>
        <w:t xml:space="preserve">A </w:t>
      </w:r>
      <w:r w:rsidR="006D0761">
        <w:t xml:space="preserve">person is an </w:t>
      </w:r>
      <w:r>
        <w:t>“</w:t>
      </w:r>
      <w:r w:rsidR="006D0761">
        <w:t>employee</w:t>
      </w:r>
      <w:r>
        <w:t>”</w:t>
      </w:r>
      <w:r w:rsidR="006D0761">
        <w:t xml:space="preserve"> within the extended meaning in s 12</w:t>
      </w:r>
      <w:r w:rsidR="00F14A78">
        <w:t>(3) of the SGA Act if the person “works under a contract that is wholly or principally for the labour of the person”.</w:t>
      </w:r>
    </w:p>
    <w:p w14:paraId="6A850497" w14:textId="06BBC97A" w:rsidR="0084330A" w:rsidRDefault="00D420DC" w:rsidP="008158B5">
      <w:pPr>
        <w:pStyle w:val="ParaNumbering"/>
      </w:pPr>
      <w:r>
        <w:t xml:space="preserve">Three elements must be satisfied before a person could be said to be an </w:t>
      </w:r>
      <w:r w:rsidR="004A0276">
        <w:t>“</w:t>
      </w:r>
      <w:r>
        <w:t>employee</w:t>
      </w:r>
      <w:r w:rsidR="004A0276">
        <w:t>”</w:t>
      </w:r>
      <w:r>
        <w:t xml:space="preserve"> within the extended meaning: </w:t>
      </w:r>
      <w:r w:rsidRPr="007D0BCA">
        <w:rPr>
          <w:i/>
        </w:rPr>
        <w:t>first</w:t>
      </w:r>
      <w:r>
        <w:t xml:space="preserve">, there must be a contract; </w:t>
      </w:r>
      <w:r w:rsidRPr="007D0BCA">
        <w:rPr>
          <w:i/>
        </w:rPr>
        <w:t>second</w:t>
      </w:r>
      <w:r w:rsidR="00287F49">
        <w:t xml:space="preserve">, the contract must be wholly or principally </w:t>
      </w:r>
      <w:r w:rsidR="005B2FDA">
        <w:t>“</w:t>
      </w:r>
      <w:r w:rsidR="00287F49">
        <w:t>for</w:t>
      </w:r>
      <w:r w:rsidR="005B2FDA">
        <w:t>”</w:t>
      </w:r>
      <w:r w:rsidR="00287F49">
        <w:t xml:space="preserve"> the labour of the person; and </w:t>
      </w:r>
      <w:r w:rsidR="00287F49" w:rsidRPr="007D0BCA">
        <w:rPr>
          <w:i/>
        </w:rPr>
        <w:t>third</w:t>
      </w:r>
      <w:r w:rsidR="00287F49">
        <w:t xml:space="preserve">, the person must work under the contract: </w:t>
      </w:r>
      <w:r w:rsidR="00287F49" w:rsidRPr="008E76DF">
        <w:rPr>
          <w:i/>
        </w:rPr>
        <w:lastRenderedPageBreak/>
        <w:t>Dental Corp</w:t>
      </w:r>
      <w:r w:rsidR="005B2FDA" w:rsidRPr="008E76DF">
        <w:rPr>
          <w:i/>
        </w:rPr>
        <w:t>oration</w:t>
      </w:r>
      <w:r w:rsidR="00287F49" w:rsidRPr="008E76DF">
        <w:rPr>
          <w:i/>
        </w:rPr>
        <w:t xml:space="preserve"> Pty Ltd v </w:t>
      </w:r>
      <w:proofErr w:type="spellStart"/>
      <w:r w:rsidR="00287F49" w:rsidRPr="008E76DF">
        <w:rPr>
          <w:b/>
          <w:i/>
        </w:rPr>
        <w:t>Moffet</w:t>
      </w:r>
      <w:proofErr w:type="spellEnd"/>
      <w:r w:rsidR="00287F49" w:rsidRPr="008E76DF">
        <w:t xml:space="preserve"> </w:t>
      </w:r>
      <w:r w:rsidR="0084330A" w:rsidRPr="008E76DF">
        <w:t xml:space="preserve">(2020) 278 </w:t>
      </w:r>
      <w:r w:rsidR="00134905" w:rsidRPr="008E76DF">
        <w:t xml:space="preserve">FCR </w:t>
      </w:r>
      <w:r w:rsidR="0084330A" w:rsidRPr="008E76DF">
        <w:t>502; [2020] FCAFC 118</w:t>
      </w:r>
      <w:r w:rsidR="00287F49">
        <w:t xml:space="preserve"> at [82] (Perram and Anderson JJ) and </w:t>
      </w:r>
      <w:r w:rsidR="007C2396">
        <w:t xml:space="preserve">[111], [115] (Wigney J agreeing).  </w:t>
      </w:r>
    </w:p>
    <w:p w14:paraId="144699BB" w14:textId="0CA4A2FF" w:rsidR="00684CE2" w:rsidRDefault="007C2396" w:rsidP="00684CE2">
      <w:pPr>
        <w:pStyle w:val="ParaNumbering"/>
      </w:pPr>
      <w:r>
        <w:t xml:space="preserve">The question whether the contract is “for” the labour of the person must be approached from the perspective of the </w:t>
      </w:r>
      <w:r w:rsidR="00ED4A43">
        <w:t xml:space="preserve">putative </w:t>
      </w:r>
      <w:r>
        <w:t>employer</w:t>
      </w:r>
      <w:r w:rsidR="00AD7216">
        <w:t xml:space="preserve">: </w:t>
      </w:r>
      <w:proofErr w:type="spellStart"/>
      <w:r w:rsidR="00114FC9" w:rsidRPr="004D66F4">
        <w:rPr>
          <w:i/>
        </w:rPr>
        <w:t>Moffet</w:t>
      </w:r>
      <w:proofErr w:type="spellEnd"/>
      <w:r w:rsidR="00114FC9">
        <w:t xml:space="preserve"> at [84]</w:t>
      </w:r>
      <w:r w:rsidR="00AD7216">
        <w:t>.</w:t>
      </w:r>
      <w:r w:rsidR="00114FC9">
        <w:t xml:space="preserve"> </w:t>
      </w:r>
      <w:r w:rsidR="00AD7216">
        <w:t xml:space="preserve"> The question must also be determined by reference to the terms of the contract: </w:t>
      </w:r>
      <w:proofErr w:type="spellStart"/>
      <w:r w:rsidR="00AD7216" w:rsidRPr="00AD7216">
        <w:rPr>
          <w:i/>
        </w:rPr>
        <w:t>Moffet</w:t>
      </w:r>
      <w:proofErr w:type="spellEnd"/>
      <w:r w:rsidR="00AD7216">
        <w:t xml:space="preserve"> at [86].  The question is essentially whether the te</w:t>
      </w:r>
      <w:r w:rsidR="009746A9">
        <w:t>rms of the contract reveal that the benefit that the putative employe</w:t>
      </w:r>
      <w:r w:rsidR="00134905">
        <w:t>r</w:t>
      </w:r>
      <w:r w:rsidR="009746A9">
        <w:t xml:space="preserve"> receives from entering into the contract is </w:t>
      </w:r>
      <w:r w:rsidR="0063716C">
        <w:t xml:space="preserve">“wholly or principally” </w:t>
      </w:r>
      <w:r w:rsidR="00B546D5">
        <w:t xml:space="preserve">the labour of the putative employee: </w:t>
      </w:r>
      <w:proofErr w:type="spellStart"/>
      <w:r w:rsidR="00B546D5" w:rsidRPr="00792140">
        <w:rPr>
          <w:i/>
        </w:rPr>
        <w:t>Moffet</w:t>
      </w:r>
      <w:proofErr w:type="spellEnd"/>
      <w:r w:rsidR="004A0276">
        <w:t xml:space="preserve"> at </w:t>
      </w:r>
      <w:r w:rsidR="002A3F2F">
        <w:t>[84]-</w:t>
      </w:r>
      <w:r w:rsidR="00B546D5">
        <w:t>[85]</w:t>
      </w:r>
      <w:r w:rsidR="00792140">
        <w:t>.</w:t>
      </w:r>
      <w:r w:rsidR="0084330A">
        <w:t xml:space="preserve">  The word “principally” in this context is </w:t>
      </w:r>
      <w:r w:rsidR="00FA42E4">
        <w:t xml:space="preserve">essentially </w:t>
      </w:r>
      <w:r w:rsidR="0084330A">
        <w:t>synonymous with “substantially” (</w:t>
      </w:r>
      <w:proofErr w:type="spellStart"/>
      <w:r w:rsidR="0084330A" w:rsidRPr="0084330A">
        <w:rPr>
          <w:i/>
        </w:rPr>
        <w:t>Moffet</w:t>
      </w:r>
      <w:proofErr w:type="spellEnd"/>
      <w:r w:rsidR="0084330A">
        <w:t xml:space="preserve"> at [104]) or “predominant</w:t>
      </w:r>
      <w:r w:rsidR="00E9323A">
        <w:t>[</w:t>
      </w:r>
      <w:proofErr w:type="spellStart"/>
      <w:r w:rsidR="0084330A">
        <w:t>ly</w:t>
      </w:r>
      <w:proofErr w:type="spellEnd"/>
      <w:r w:rsidR="00E9323A">
        <w:t>]</w:t>
      </w:r>
      <w:r w:rsidR="0084330A">
        <w:t xml:space="preserve">”: </w:t>
      </w:r>
      <w:proofErr w:type="spellStart"/>
      <w:r w:rsidR="0084330A" w:rsidRPr="0084330A">
        <w:rPr>
          <w:i/>
        </w:rPr>
        <w:t>Moffet</w:t>
      </w:r>
      <w:proofErr w:type="spellEnd"/>
      <w:r w:rsidR="0084330A">
        <w:t xml:space="preserve"> at [1</w:t>
      </w:r>
      <w:r w:rsidR="00FA42E4">
        <w:t>16</w:t>
      </w:r>
      <w:r w:rsidR="0084330A">
        <w:t>].</w:t>
      </w:r>
      <w:r w:rsidR="006715CB">
        <w:t xml:space="preserve">  </w:t>
      </w:r>
    </w:p>
    <w:p w14:paraId="0C0E0C4B" w14:textId="05BB14A0" w:rsidR="009C3EE9" w:rsidRDefault="006715CB" w:rsidP="00684CE2">
      <w:pPr>
        <w:pStyle w:val="ParaNumbering"/>
      </w:pPr>
      <w:r>
        <w:t xml:space="preserve">A contract is not wholly </w:t>
      </w:r>
      <w:r w:rsidR="00EE3E70">
        <w:t xml:space="preserve">or principally </w:t>
      </w:r>
      <w:r>
        <w:t xml:space="preserve">for the labour of </w:t>
      </w:r>
      <w:r w:rsidR="00EE3E70">
        <w:t>the putative employee</w:t>
      </w:r>
      <w:r w:rsidR="0084330A">
        <w:t xml:space="preserve"> </w:t>
      </w:r>
      <w:r w:rsidR="00EE3E70">
        <w:t>if</w:t>
      </w:r>
      <w:r w:rsidR="00940BB9">
        <w:t xml:space="preserve"> the contract is a contract for the provision or production of a result and the putative e</w:t>
      </w:r>
      <w:r w:rsidR="00C834D6">
        <w:t>mployee is paid for that result:</w:t>
      </w:r>
      <w:r w:rsidR="00684CE2" w:rsidRPr="00684CE2">
        <w:t xml:space="preserve"> </w:t>
      </w:r>
      <w:r w:rsidR="00684CE2" w:rsidRPr="008E76DF">
        <w:rPr>
          <w:b/>
          <w:i/>
        </w:rPr>
        <w:t>Neale</w:t>
      </w:r>
      <w:r w:rsidR="00684CE2" w:rsidRPr="008E76DF">
        <w:rPr>
          <w:i/>
        </w:rPr>
        <w:t xml:space="preserve"> v Atlas Products (Vic) Pty Ltd</w:t>
      </w:r>
      <w:r w:rsidR="00684CE2" w:rsidRPr="008E76DF">
        <w:t xml:space="preserve"> (1955) 94 CLR 419</w:t>
      </w:r>
      <w:r w:rsidR="00684CE2" w:rsidRPr="00684CE2">
        <w:t xml:space="preserve"> at 425 (Dixon CJ, </w:t>
      </w:r>
      <w:proofErr w:type="spellStart"/>
      <w:r w:rsidR="00684CE2" w:rsidRPr="00684CE2">
        <w:t>McTiernan</w:t>
      </w:r>
      <w:proofErr w:type="spellEnd"/>
      <w:r w:rsidR="00684CE2" w:rsidRPr="00684CE2">
        <w:t xml:space="preserve">, Webb, </w:t>
      </w:r>
      <w:proofErr w:type="spellStart"/>
      <w:r w:rsidR="00684CE2" w:rsidRPr="00684CE2">
        <w:t>Kitto</w:t>
      </w:r>
      <w:proofErr w:type="spellEnd"/>
      <w:r w:rsidR="00684CE2" w:rsidRPr="00684CE2">
        <w:t xml:space="preserve"> and Taylor JJ)</w:t>
      </w:r>
      <w:r w:rsidR="00A5773D">
        <w:t>;</w:t>
      </w:r>
      <w:r w:rsidR="00C834D6">
        <w:t xml:space="preserve"> </w:t>
      </w:r>
      <w:r w:rsidR="00C834D6" w:rsidRPr="008E76DF">
        <w:rPr>
          <w:b/>
          <w:i/>
        </w:rPr>
        <w:t>World Book</w:t>
      </w:r>
      <w:r w:rsidR="00C834D6" w:rsidRPr="008E76DF">
        <w:rPr>
          <w:i/>
        </w:rPr>
        <w:t xml:space="preserve"> (Australia) Pty Ltd v Commissioner of Taxation</w:t>
      </w:r>
      <w:r w:rsidR="00C834D6" w:rsidRPr="008E76DF">
        <w:t xml:space="preserve"> (1992) 27 NSWLR 377</w:t>
      </w:r>
      <w:r w:rsidR="00C834D6">
        <w:t xml:space="preserve"> at 385-386</w:t>
      </w:r>
      <w:r w:rsidR="003A2776">
        <w:t xml:space="preserve"> (Sheller JA, </w:t>
      </w:r>
      <w:r w:rsidR="00C31707">
        <w:t xml:space="preserve">with </w:t>
      </w:r>
      <w:r w:rsidR="003A2776">
        <w:t>Clarke JA agreeing)</w:t>
      </w:r>
      <w:r w:rsidR="00C834D6">
        <w:t xml:space="preserve">; </w:t>
      </w:r>
      <w:proofErr w:type="spellStart"/>
      <w:r w:rsidR="00C834D6" w:rsidRPr="008E76DF">
        <w:rPr>
          <w:i/>
        </w:rPr>
        <w:t>Vabu</w:t>
      </w:r>
      <w:proofErr w:type="spellEnd"/>
      <w:r w:rsidR="00C834D6" w:rsidRPr="008E76DF">
        <w:rPr>
          <w:i/>
        </w:rPr>
        <w:t xml:space="preserve"> Pty Ltd v Commissioner of Taxation</w:t>
      </w:r>
      <w:r w:rsidR="00C834D6" w:rsidRPr="008E76DF">
        <w:t xml:space="preserve"> (1996) 81 IR 150</w:t>
      </w:r>
      <w:r w:rsidR="00C834D6">
        <w:t xml:space="preserve"> at </w:t>
      </w:r>
      <w:r w:rsidR="003A2776">
        <w:t>155</w:t>
      </w:r>
      <w:r w:rsidR="00912EA6">
        <w:t xml:space="preserve"> (Sheller JA, </w:t>
      </w:r>
      <w:r w:rsidR="00C31707">
        <w:t xml:space="preserve">with </w:t>
      </w:r>
      <w:r w:rsidR="00912EA6">
        <w:t>Beazley JA agreeing).</w:t>
      </w:r>
      <w:r w:rsidR="0063716C">
        <w:t xml:space="preserve"> </w:t>
      </w:r>
    </w:p>
    <w:p w14:paraId="11FA6141" w14:textId="48F0E2D6" w:rsidR="009C3EE9" w:rsidRDefault="009C3EE9" w:rsidP="009C3EE9">
      <w:pPr>
        <w:pStyle w:val="Heading1"/>
      </w:pPr>
      <w:r>
        <w:t>THE CONTRACTS BETWEEN JMC AND MR HARRISON</w:t>
      </w:r>
    </w:p>
    <w:p w14:paraId="4D71C371" w14:textId="318911BE" w:rsidR="00E63505" w:rsidRDefault="00D105D4" w:rsidP="00693AF4">
      <w:pPr>
        <w:pStyle w:val="ParaNumbering"/>
      </w:pPr>
      <w:r>
        <w:t xml:space="preserve">It was common ground that </w:t>
      </w:r>
      <w:r w:rsidR="005F3F0D">
        <w:t xml:space="preserve">the teaching services provided by </w:t>
      </w:r>
      <w:r>
        <w:t xml:space="preserve">Mr Harrison </w:t>
      </w:r>
      <w:r w:rsidR="005F3F0D">
        <w:t xml:space="preserve">at JMC’s Melbourne campus were provided pursuant to </w:t>
      </w:r>
      <w:r w:rsidR="00E330D2">
        <w:t xml:space="preserve">a series of </w:t>
      </w:r>
      <w:r w:rsidR="005F3F0D">
        <w:t>contracts</w:t>
      </w:r>
      <w:r w:rsidR="00134905">
        <w:t>,</w:t>
      </w:r>
      <w:r w:rsidR="005F3F0D">
        <w:t xml:space="preserve"> the terms of which had been reduced to writing.  </w:t>
      </w:r>
      <w:r w:rsidR="009077E0">
        <w:t xml:space="preserve">The Commissioner did not contend that the contracts were a sham.  </w:t>
      </w:r>
      <w:r w:rsidR="005F3F0D">
        <w:t xml:space="preserve">The focus of the inquiry as to </w:t>
      </w:r>
      <w:r w:rsidR="00E70B1F">
        <w:t>the nature of the relationship between Mr Harrison and JMC is therefore on the rights and obligations under the relevant contracts.  In co</w:t>
      </w:r>
      <w:r w:rsidR="004D66F4">
        <w:t>nstruing the contracts,</w:t>
      </w:r>
      <w:r w:rsidR="00E70B1F">
        <w:t xml:space="preserve"> regard can be had to </w:t>
      </w:r>
      <w:r w:rsidR="00E70B1F" w:rsidRPr="00E70B1F">
        <w:t>the circumstanc</w:t>
      </w:r>
      <w:r w:rsidR="004B73A9">
        <w:t>es surrounding the making of those</w:t>
      </w:r>
      <w:r w:rsidR="00E70B1F" w:rsidRPr="00E70B1F">
        <w:t xml:space="preserve"> contract</w:t>
      </w:r>
      <w:r w:rsidR="0014032B">
        <w:t>s</w:t>
      </w:r>
      <w:r w:rsidR="00E70B1F" w:rsidRPr="00E70B1F">
        <w:t xml:space="preserve">, as well as to </w:t>
      </w:r>
      <w:r w:rsidR="00640E57">
        <w:t xml:space="preserve">the </w:t>
      </w:r>
      <w:r w:rsidR="004B73A9">
        <w:t xml:space="preserve">objective </w:t>
      </w:r>
      <w:r w:rsidR="00E70B1F" w:rsidRPr="00E70B1F">
        <w:t xml:space="preserve">events and circumstances </w:t>
      </w:r>
      <w:r w:rsidR="004B73A9">
        <w:t>known to Mr Harrison and JMC at the time they entered into the contracts</w:t>
      </w:r>
      <w:r w:rsidR="00E63505">
        <w:t>, at least</w:t>
      </w:r>
      <w:r w:rsidR="004B73A9">
        <w:t xml:space="preserve"> insofar as they may </w:t>
      </w:r>
      <w:r w:rsidR="00E70B1F" w:rsidRPr="00E70B1F">
        <w:t>assist in identifying the purpose or object of the contract</w:t>
      </w:r>
      <w:r w:rsidR="00640E57">
        <w:t>s</w:t>
      </w:r>
      <w:r w:rsidR="00E63505">
        <w:t>.</w:t>
      </w:r>
    </w:p>
    <w:p w14:paraId="2063B52C" w14:textId="198EC2EB" w:rsidR="004D66F4" w:rsidRDefault="00DB3D70" w:rsidP="0063341A">
      <w:pPr>
        <w:pStyle w:val="ParaNumbering"/>
      </w:pPr>
      <w:r>
        <w:t xml:space="preserve">As adverted to earlier, when JMC’s application proceeded to trial, </w:t>
      </w:r>
      <w:r w:rsidRPr="00DB3D70">
        <w:t xml:space="preserve">a good deal of evidence concerning how JMC and Mr Harrison </w:t>
      </w:r>
      <w:r w:rsidR="00047D52">
        <w:t xml:space="preserve">in fact </w:t>
      </w:r>
      <w:r w:rsidRPr="00DB3D70">
        <w:t xml:space="preserve">conducted themselves </w:t>
      </w:r>
      <w:r w:rsidR="00047D52">
        <w:t>throughout the period</w:t>
      </w:r>
      <w:r w:rsidR="00640E57">
        <w:t xml:space="preserve"> that</w:t>
      </w:r>
      <w:r w:rsidR="00047D52">
        <w:t xml:space="preserve"> </w:t>
      </w:r>
      <w:r w:rsidR="00C77C4B">
        <w:t xml:space="preserve">Mr Harrison </w:t>
      </w:r>
      <w:r w:rsidR="00640E57">
        <w:t xml:space="preserve">was </w:t>
      </w:r>
      <w:r w:rsidR="00C77C4B">
        <w:t>provid</w:t>
      </w:r>
      <w:r w:rsidR="00640E57">
        <w:t>ing</w:t>
      </w:r>
      <w:r w:rsidR="00C77C4B">
        <w:t xml:space="preserve"> teaching services to JMC </w:t>
      </w:r>
      <w:r w:rsidRPr="00DB3D70">
        <w:t>was tendered and admitted without objection.</w:t>
      </w:r>
      <w:r w:rsidR="00C77C4B">
        <w:t xml:space="preserve">  After the judgments in </w:t>
      </w:r>
      <w:r w:rsidR="00C77C4B" w:rsidRPr="00C77C4B">
        <w:rPr>
          <w:i/>
        </w:rPr>
        <w:t xml:space="preserve">Personnel </w:t>
      </w:r>
      <w:r w:rsidR="00134905" w:rsidRPr="00C77C4B">
        <w:rPr>
          <w:i/>
        </w:rPr>
        <w:t>Co</w:t>
      </w:r>
      <w:r w:rsidR="00134905">
        <w:rPr>
          <w:i/>
        </w:rPr>
        <w:t>ntracting</w:t>
      </w:r>
      <w:r w:rsidR="00134905">
        <w:t xml:space="preserve"> </w:t>
      </w:r>
      <w:r w:rsidR="00C77C4B">
        <w:t xml:space="preserve">and </w:t>
      </w:r>
      <w:proofErr w:type="spellStart"/>
      <w:r w:rsidR="00C77C4B" w:rsidRPr="00C77C4B">
        <w:rPr>
          <w:i/>
        </w:rPr>
        <w:t>Jamsek</w:t>
      </w:r>
      <w:proofErr w:type="spellEnd"/>
      <w:r w:rsidR="00C77C4B">
        <w:t xml:space="preserve"> were handed down, </w:t>
      </w:r>
      <w:r w:rsidR="00980877">
        <w:t xml:space="preserve">JMC and the Commissioner were invited to make further submissions in respect of the significance and potential impact of those decisions on this case.  </w:t>
      </w:r>
    </w:p>
    <w:p w14:paraId="2C2A1AC6" w14:textId="06DF082A" w:rsidR="00693AF4" w:rsidRDefault="00980877" w:rsidP="0063341A">
      <w:pPr>
        <w:pStyle w:val="ParaNumbering"/>
      </w:pPr>
      <w:r>
        <w:lastRenderedPageBreak/>
        <w:t xml:space="preserve">The </w:t>
      </w:r>
      <w:r w:rsidR="0041546D">
        <w:t xml:space="preserve">further </w:t>
      </w:r>
      <w:r>
        <w:t xml:space="preserve">submissions of both parties proceeded on the basis that one impact </w:t>
      </w:r>
      <w:r w:rsidR="00640E57">
        <w:t xml:space="preserve">of </w:t>
      </w:r>
      <w:r w:rsidR="008E4679">
        <w:t xml:space="preserve">those decisions </w:t>
      </w:r>
      <w:r>
        <w:t xml:space="preserve">was that </w:t>
      </w:r>
      <w:r w:rsidR="00B24653">
        <w:t xml:space="preserve">the Court was </w:t>
      </w:r>
      <w:r w:rsidR="00AA4750">
        <w:t xml:space="preserve">effectively </w:t>
      </w:r>
      <w:r w:rsidR="00B24653">
        <w:t xml:space="preserve">required to disregard much </w:t>
      </w:r>
      <w:r w:rsidR="008E4679">
        <w:t>of the evidence concerning work</w:t>
      </w:r>
      <w:r w:rsidR="00B24653">
        <w:t xml:space="preserve"> practices and </w:t>
      </w:r>
      <w:r w:rsidR="0051466F">
        <w:t>the dealings between JMC and Mr Harrison</w:t>
      </w:r>
      <w:r w:rsidR="00A53109">
        <w:t xml:space="preserve"> </w:t>
      </w:r>
      <w:r w:rsidR="00743392">
        <w:t>during the period that Mr Harrison was contracted to provide services</w:t>
      </w:r>
      <w:r w:rsidR="00640E57">
        <w:t xml:space="preserve"> to JMC</w:t>
      </w:r>
      <w:r w:rsidR="008E4679">
        <w:t xml:space="preserve">.  The only evidence of that nature to which regard could be had was evidence of </w:t>
      </w:r>
      <w:r w:rsidR="00743392">
        <w:t>objective, mutually known circumstances at the time of entry into the contracts</w:t>
      </w:r>
      <w:r w:rsidR="008E4679">
        <w:t xml:space="preserve"> which might assist in construing the contracts</w:t>
      </w:r>
      <w:r w:rsidR="00640E57">
        <w:t>,</w:t>
      </w:r>
      <w:r w:rsidR="00C91D32">
        <w:t xml:space="preserve"> or evidence which was capable of establishing that the contracts had been varied, or that certain rights under the contracts might be subject to an estoppel</w:t>
      </w:r>
      <w:r w:rsidR="0063341A">
        <w:t>.</w:t>
      </w:r>
    </w:p>
    <w:p w14:paraId="6651E3D6" w14:textId="77777777" w:rsidR="00E63505" w:rsidRDefault="00E63505" w:rsidP="00E63505">
      <w:pPr>
        <w:pStyle w:val="Heading2"/>
      </w:pPr>
      <w:r>
        <w:t>Circumstances surrounding the making of the contracts</w:t>
      </w:r>
    </w:p>
    <w:p w14:paraId="6E9E74A3" w14:textId="77777777" w:rsidR="00C906A2" w:rsidRDefault="00B84ADA" w:rsidP="00E70B1F">
      <w:pPr>
        <w:pStyle w:val="ParaNumbering"/>
      </w:pPr>
      <w:r>
        <w:t xml:space="preserve">JMC is a company which conducts a business involving the provision of higher education </w:t>
      </w:r>
      <w:r w:rsidR="00E677DF">
        <w:t xml:space="preserve">courses of study </w:t>
      </w:r>
      <w:r>
        <w:t>within the creative industries sector.</w:t>
      </w:r>
      <w:r w:rsidR="00C906A2">
        <w:t xml:space="preserve">  It has campuses in Sydney, Melbourne and Brisbane.</w:t>
      </w:r>
    </w:p>
    <w:p w14:paraId="4FED80A2" w14:textId="77777777" w:rsidR="00800B2B" w:rsidRDefault="00C906A2" w:rsidP="00E70B1F">
      <w:pPr>
        <w:pStyle w:val="ParaNumbering"/>
      </w:pPr>
      <w:r>
        <w:t xml:space="preserve">JMC </w:t>
      </w:r>
      <w:r w:rsidR="00193C57">
        <w:t xml:space="preserve">was at all relevant times a higher education provider </w:t>
      </w:r>
      <w:r w:rsidR="007911B9">
        <w:t xml:space="preserve">registered </w:t>
      </w:r>
      <w:r>
        <w:t>by the Tertiary Education Quality and Standards Agency</w:t>
      </w:r>
      <w:r w:rsidR="00800B2B">
        <w:t xml:space="preserve"> (</w:t>
      </w:r>
      <w:r w:rsidR="00C732BD">
        <w:rPr>
          <w:b/>
        </w:rPr>
        <w:t>TEQSA</w:t>
      </w:r>
      <w:r w:rsidR="003B3D2D">
        <w:t xml:space="preserve">).  </w:t>
      </w:r>
      <w:r w:rsidR="00193C57">
        <w:t xml:space="preserve">Courses of study offered by JMC were also accredited by </w:t>
      </w:r>
      <w:r w:rsidR="00C732BD">
        <w:t>TEQSA</w:t>
      </w:r>
      <w:r w:rsidR="00193C57">
        <w:t>.  TEQSA</w:t>
      </w:r>
      <w:r w:rsidR="00800B2B">
        <w:t xml:space="preserve"> was the Commonwealth government’s independent national quality assurance and regulatory agency for higher education.</w:t>
      </w:r>
    </w:p>
    <w:p w14:paraId="656CA496" w14:textId="21520560" w:rsidR="00A978A2" w:rsidRDefault="0065546B" w:rsidP="00A978A2">
      <w:pPr>
        <w:pStyle w:val="ParaNumbering"/>
      </w:pPr>
      <w:r>
        <w:t>To be registered by TEQSA, a higher education provider was required</w:t>
      </w:r>
      <w:r w:rsidR="00364824">
        <w:t>, among other things,</w:t>
      </w:r>
      <w:r>
        <w:t xml:space="preserve"> to meet the </w:t>
      </w:r>
      <w:r w:rsidR="00C91D32">
        <w:t>“</w:t>
      </w:r>
      <w:r w:rsidRPr="008C27B8">
        <w:t>Threshold Standards</w:t>
      </w:r>
      <w:r w:rsidR="00C91D32">
        <w:t>”</w:t>
      </w:r>
      <w:r>
        <w:t xml:space="preserve">: </w:t>
      </w:r>
      <w:r w:rsidRPr="008E76DF">
        <w:t xml:space="preserve">s </w:t>
      </w:r>
      <w:r w:rsidR="00364824" w:rsidRPr="008E76DF">
        <w:t>21(1</w:t>
      </w:r>
      <w:proofErr w:type="gramStart"/>
      <w:r w:rsidR="00364824" w:rsidRPr="008E76DF">
        <w:t>)(</w:t>
      </w:r>
      <w:proofErr w:type="gramEnd"/>
      <w:r w:rsidR="00364824" w:rsidRPr="008E76DF">
        <w:t>a) of the</w:t>
      </w:r>
      <w:r w:rsidR="00640E57" w:rsidRPr="008E76DF">
        <w:t xml:space="preserve"> </w:t>
      </w:r>
      <w:r w:rsidR="00640E57" w:rsidRPr="008E76DF">
        <w:rPr>
          <w:i/>
        </w:rPr>
        <w:t>Tertiary Education Quality and Standards Agency Act 2011</w:t>
      </w:r>
      <w:r w:rsidR="00640E57" w:rsidRPr="008E76DF">
        <w:t xml:space="preserve"> (</w:t>
      </w:r>
      <w:proofErr w:type="spellStart"/>
      <w:r w:rsidR="00640E57" w:rsidRPr="008E76DF">
        <w:t>Cth</w:t>
      </w:r>
      <w:proofErr w:type="spellEnd"/>
      <w:r w:rsidR="00640E57" w:rsidRPr="008E76DF">
        <w:t>)</w:t>
      </w:r>
      <w:r w:rsidR="00640E57" w:rsidRPr="00A978A2">
        <w:t xml:space="preserve"> (</w:t>
      </w:r>
      <w:r w:rsidR="00640E57" w:rsidRPr="00A53109">
        <w:rPr>
          <w:b/>
        </w:rPr>
        <w:t>TEQSA Act</w:t>
      </w:r>
      <w:r w:rsidR="00640E57" w:rsidRPr="00A978A2">
        <w:t>)</w:t>
      </w:r>
      <w:r w:rsidR="00364824">
        <w:t xml:space="preserve">.  </w:t>
      </w:r>
      <w:r w:rsidR="00F33B04">
        <w:t>For courses of study to be accredited by TEQSA</w:t>
      </w:r>
      <w:r w:rsidR="002E5465">
        <w:t xml:space="preserve"> at the relevant time</w:t>
      </w:r>
      <w:r w:rsidR="00F33B04">
        <w:t>, T</w:t>
      </w:r>
      <w:r w:rsidR="00640E57">
        <w:t>E</w:t>
      </w:r>
      <w:r w:rsidR="00F33B04">
        <w:t>QSA had to be satisfied</w:t>
      </w:r>
      <w:r w:rsidR="00707F8C">
        <w:t>, among other things,</w:t>
      </w:r>
      <w:r w:rsidR="00F33B04">
        <w:t xml:space="preserve"> that the course</w:t>
      </w:r>
      <w:r w:rsidR="00214F63">
        <w:t xml:space="preserve"> of study met the standards in the </w:t>
      </w:r>
      <w:r w:rsidR="00BF718F">
        <w:t>Threshold Standards</w:t>
      </w:r>
      <w:r w:rsidR="00A978A2">
        <w:t>:</w:t>
      </w:r>
      <w:r w:rsidR="00214F63">
        <w:t xml:space="preserve"> </w:t>
      </w:r>
      <w:r w:rsidR="00214F63" w:rsidRPr="008E76DF">
        <w:t>s 49(1</w:t>
      </w:r>
      <w:proofErr w:type="gramStart"/>
      <w:r w:rsidR="00214F63" w:rsidRPr="008E76DF">
        <w:t>)</w:t>
      </w:r>
      <w:r w:rsidR="00BE525D" w:rsidRPr="008E76DF">
        <w:t>(</w:t>
      </w:r>
      <w:proofErr w:type="gramEnd"/>
      <w:r w:rsidR="00BE525D" w:rsidRPr="008E76DF">
        <w:t>b)</w:t>
      </w:r>
      <w:r w:rsidR="00214F63" w:rsidRPr="008E76DF">
        <w:t xml:space="preserve"> of the </w:t>
      </w:r>
      <w:r w:rsidR="00670C18" w:rsidRPr="008E76DF">
        <w:t>TEQSA Act</w:t>
      </w:r>
      <w:r w:rsidR="006C0BD9">
        <w:t xml:space="preserve">. </w:t>
      </w:r>
      <w:r w:rsidR="00A978A2">
        <w:t xml:space="preserve"> The Threshold Standards during the relevant period</w:t>
      </w:r>
      <w:r w:rsidR="00640E57">
        <w:t>s</w:t>
      </w:r>
      <w:r w:rsidR="00A978A2">
        <w:t xml:space="preserve"> were the </w:t>
      </w:r>
      <w:r w:rsidR="00A978A2" w:rsidRPr="008E76DF">
        <w:t>Higher Education Standards Framework (Threshold Standards) 2011</w:t>
      </w:r>
      <w:r w:rsidR="00A978A2" w:rsidRPr="00A978A2">
        <w:t xml:space="preserve"> </w:t>
      </w:r>
      <w:r w:rsidR="008C27B8">
        <w:t xml:space="preserve">(the </w:t>
      </w:r>
      <w:r w:rsidR="008C27B8" w:rsidRPr="008C27B8">
        <w:rPr>
          <w:b/>
        </w:rPr>
        <w:t>2011 Threshold Standards</w:t>
      </w:r>
      <w:r w:rsidR="008C27B8">
        <w:t xml:space="preserve">) </w:t>
      </w:r>
      <w:r w:rsidR="00A978A2" w:rsidRPr="00A978A2">
        <w:t>and</w:t>
      </w:r>
      <w:r w:rsidR="00640E57">
        <w:t xml:space="preserve">, </w:t>
      </w:r>
      <w:r w:rsidR="00A978A2" w:rsidRPr="00A978A2">
        <w:t>from 1 January 2017</w:t>
      </w:r>
      <w:r w:rsidR="00640E57">
        <w:t>,</w:t>
      </w:r>
      <w:r w:rsidR="00A978A2" w:rsidRPr="00A978A2">
        <w:t xml:space="preserve"> </w:t>
      </w:r>
      <w:r w:rsidR="00A978A2">
        <w:t xml:space="preserve">the </w:t>
      </w:r>
      <w:r w:rsidR="00A978A2" w:rsidRPr="008E76DF">
        <w:t>Higher Education Standards Framework (Threshold Standards) 2015</w:t>
      </w:r>
      <w:r w:rsidR="00A978A2" w:rsidRPr="00A978A2">
        <w:t xml:space="preserve"> </w:t>
      </w:r>
      <w:r w:rsidR="008C27B8">
        <w:t xml:space="preserve">(the </w:t>
      </w:r>
      <w:r w:rsidR="008C27B8" w:rsidRPr="008C27B8">
        <w:rPr>
          <w:b/>
        </w:rPr>
        <w:t>2015 Threshold Standards</w:t>
      </w:r>
      <w:r w:rsidR="008C27B8">
        <w:t>)</w:t>
      </w:r>
      <w:r w:rsidR="00A978A2" w:rsidRPr="00A978A2">
        <w:t xml:space="preserve">, </w:t>
      </w:r>
      <w:r w:rsidR="00A978A2">
        <w:t xml:space="preserve">both being </w:t>
      </w:r>
      <w:r w:rsidR="00A978A2" w:rsidRPr="00A978A2">
        <w:t>legislative instrument</w:t>
      </w:r>
      <w:r w:rsidR="00A978A2">
        <w:t>s</w:t>
      </w:r>
      <w:r w:rsidR="00A978A2" w:rsidRPr="00A978A2">
        <w:t xml:space="preserve"> made under </w:t>
      </w:r>
      <w:r w:rsidR="00A978A2" w:rsidRPr="008E76DF">
        <w:t xml:space="preserve">s 58(1) of the </w:t>
      </w:r>
      <w:r w:rsidR="00640E57" w:rsidRPr="008E76DF">
        <w:t>TEQSA Act</w:t>
      </w:r>
      <w:r w:rsidR="00640E57">
        <w:t>.</w:t>
      </w:r>
    </w:p>
    <w:p w14:paraId="13F2F140" w14:textId="75F31D4B" w:rsidR="000E51F6" w:rsidRDefault="006C0BD9" w:rsidP="00364824">
      <w:pPr>
        <w:pStyle w:val="ParaNumbering"/>
      </w:pPr>
      <w:r>
        <w:t xml:space="preserve">The Threshold Standards </w:t>
      </w:r>
      <w:r w:rsidR="009F398F">
        <w:t xml:space="preserve">relevantly </w:t>
      </w:r>
      <w:r>
        <w:t>include</w:t>
      </w:r>
      <w:r w:rsidR="00364824">
        <w:t>d</w:t>
      </w:r>
      <w:r>
        <w:t xml:space="preserve"> standards </w:t>
      </w:r>
      <w:r w:rsidR="007911B9">
        <w:t>required to be met by accredited higher education providers (</w:t>
      </w:r>
      <w:r w:rsidR="007911B9" w:rsidRPr="008E76DF">
        <w:t xml:space="preserve">the </w:t>
      </w:r>
      <w:r w:rsidR="007911B9" w:rsidRPr="008E76DF">
        <w:rPr>
          <w:b/>
        </w:rPr>
        <w:t>Provider Registration Standards</w:t>
      </w:r>
      <w:r w:rsidR="007911B9">
        <w:t>)</w:t>
      </w:r>
      <w:r w:rsidR="00364824">
        <w:t>, as well as standards</w:t>
      </w:r>
      <w:r w:rsidR="007911B9">
        <w:t xml:space="preserve"> </w:t>
      </w:r>
      <w:r>
        <w:t xml:space="preserve">in respect of the courses provided by </w:t>
      </w:r>
      <w:r w:rsidR="000D56CB">
        <w:t>accredited higher education providers</w:t>
      </w:r>
      <w:r w:rsidR="00364824">
        <w:t xml:space="preserve"> </w:t>
      </w:r>
      <w:r w:rsidR="00364824" w:rsidRPr="00364824">
        <w:t>(</w:t>
      </w:r>
      <w:r w:rsidR="00364824" w:rsidRPr="008E76DF">
        <w:t xml:space="preserve">the </w:t>
      </w:r>
      <w:r w:rsidR="00364824" w:rsidRPr="008E76DF">
        <w:rPr>
          <w:b/>
        </w:rPr>
        <w:t>Provider Course Accreditation Standards</w:t>
      </w:r>
      <w:r w:rsidR="00364824" w:rsidRPr="00364824">
        <w:t>)</w:t>
      </w:r>
      <w:r w:rsidR="000D56CB">
        <w:t xml:space="preserve">.  </w:t>
      </w:r>
    </w:p>
    <w:p w14:paraId="6A1DE729" w14:textId="623AA706" w:rsidR="000E51F6" w:rsidRDefault="00B96621" w:rsidP="00364824">
      <w:pPr>
        <w:pStyle w:val="ParaNumbering"/>
      </w:pPr>
      <w:r>
        <w:lastRenderedPageBreak/>
        <w:t xml:space="preserve">The Provider Registration Standards </w:t>
      </w:r>
      <w:r w:rsidR="008C27B8">
        <w:t xml:space="preserve">in the 2011 Threshold Standards </w:t>
      </w:r>
      <w:r>
        <w:t>included</w:t>
      </w:r>
      <w:r w:rsidR="000E51F6">
        <w:t>: that the provider had in place effective quality assurance arrangements</w:t>
      </w:r>
      <w:r w:rsidR="00640E57">
        <w:t xml:space="preserve"> that</w:t>
      </w:r>
      <w:r w:rsidR="000E51F6">
        <w:t xml:space="preserve"> encompass</w:t>
      </w:r>
      <w:r w:rsidR="00640E57">
        <w:t>ed</w:t>
      </w:r>
      <w:r w:rsidR="000E51F6">
        <w:t xml:space="preserve"> systematic monitoring, review and improvement; </w:t>
      </w:r>
      <w:r w:rsidR="009B7AFC">
        <w:t xml:space="preserve">that the provider managed human resources to ensure effective performance review and professional development of </w:t>
      </w:r>
      <w:r w:rsidR="00645A61">
        <w:t>its per</w:t>
      </w:r>
      <w:r w:rsidR="00D42FB1">
        <w:t>sonnel; that the qualifications</w:t>
      </w:r>
      <w:r w:rsidR="00645A61">
        <w:t>, exper</w:t>
      </w:r>
      <w:r w:rsidR="00664BD7">
        <w:t>ience and expertise of the provider’s</w:t>
      </w:r>
      <w:r w:rsidR="00645A61">
        <w:t xml:space="preserve"> academic staff</w:t>
      </w:r>
      <w:r w:rsidR="00664BD7">
        <w:t xml:space="preserve"> are appropriate to the nature, level and mode of delivery of the course of study and attainment of expected student learning outcomes; that the provider’</w:t>
      </w:r>
      <w:r w:rsidR="002B001F">
        <w:t>s staff have an understanding of pedagogical and/or adult learning principles relevant to the student cohort being taught; and that the provider’s staff are advised of student and other feedback on the quality of their teaching and have opportunities to improve their teaching.</w:t>
      </w:r>
    </w:p>
    <w:p w14:paraId="1839F19B" w14:textId="1C82B97C" w:rsidR="00711576" w:rsidRDefault="00A33FB9" w:rsidP="00364824">
      <w:pPr>
        <w:pStyle w:val="ParaNumbering"/>
      </w:pPr>
      <w:r>
        <w:t>Th</w:t>
      </w:r>
      <w:r w:rsidR="000D56CB">
        <w:t xml:space="preserve">e </w:t>
      </w:r>
      <w:r w:rsidR="005B01F0">
        <w:t xml:space="preserve">Provider Course Accreditation Standards </w:t>
      </w:r>
      <w:r w:rsidR="008C27B8">
        <w:t xml:space="preserve">in the 2011 Threshold Standards </w:t>
      </w:r>
      <w:r w:rsidR="000D56CB">
        <w:t>include</w:t>
      </w:r>
      <w:r w:rsidR="005B01F0">
        <w:t>d</w:t>
      </w:r>
      <w:r w:rsidR="000D56CB">
        <w:t xml:space="preserve">, in short summary, that the: course design </w:t>
      </w:r>
      <w:r w:rsidR="005E456B">
        <w:t>was</w:t>
      </w:r>
      <w:r w:rsidR="000D56CB">
        <w:t xml:space="preserve"> appropriate; course resourcing and information </w:t>
      </w:r>
      <w:r w:rsidR="005E456B">
        <w:t>was</w:t>
      </w:r>
      <w:r w:rsidR="000D56CB">
        <w:t xml:space="preserve"> adequate; admission criteria </w:t>
      </w:r>
      <w:r w:rsidR="005E456B">
        <w:t>were</w:t>
      </w:r>
      <w:r w:rsidR="000D56CB">
        <w:t xml:space="preserve"> appropriate; teaching </w:t>
      </w:r>
      <w:r w:rsidR="006C6FFC">
        <w:t xml:space="preserve">and learning </w:t>
      </w:r>
      <w:r w:rsidR="005E456B">
        <w:t>were</w:t>
      </w:r>
      <w:r w:rsidR="006C6FFC">
        <w:t xml:space="preserve"> of high quality; assessment </w:t>
      </w:r>
      <w:r w:rsidR="005E456B">
        <w:t>was</w:t>
      </w:r>
      <w:r w:rsidR="006C6FFC">
        <w:t xml:space="preserve"> effective and expected student outcomes </w:t>
      </w:r>
      <w:r w:rsidR="005E456B">
        <w:t>were</w:t>
      </w:r>
      <w:r w:rsidR="006C6FFC">
        <w:t xml:space="preserve"> achieved; and course monitoring, review, updating and termination </w:t>
      </w:r>
      <w:r w:rsidR="005E456B">
        <w:t>were</w:t>
      </w:r>
      <w:r w:rsidR="006C6FFC">
        <w:t xml:space="preserve"> appropriately managed.</w:t>
      </w:r>
    </w:p>
    <w:p w14:paraId="01F67565" w14:textId="77777777" w:rsidR="008C27B8" w:rsidRDefault="008C27B8" w:rsidP="00364824">
      <w:pPr>
        <w:pStyle w:val="ParaNumbering"/>
      </w:pPr>
      <w:r>
        <w:t>The 2015 Threshold Standards relevantly included</w:t>
      </w:r>
      <w:r w:rsidR="00C23B7A">
        <w:t xml:space="preserve"> the following standards: that staff with responsibilities for academic oversight and those with teaching and supervisory roles in courses or units of study were equipped for their roles, including having skills in contemporary teaching, </w:t>
      </w:r>
      <w:r w:rsidR="00C24033">
        <w:t>learning</w:t>
      </w:r>
      <w:r w:rsidR="00C23B7A">
        <w:t xml:space="preserve"> and assessment principles; that teachers who teach specialised components of a course of study </w:t>
      </w:r>
      <w:r w:rsidR="00C24033">
        <w:t xml:space="preserve">who may not fully meet the standards for knowledge, skills and qualification or experience required for teaching or supervision </w:t>
      </w:r>
      <w:r w:rsidR="00C23B7A">
        <w:t xml:space="preserve">have their teaching guided and overseen by staff who meet the </w:t>
      </w:r>
      <w:r w:rsidR="00C24033">
        <w:t>standard; that comprehensive reviews of courses of study were informed and supported by regular interim monitoring of the quality of teaching and supervision</w:t>
      </w:r>
      <w:r w:rsidR="00640E57">
        <w:t xml:space="preserve"> of</w:t>
      </w:r>
      <w:r w:rsidR="00C24033">
        <w:t xml:space="preserve"> </w:t>
      </w:r>
      <w:r w:rsidR="00462D13">
        <w:t xml:space="preserve">student progress and overall delivery of units within each course of study; and that academic oversight assured the quality of teaching, including by monitoring and reporting to the corporate governing body on the quality of teaching. </w:t>
      </w:r>
    </w:p>
    <w:p w14:paraId="67024C00" w14:textId="2A1FAA70" w:rsidR="00C91D32" w:rsidRDefault="00C91D32" w:rsidP="00364824">
      <w:pPr>
        <w:pStyle w:val="ParaNumbering"/>
      </w:pPr>
      <w:r>
        <w:t>The important point to note about both the 2011 and 2015 Threshold Standards is that they effectively required JMC</w:t>
      </w:r>
      <w:r w:rsidR="00C80980">
        <w:t xml:space="preserve">, as a registered </w:t>
      </w:r>
      <w:r w:rsidR="00B94CB8">
        <w:t xml:space="preserve">higher education </w:t>
      </w:r>
      <w:r w:rsidR="00C80980">
        <w:t xml:space="preserve">provider, to ensure that its academic and teaching staff were appropriately qualified and experienced.  </w:t>
      </w:r>
      <w:r w:rsidR="00D00F4C">
        <w:t xml:space="preserve">JMC could only allow appropriately qualified and experienced individuals to teach its students.  </w:t>
      </w:r>
      <w:r w:rsidR="00C80980">
        <w:t xml:space="preserve">Perhaps more significantly, JMC was required to supervise, monitor and review the performance of its academic and teaching staff to ensure that their teaching met the required standard for the </w:t>
      </w:r>
      <w:r w:rsidR="00C80980">
        <w:lastRenderedPageBreak/>
        <w:t>accredited courses</w:t>
      </w:r>
      <w:r w:rsidR="00B94CB8">
        <w:t xml:space="preserve"> it provided</w:t>
      </w:r>
      <w:r w:rsidR="00C80980">
        <w:t>.</w:t>
      </w:r>
      <w:r w:rsidR="00D00F4C">
        <w:t xml:space="preserve">  JMC could not simply employ or retain teaching staff and leave it up to them to determine</w:t>
      </w:r>
      <w:r w:rsidR="00FA1386">
        <w:t xml:space="preserve"> when, how and from where they were to teach JMC’s students. </w:t>
      </w:r>
      <w:r w:rsidR="00D00F4C">
        <w:t xml:space="preserve"> </w:t>
      </w:r>
    </w:p>
    <w:p w14:paraId="5E2A9190" w14:textId="18044CE3" w:rsidR="006C6FFC" w:rsidRDefault="00417760" w:rsidP="00417760">
      <w:pPr>
        <w:pStyle w:val="ParaNumbering"/>
      </w:pPr>
      <w:r w:rsidRPr="00417760">
        <w:t xml:space="preserve">JMC engaged individuals to, among other things, </w:t>
      </w:r>
      <w:r w:rsidR="00E76E21">
        <w:t xml:space="preserve">teach </w:t>
      </w:r>
      <w:r w:rsidRPr="00417760">
        <w:t>and assess TEQSA accredited courses</w:t>
      </w:r>
      <w:r w:rsidR="0021219A">
        <w:t>.</w:t>
      </w:r>
      <w:r w:rsidRPr="00417760">
        <w:t xml:space="preserve"> </w:t>
      </w:r>
      <w:r w:rsidR="00711576">
        <w:t xml:space="preserve">The accredited courses provided by JMC </w:t>
      </w:r>
      <w:r w:rsidR="00D42FB1">
        <w:t xml:space="preserve">relevantly </w:t>
      </w:r>
      <w:r w:rsidR="007615A7">
        <w:t>included a</w:t>
      </w:r>
      <w:r w:rsidR="00711576">
        <w:t xml:space="preserve"> Bachelor of Creative Technolog</w:t>
      </w:r>
      <w:r w:rsidR="00B94CB8">
        <w:t>ies</w:t>
      </w:r>
      <w:r w:rsidR="00711576">
        <w:t xml:space="preserve"> (Audio Engin</w:t>
      </w:r>
      <w:r w:rsidR="007615A7">
        <w:t>eering and Sound Production), a Bachelor of Creative Arts (Film and Television) and a Diploma of</w:t>
      </w:r>
      <w:r w:rsidR="00B94CB8">
        <w:t xml:space="preserve"> Audio Engineering and Sound Production</w:t>
      </w:r>
      <w:r w:rsidR="007615A7">
        <w:t>.  Each of those courses included units of study relating to audio</w:t>
      </w:r>
      <w:r w:rsidR="006A5742">
        <w:t xml:space="preserve"> engineering</w:t>
      </w:r>
      <w:r w:rsidR="007615A7">
        <w:t xml:space="preserve"> and sound production. </w:t>
      </w:r>
      <w:r w:rsidR="00711576">
        <w:t xml:space="preserve"> </w:t>
      </w:r>
      <w:r w:rsidR="006C6FFC">
        <w:t xml:space="preserve"> </w:t>
      </w:r>
    </w:p>
    <w:p w14:paraId="221F31EF" w14:textId="6E4ADCAA" w:rsidR="003F6B91" w:rsidRDefault="004F6DC8" w:rsidP="00C22C71">
      <w:pPr>
        <w:pStyle w:val="ParaNumbering"/>
      </w:pPr>
      <w:r>
        <w:t>Mr Harrison was at all relevant times</w:t>
      </w:r>
      <w:r w:rsidR="00EE4AC8">
        <w:t xml:space="preserve"> a </w:t>
      </w:r>
      <w:r>
        <w:t xml:space="preserve">qualified </w:t>
      </w:r>
      <w:r w:rsidR="00EE4AC8">
        <w:t>so</w:t>
      </w:r>
      <w:r w:rsidR="00C22C71">
        <w:t>und engineer or technician.  His qualifications include</w:t>
      </w:r>
      <w:r>
        <w:t>d</w:t>
      </w:r>
      <w:r w:rsidR="00C22C71">
        <w:t xml:space="preserve"> holding</w:t>
      </w:r>
      <w:r w:rsidR="00C22C71" w:rsidRPr="00C22C71">
        <w:t xml:space="preserve"> a Bachelor of Digital Media (Audio Production Major) from SAE Creative Media Institute </w:t>
      </w:r>
      <w:r w:rsidR="0021219A">
        <w:t>conferred in</w:t>
      </w:r>
      <w:r w:rsidR="00C22C71" w:rsidRPr="00C22C71">
        <w:t xml:space="preserve"> 2008 and a Master of Communication from Victoria University in June 2011</w:t>
      </w:r>
      <w:r w:rsidR="0093515B">
        <w:t>.</w:t>
      </w:r>
    </w:p>
    <w:p w14:paraId="21CB5187" w14:textId="7BBCC2EB" w:rsidR="002A7620" w:rsidRDefault="00E330D2" w:rsidP="002A7620">
      <w:pPr>
        <w:pStyle w:val="ParaNumbering"/>
      </w:pPr>
      <w:r>
        <w:t xml:space="preserve">From July 2011 to </w:t>
      </w:r>
      <w:r w:rsidR="00FA1386">
        <w:t>August</w:t>
      </w:r>
      <w:r w:rsidR="00177D95">
        <w:t xml:space="preserve"> 2017</w:t>
      </w:r>
      <w:r>
        <w:t xml:space="preserve">, JMC and </w:t>
      </w:r>
      <w:r w:rsidR="00177D95">
        <w:t>Mr Harrison entered into a series of contracts pursuant to which Mr Harrison</w:t>
      </w:r>
      <w:r w:rsidR="008407D3">
        <w:t xml:space="preserve"> agreed to provide “teaching services” to JMC and JMC agreed to pay Mr Harrison </w:t>
      </w:r>
      <w:r w:rsidR="00183F5A">
        <w:t>sums of money calculated by reference to specified hourly rates for a “lecture” and “marking”.</w:t>
      </w:r>
      <w:r w:rsidR="00F25172">
        <w:t xml:space="preserve">  </w:t>
      </w:r>
      <w:r w:rsidR="0020621C">
        <w:t xml:space="preserve">Each of the contracts related to teaching services in respect of specified </w:t>
      </w:r>
      <w:r w:rsidR="00F307F1">
        <w:t xml:space="preserve">units </w:t>
      </w:r>
      <w:r w:rsidR="0020621C">
        <w:t>o</w:t>
      </w:r>
      <w:r w:rsidR="00BB18A0">
        <w:t xml:space="preserve">f study during a specific period or “trimester”.  </w:t>
      </w:r>
      <w:r w:rsidR="00F25172">
        <w:t>The terms and conditions of s</w:t>
      </w:r>
      <w:r w:rsidR="002A7620">
        <w:t xml:space="preserve">ome of the contracts </w:t>
      </w:r>
      <w:r w:rsidR="00F25172">
        <w:t>were recorded in documents entitled “Memorandum of</w:t>
      </w:r>
      <w:r w:rsidR="006701CE">
        <w:t xml:space="preserve"> Agreement</w:t>
      </w:r>
      <w:r w:rsidR="00F25172">
        <w:t>”</w:t>
      </w:r>
      <w:r w:rsidR="00E76E21">
        <w:t xml:space="preserve"> which </w:t>
      </w:r>
      <w:r w:rsidR="00C63B41">
        <w:t xml:space="preserve">identified, in a schedule, </w:t>
      </w:r>
      <w:r w:rsidR="00E76E21">
        <w:t>the units of study and the trimester in which Mr Harrison was to provide teaching services</w:t>
      </w:r>
      <w:r w:rsidR="00F25172">
        <w:t>.  Other contracts w</w:t>
      </w:r>
      <w:r w:rsidR="0020621C">
        <w:t>ere entered into by the exchange of ema</w:t>
      </w:r>
      <w:r w:rsidR="001C4990">
        <w:t>ils which</w:t>
      </w:r>
      <w:r w:rsidR="0020621C">
        <w:t xml:space="preserve"> </w:t>
      </w:r>
      <w:r w:rsidR="00BB18A0">
        <w:t xml:space="preserve">specified the </w:t>
      </w:r>
      <w:r w:rsidR="00F307F1">
        <w:t xml:space="preserve">units </w:t>
      </w:r>
      <w:r w:rsidR="00BB18A0">
        <w:t xml:space="preserve">of study and </w:t>
      </w:r>
      <w:r w:rsidR="001C4990">
        <w:t xml:space="preserve">the </w:t>
      </w:r>
      <w:r w:rsidR="00BB18A0">
        <w:t>trimester in which Mr Harrison was to provide teaching services</w:t>
      </w:r>
      <w:r w:rsidR="0021219A">
        <w:t>,</w:t>
      </w:r>
      <w:r w:rsidR="00BB18A0">
        <w:t xml:space="preserve"> </w:t>
      </w:r>
      <w:r w:rsidR="001C4990">
        <w:t>and otherwise adopted or incorporated the term</w:t>
      </w:r>
      <w:r w:rsidR="006701CE">
        <w:t>s and conditions of a specified Memorandum of A</w:t>
      </w:r>
      <w:r w:rsidR="001C4990">
        <w:t>greement between Mr Harrison and JMC.  The documentary evidence in respect of some of the contracts was s</w:t>
      </w:r>
      <w:r w:rsidR="00A05340">
        <w:t>cant</w:t>
      </w:r>
      <w:r w:rsidR="001C4990">
        <w:t xml:space="preserve"> or</w:t>
      </w:r>
      <w:r w:rsidR="0021219A">
        <w:t>,</w:t>
      </w:r>
      <w:r w:rsidR="001C4990">
        <w:t xml:space="preserve"> in some cases</w:t>
      </w:r>
      <w:r w:rsidR="0021219A">
        <w:t xml:space="preserve">, </w:t>
      </w:r>
      <w:r w:rsidR="00C63B41">
        <w:t xml:space="preserve">essentially </w:t>
      </w:r>
      <w:r w:rsidR="001C4990">
        <w:t>non-existent, though</w:t>
      </w:r>
      <w:r w:rsidR="00EC05D6">
        <w:t xml:space="preserve"> the parties </w:t>
      </w:r>
      <w:r w:rsidR="004A0276">
        <w:t>generally</w:t>
      </w:r>
      <w:r w:rsidR="00EC05D6">
        <w:t xml:space="preserve"> proceeded on the basis that the terms and conditions of those contracts were relevantly the same as those contracts where </w:t>
      </w:r>
      <w:r w:rsidR="0021219A">
        <w:t xml:space="preserve">greater </w:t>
      </w:r>
      <w:r w:rsidR="00EC05D6">
        <w:t xml:space="preserve">documentary evidence was available. </w:t>
      </w:r>
      <w:r w:rsidR="001C4990">
        <w:t xml:space="preserve">  </w:t>
      </w:r>
      <w:r w:rsidR="0020621C">
        <w:t xml:space="preserve"> </w:t>
      </w:r>
      <w:r w:rsidR="00BE21C3">
        <w:t xml:space="preserve">  </w:t>
      </w:r>
    </w:p>
    <w:p w14:paraId="10036843" w14:textId="1B8AE473" w:rsidR="00E330D2" w:rsidRDefault="00BE21C3" w:rsidP="002A7620">
      <w:pPr>
        <w:pStyle w:val="ParaNumbering"/>
      </w:pPr>
      <w:r>
        <w:t>The contracts that are of direct relevance to the Commissioner’s assessment</w:t>
      </w:r>
      <w:r w:rsidR="00F307F1">
        <w:t>s</w:t>
      </w:r>
      <w:r>
        <w:t xml:space="preserve"> the subject of this proceeding are those that were in place during the period </w:t>
      </w:r>
      <w:r w:rsidR="0021219A">
        <w:t xml:space="preserve">from </w:t>
      </w:r>
      <w:r>
        <w:t>April 2013 to June 2016 and July 2017 to March 2018.  It is, however, relevant to have regard to the earlier contracts</w:t>
      </w:r>
      <w:r w:rsidR="002A7620">
        <w:t xml:space="preserve"> because they provide </w:t>
      </w:r>
      <w:r w:rsidR="006701CE">
        <w:t xml:space="preserve">potentially important </w:t>
      </w:r>
      <w:r w:rsidR="002A7620">
        <w:t xml:space="preserve">context. </w:t>
      </w:r>
      <w:r w:rsidR="00183F5A">
        <w:t xml:space="preserve"> </w:t>
      </w:r>
    </w:p>
    <w:p w14:paraId="6DC37900" w14:textId="25999E4E" w:rsidR="00DE51A0" w:rsidRDefault="00DE51A0" w:rsidP="00A86C6A">
      <w:pPr>
        <w:pStyle w:val="Heading2"/>
      </w:pPr>
      <w:r>
        <w:lastRenderedPageBreak/>
        <w:t>The first contract</w:t>
      </w:r>
      <w:r w:rsidR="00043AEB">
        <w:t xml:space="preserve"> – July</w:t>
      </w:r>
      <w:r w:rsidR="00BB625A">
        <w:t xml:space="preserve"> 2011</w:t>
      </w:r>
      <w:r w:rsidR="00043AEB">
        <w:t xml:space="preserve"> to October 2011</w:t>
      </w:r>
    </w:p>
    <w:p w14:paraId="7F05EAB5" w14:textId="77777777" w:rsidR="006701CE" w:rsidRDefault="0093515B" w:rsidP="00757A1C">
      <w:pPr>
        <w:pStyle w:val="ParaNumbering"/>
      </w:pPr>
      <w:r>
        <w:t xml:space="preserve">In July 2011, Mr Harrison applied for a position at JMC which was described as </w:t>
      </w:r>
      <w:r w:rsidR="0021219A">
        <w:t>“</w:t>
      </w:r>
      <w:r>
        <w:t>Audio Engineering Lecturer</w:t>
      </w:r>
      <w:r w:rsidR="0021219A">
        <w:t>”</w:t>
      </w:r>
      <w:r>
        <w:t xml:space="preserve">.  </w:t>
      </w:r>
      <w:r w:rsidR="00BA5351">
        <w:t>Shortly thereafter</w:t>
      </w:r>
      <w:r w:rsidR="0021219A">
        <w:t>,</w:t>
      </w:r>
      <w:r w:rsidR="00BA5351">
        <w:t xml:space="preserve"> he was engaged by JMC as a lecturer</w:t>
      </w:r>
      <w:r w:rsidR="00757A1C" w:rsidRPr="00757A1C">
        <w:t xml:space="preserve"> </w:t>
      </w:r>
      <w:r w:rsidR="006701CE">
        <w:t xml:space="preserve">and </w:t>
      </w:r>
      <w:r w:rsidR="00757A1C" w:rsidRPr="00757A1C">
        <w:t>began teaching classes</w:t>
      </w:r>
      <w:r w:rsidR="006701CE">
        <w:t xml:space="preserve"> at JMC’s Melbourne campus</w:t>
      </w:r>
      <w:r w:rsidR="00757A1C">
        <w:t xml:space="preserve">.  </w:t>
      </w:r>
    </w:p>
    <w:p w14:paraId="210A2FBF" w14:textId="4EA5AE0B" w:rsidR="00757A1C" w:rsidRDefault="006701CE" w:rsidP="00757A1C">
      <w:pPr>
        <w:pStyle w:val="ParaNumbering"/>
      </w:pPr>
      <w:r>
        <w:t xml:space="preserve">On 28 July 2011, </w:t>
      </w:r>
      <w:r w:rsidR="00757A1C">
        <w:t>Mr Harrison</w:t>
      </w:r>
      <w:r w:rsidR="000E35ED">
        <w:t xml:space="preserve"> signed a document entitled “</w:t>
      </w:r>
      <w:r w:rsidR="00FD154E">
        <w:t xml:space="preserve">Appendix 142: </w:t>
      </w:r>
      <w:r w:rsidR="000E35ED">
        <w:t>Induction Checklist for New Lecturers 2011</w:t>
      </w:r>
      <w:r w:rsidR="00FD154E">
        <w:t xml:space="preserve">”.  </w:t>
      </w:r>
      <w:r w:rsidR="00E20B64">
        <w:t xml:space="preserve">In signing the document, Mr Harrison acknowledged that he had received the Lecturer </w:t>
      </w:r>
      <w:r w:rsidR="0021219A">
        <w:t xml:space="preserve">Handbook, </w:t>
      </w:r>
      <w:r w:rsidR="00E20B64">
        <w:t xml:space="preserve">and had been </w:t>
      </w:r>
      <w:r w:rsidR="00C63B41">
        <w:t>“</w:t>
      </w:r>
      <w:r w:rsidR="00E20B64">
        <w:t>ind</w:t>
      </w:r>
      <w:r w:rsidR="0021219A">
        <w:t>u</w:t>
      </w:r>
      <w:r w:rsidR="00E20B64">
        <w:t>cted</w:t>
      </w:r>
      <w:r w:rsidR="00C63B41">
        <w:t>”</w:t>
      </w:r>
      <w:r w:rsidR="00E20B64">
        <w:t xml:space="preserve">.  </w:t>
      </w:r>
      <w:r w:rsidR="00F51352">
        <w:t xml:space="preserve">He </w:t>
      </w:r>
      <w:r w:rsidR="00FD154E">
        <w:t>also completed a document entitled “Appendix 83 – Staff Employment Details March 2011”</w:t>
      </w:r>
      <w:r w:rsidR="00714631">
        <w:t>,</w:t>
      </w:r>
      <w:r w:rsidR="00FD154E">
        <w:t xml:space="preserve"> which included his personal particulars and contact details. </w:t>
      </w:r>
      <w:r w:rsidR="00B40011">
        <w:t xml:space="preserve"> </w:t>
      </w:r>
    </w:p>
    <w:p w14:paraId="1ED66DF5" w14:textId="2F359582" w:rsidR="00BE25DF" w:rsidRDefault="004F6DC8" w:rsidP="00757A1C">
      <w:pPr>
        <w:pStyle w:val="ParaNumbering"/>
      </w:pPr>
      <w:r>
        <w:t>There wa</w:t>
      </w:r>
      <w:r w:rsidR="00393C8D">
        <w:t xml:space="preserve">s some </w:t>
      </w:r>
      <w:r>
        <w:t xml:space="preserve">indication </w:t>
      </w:r>
      <w:r w:rsidR="00393C8D">
        <w:t xml:space="preserve">that Mr Harrison may </w:t>
      </w:r>
      <w:r w:rsidR="0021219A">
        <w:t xml:space="preserve">have </w:t>
      </w:r>
      <w:r w:rsidR="00393C8D">
        <w:t>also</w:t>
      </w:r>
      <w:r w:rsidR="004C1B4C">
        <w:t xml:space="preserve"> signed a </w:t>
      </w:r>
      <w:r w:rsidR="00532980">
        <w:t>m</w:t>
      </w:r>
      <w:r w:rsidR="004C1B4C">
        <w:t xml:space="preserve">emorandum of </w:t>
      </w:r>
      <w:r w:rsidR="00532980">
        <w:t>a</w:t>
      </w:r>
      <w:r w:rsidR="00393C8D">
        <w:t>greement in</w:t>
      </w:r>
      <w:r w:rsidR="004C1B4C">
        <w:t xml:space="preserve"> terms relevantly identical to </w:t>
      </w:r>
      <w:r w:rsidR="00766132">
        <w:t>m</w:t>
      </w:r>
      <w:r w:rsidR="004C1B4C">
        <w:t xml:space="preserve">emoranda of </w:t>
      </w:r>
      <w:r w:rsidR="00766132">
        <w:t>a</w:t>
      </w:r>
      <w:r w:rsidR="00393C8D">
        <w:t xml:space="preserve">greement that he signed in respect of later periods.  </w:t>
      </w:r>
      <w:r w:rsidR="008D3625">
        <w:t xml:space="preserve">The copy of the document which was in evidence, however, </w:t>
      </w:r>
      <w:r w:rsidR="004C1B4C">
        <w:t xml:space="preserve">was not complete and did </w:t>
      </w:r>
      <w:r w:rsidR="008D3625">
        <w:t xml:space="preserve">not include the signature page or </w:t>
      </w:r>
      <w:r w:rsidR="004C1B4C">
        <w:t xml:space="preserve">the </w:t>
      </w:r>
      <w:r w:rsidR="008D3625">
        <w:t>schedule which describe</w:t>
      </w:r>
      <w:r w:rsidR="00532980">
        <w:t>d</w:t>
      </w:r>
      <w:r w:rsidR="008D3625">
        <w:t xml:space="preserve"> the relevant period to which the memorandum relate</w:t>
      </w:r>
      <w:r w:rsidR="00532980">
        <w:t>d</w:t>
      </w:r>
      <w:r w:rsidR="008D3625">
        <w:t>.</w:t>
      </w:r>
      <w:r w:rsidR="00043AEB">
        <w:t xml:space="preserve">  If such a document was signed, it may be inferred that i</w:t>
      </w:r>
      <w:r w:rsidR="004C1B4C">
        <w:t>t was in the same terms as the M</w:t>
      </w:r>
      <w:r w:rsidR="00043AEB">
        <w:t xml:space="preserve">emorandum </w:t>
      </w:r>
      <w:r w:rsidR="004C1B4C">
        <w:t xml:space="preserve">of Agreement </w:t>
      </w:r>
      <w:r w:rsidR="00043AEB">
        <w:t>dated 16 October 2012</w:t>
      </w:r>
      <w:r w:rsidR="00E852F4">
        <w:t>,</w:t>
      </w:r>
      <w:r w:rsidR="00043AEB">
        <w:t xml:space="preserve"> as set out below. </w:t>
      </w:r>
      <w:r w:rsidR="008D3625">
        <w:t xml:space="preserve"> </w:t>
      </w:r>
    </w:p>
    <w:p w14:paraId="234512FE" w14:textId="77777777" w:rsidR="00E4661D" w:rsidRDefault="00E4661D" w:rsidP="00757A1C">
      <w:pPr>
        <w:pStyle w:val="ParaNumbering"/>
      </w:pPr>
      <w:r>
        <w:t>Mr Harrison’s evidence was that he taught “Sound f</w:t>
      </w:r>
      <w:r w:rsidR="00B53075">
        <w:t>or Film” classes</w:t>
      </w:r>
      <w:r w:rsidR="00043AEB">
        <w:t xml:space="preserve"> (AUD303) between 28 July 2011</w:t>
      </w:r>
      <w:r>
        <w:t xml:space="preserve"> and 18 October 2011.</w:t>
      </w:r>
    </w:p>
    <w:p w14:paraId="2BF65C96" w14:textId="77777777" w:rsidR="00F504C4" w:rsidRDefault="00F504C4" w:rsidP="00F504C4">
      <w:pPr>
        <w:pStyle w:val="Heading2"/>
      </w:pPr>
      <w:r>
        <w:t xml:space="preserve">The </w:t>
      </w:r>
      <w:r w:rsidR="00DE51A0">
        <w:t xml:space="preserve">second </w:t>
      </w:r>
      <w:r>
        <w:t>contract</w:t>
      </w:r>
    </w:p>
    <w:p w14:paraId="254AB6D1" w14:textId="59300527" w:rsidR="002D60F8" w:rsidRDefault="002D60F8" w:rsidP="002D60F8">
      <w:pPr>
        <w:pStyle w:val="ParaNumbering"/>
      </w:pPr>
      <w:r w:rsidRPr="002D60F8">
        <w:t>On 14 February 2012, Mr Harrison signed a document entitled “</w:t>
      </w:r>
      <w:r w:rsidRPr="003849C7">
        <w:rPr>
          <w:b/>
        </w:rPr>
        <w:t xml:space="preserve">Lecturer </w:t>
      </w:r>
      <w:r w:rsidR="00222C3F" w:rsidRPr="00222C3F">
        <w:rPr>
          <w:b/>
        </w:rPr>
        <w:t xml:space="preserve">– </w:t>
      </w:r>
      <w:r w:rsidRPr="003849C7">
        <w:rPr>
          <w:b/>
        </w:rPr>
        <w:t>Position</w:t>
      </w:r>
      <w:r w:rsidR="00045A52">
        <w:rPr>
          <w:b/>
        </w:rPr>
        <w:t xml:space="preserve"> </w:t>
      </w:r>
      <w:r w:rsidRPr="003849C7">
        <w:rPr>
          <w:b/>
        </w:rPr>
        <w:t>Description</w:t>
      </w:r>
      <w:r w:rsidRPr="002D60F8">
        <w:t xml:space="preserve"> 11/23”.  That document described the “objectives” of the position as including to “deliver the Academy’s Higher Education and VET curriculum” and “assess Higher Education and VET students”.  It described the basic job function as including “</w:t>
      </w:r>
      <w:r w:rsidR="000F34D9">
        <w:t>[t]</w:t>
      </w:r>
      <w:proofErr w:type="spellStart"/>
      <w:r w:rsidRPr="002D60F8">
        <w:t>eaching</w:t>
      </w:r>
      <w:proofErr w:type="spellEnd"/>
      <w:r w:rsidRPr="002D60F8">
        <w:t xml:space="preserve"> and </w:t>
      </w:r>
      <w:r w:rsidR="000F34D9">
        <w:t>t</w:t>
      </w:r>
      <w:r w:rsidRPr="002D60F8">
        <w:t>raining” and “</w:t>
      </w:r>
      <w:r w:rsidR="000F34D9">
        <w:t>[w]</w:t>
      </w:r>
      <w:proofErr w:type="spellStart"/>
      <w:r w:rsidRPr="002D60F8">
        <w:t>riting</w:t>
      </w:r>
      <w:proofErr w:type="spellEnd"/>
      <w:r w:rsidRPr="002D60F8">
        <w:t xml:space="preserve"> lesson plans and devising assessments”.  It also recorded that the position of lecturer reported to the “Head of Department on academic matters and the Campus Manager on operational matters”.</w:t>
      </w:r>
    </w:p>
    <w:p w14:paraId="3E543EFA" w14:textId="3EC7E91F" w:rsidR="00F504C4" w:rsidRDefault="003A05E1" w:rsidP="003A05E1">
      <w:pPr>
        <w:pStyle w:val="ParaNumbering"/>
      </w:pPr>
      <w:r>
        <w:t xml:space="preserve">On 16 October 2012, Mr Harrison signed two documents.  The first document was another copy of the </w:t>
      </w:r>
      <w:r w:rsidRPr="003A05E1">
        <w:t>Lect</w:t>
      </w:r>
      <w:r w:rsidR="00257045">
        <w:t xml:space="preserve">urer Position </w:t>
      </w:r>
      <w:r w:rsidR="00A10F7A">
        <w:t xml:space="preserve">– </w:t>
      </w:r>
      <w:r w:rsidR="00257045">
        <w:t>Description</w:t>
      </w:r>
      <w:r>
        <w:t xml:space="preserve">.  The second was a document entitled </w:t>
      </w:r>
      <w:r w:rsidR="00EA5549">
        <w:t>“</w:t>
      </w:r>
      <w:r>
        <w:t>Memorandum of Agreement”</w:t>
      </w:r>
      <w:r w:rsidR="00723DF8">
        <w:t xml:space="preserve"> (the </w:t>
      </w:r>
      <w:r w:rsidR="00723DF8" w:rsidRPr="00723DF8">
        <w:rPr>
          <w:b/>
        </w:rPr>
        <w:t>first MOA</w:t>
      </w:r>
      <w:r w:rsidR="00723DF8">
        <w:t>)</w:t>
      </w:r>
      <w:r>
        <w:t>.</w:t>
      </w:r>
      <w:r w:rsidR="00EE13A6">
        <w:t xml:space="preserve">  It is important to se</w:t>
      </w:r>
      <w:r w:rsidR="00A96476">
        <w:t>t out the terms of the first MOA</w:t>
      </w:r>
      <w:r w:rsidR="00EE13A6">
        <w:t xml:space="preserve"> in full</w:t>
      </w:r>
      <w:r w:rsidR="00ED789A">
        <w:t xml:space="preserve"> (emphasis in original)</w:t>
      </w:r>
      <w:r w:rsidR="00EE13A6">
        <w:t>.</w:t>
      </w:r>
    </w:p>
    <w:p w14:paraId="4100C880" w14:textId="77777777" w:rsidR="00560D04" w:rsidRPr="00560D04" w:rsidRDefault="00560D04" w:rsidP="00B13D70">
      <w:pPr>
        <w:pStyle w:val="Quote1"/>
        <w:ind w:left="0"/>
        <w:jc w:val="center"/>
        <w:rPr>
          <w:b/>
        </w:rPr>
      </w:pPr>
      <w:r w:rsidRPr="00560D04">
        <w:rPr>
          <w:b/>
        </w:rPr>
        <w:t>MEMORANDUM OF AGREEMENT</w:t>
      </w:r>
    </w:p>
    <w:p w14:paraId="56189B82" w14:textId="77777777" w:rsidR="00560D04" w:rsidRPr="00B13D70" w:rsidRDefault="00560D04" w:rsidP="00B13D70">
      <w:pPr>
        <w:pStyle w:val="Quote1"/>
        <w:rPr>
          <w:b/>
        </w:rPr>
      </w:pPr>
      <w:r w:rsidRPr="00B13D70">
        <w:rPr>
          <w:b/>
        </w:rPr>
        <w:lastRenderedPageBreak/>
        <w:t>Parties:</w:t>
      </w:r>
    </w:p>
    <w:p w14:paraId="0912AF3C" w14:textId="09712E12" w:rsidR="00560D04" w:rsidRDefault="00560D04" w:rsidP="00B13D70">
      <w:pPr>
        <w:pStyle w:val="Quote1"/>
      </w:pPr>
      <w:r>
        <w:t xml:space="preserve">The Parties to this Agreement are: </w:t>
      </w:r>
      <w:r w:rsidRPr="00B13D70">
        <w:rPr>
          <w:b/>
        </w:rPr>
        <w:t>JMC Pty Limited (ACN:</w:t>
      </w:r>
      <w:r w:rsidR="00042A5B">
        <w:rPr>
          <w:b/>
        </w:rPr>
        <w:t xml:space="preserve"> 003 572 012) of 41 Holt Street, Surry Hills, New South Wales 2010</w:t>
      </w:r>
      <w:r w:rsidRPr="00B13D70">
        <w:rPr>
          <w:b/>
        </w:rPr>
        <w:t xml:space="preserve"> trading as JMC Academy (the Academy)</w:t>
      </w:r>
    </w:p>
    <w:p w14:paraId="2CD93E94" w14:textId="77777777" w:rsidR="00560D04" w:rsidRDefault="00560D04" w:rsidP="00B13D70">
      <w:pPr>
        <w:pStyle w:val="Quote1"/>
      </w:pPr>
      <w:r>
        <w:t>And</w:t>
      </w:r>
    </w:p>
    <w:p w14:paraId="25428CEF" w14:textId="61B4AD41" w:rsidR="00560D04" w:rsidRDefault="00657A7A" w:rsidP="00B13D70">
      <w:pPr>
        <w:pStyle w:val="Quote1"/>
      </w:pPr>
      <w:r>
        <w:rPr>
          <w:b/>
        </w:rPr>
        <w:t>Nick Harrison</w:t>
      </w:r>
      <w:r w:rsidR="00560D04">
        <w:t xml:space="preserve"> (</w:t>
      </w:r>
      <w:r w:rsidR="00E436DD">
        <w:t>t</w:t>
      </w:r>
      <w:r w:rsidR="00560D04">
        <w:t>he Services provider)</w:t>
      </w:r>
      <w:r>
        <w:t xml:space="preserve"> of</w:t>
      </w:r>
    </w:p>
    <w:p w14:paraId="05256626" w14:textId="6B5463FB" w:rsidR="00560D04" w:rsidRDefault="00560D04" w:rsidP="00B13D70">
      <w:pPr>
        <w:pStyle w:val="Quote1"/>
      </w:pPr>
      <w:r>
        <w:t>[REDACTED ADDRES</w:t>
      </w:r>
      <w:r w:rsidR="00657A7A">
        <w:t>S] trading as NICHOLLAS HARRISON</w:t>
      </w:r>
      <w:r w:rsidR="0090116F">
        <w:t xml:space="preserve"> [registered business name]</w:t>
      </w:r>
    </w:p>
    <w:p w14:paraId="06CC7190" w14:textId="77777777" w:rsidR="006C34C2" w:rsidRPr="00B13D70" w:rsidRDefault="00560D04" w:rsidP="00B13D70">
      <w:pPr>
        <w:pStyle w:val="Quote1"/>
        <w:rPr>
          <w:b/>
        </w:rPr>
      </w:pPr>
      <w:r w:rsidRPr="00B13D70">
        <w:rPr>
          <w:b/>
        </w:rPr>
        <w:t>Recitals:</w:t>
      </w:r>
    </w:p>
    <w:p w14:paraId="6C2D45CD" w14:textId="77777777" w:rsidR="00B46307" w:rsidRPr="00B46307" w:rsidRDefault="00B46307" w:rsidP="00C12B93">
      <w:pPr>
        <w:pStyle w:val="Quote1"/>
        <w:ind w:left="1440" w:hanging="703"/>
      </w:pPr>
      <w:r w:rsidRPr="00B46307">
        <w:rPr>
          <w:b/>
        </w:rPr>
        <w:t>1</w:t>
      </w:r>
      <w:r w:rsidR="00C12B93">
        <w:rPr>
          <w:b/>
        </w:rPr>
        <w:tab/>
      </w:r>
      <w:r w:rsidRPr="00B46307">
        <w:t>The Academy is a recognised provider of approved Higher Education programmes.</w:t>
      </w:r>
    </w:p>
    <w:p w14:paraId="1FDBB4EC" w14:textId="77777777" w:rsidR="00B46307" w:rsidRPr="00B46307" w:rsidRDefault="00B46307" w:rsidP="00C12B93">
      <w:pPr>
        <w:pStyle w:val="Quote1"/>
        <w:ind w:left="1440" w:hanging="703"/>
      </w:pPr>
      <w:r w:rsidRPr="00B46307">
        <w:rPr>
          <w:b/>
        </w:rPr>
        <w:t>2</w:t>
      </w:r>
      <w:r w:rsidR="00C12B93">
        <w:rPr>
          <w:b/>
        </w:rPr>
        <w:tab/>
      </w:r>
      <w:r w:rsidRPr="00B46307">
        <w:t xml:space="preserve">The services provider has offered to provide teaching services to the Academy in the Unit or Units set out in the Schedule to this Agreement and has represented to the Academy that she/he is able to provide such services to the Academy at the standard required to deliver Higher Education programmes and that she/he is qualified, capable and suitably experienced to do so with the skills required and in a manner necessary to provide learning outcomes consistent with accreditation requirements. In providing such services she/he is permitted to utilize any of their own tools, props, computer software </w:t>
      </w:r>
      <w:proofErr w:type="spellStart"/>
      <w:r w:rsidRPr="00B46307">
        <w:t>etc</w:t>
      </w:r>
      <w:proofErr w:type="spellEnd"/>
      <w:r w:rsidRPr="00B46307">
        <w:t xml:space="preserve"> that she/he feels will assist them in their teaching services but must do so with the expressed permission of the academy.</w:t>
      </w:r>
    </w:p>
    <w:p w14:paraId="4AB8877E" w14:textId="77777777" w:rsidR="00B46307" w:rsidRPr="00B46307" w:rsidRDefault="00B46307" w:rsidP="00C12B93">
      <w:pPr>
        <w:pStyle w:val="Quote1"/>
        <w:ind w:left="1440" w:hanging="703"/>
      </w:pPr>
      <w:r w:rsidRPr="00B46307">
        <w:rPr>
          <w:b/>
        </w:rPr>
        <w:t>3</w:t>
      </w:r>
      <w:r w:rsidR="00C12B93">
        <w:rPr>
          <w:b/>
        </w:rPr>
        <w:tab/>
      </w:r>
      <w:r w:rsidRPr="00B46307">
        <w:t>Relying on the representations of the Services provider the Academy has accepted the offer by the Services provider to provide teaching services in the Unit or Units set out in the Schedule.</w:t>
      </w:r>
    </w:p>
    <w:p w14:paraId="2432CABC" w14:textId="77FDFD1C" w:rsidR="00B46307" w:rsidRDefault="00B46307" w:rsidP="00C31354">
      <w:pPr>
        <w:pStyle w:val="Quote1"/>
        <w:ind w:left="1440" w:hanging="703"/>
      </w:pPr>
      <w:r w:rsidRPr="00B46307">
        <w:rPr>
          <w:b/>
        </w:rPr>
        <w:t>4</w:t>
      </w:r>
      <w:r w:rsidR="00C31354">
        <w:rPr>
          <w:b/>
        </w:rPr>
        <w:tab/>
      </w:r>
      <w:r w:rsidRPr="00B46307">
        <w:t>Th</w:t>
      </w:r>
      <w:r w:rsidR="00E436DD">
        <w:t>is</w:t>
      </w:r>
      <w:r w:rsidRPr="00B46307">
        <w:t xml:space="preserve"> Memorandum records the terms upon which the Parties are agreed that the Services provider will provide teaching services in the Unit or Units set out in the Schedule to the Academy.</w:t>
      </w:r>
    </w:p>
    <w:p w14:paraId="4B985F98" w14:textId="77777777" w:rsidR="00B46307" w:rsidRPr="00004A1F" w:rsidRDefault="00B46307" w:rsidP="00004A1F">
      <w:pPr>
        <w:pStyle w:val="Quote1"/>
        <w:rPr>
          <w:b/>
        </w:rPr>
      </w:pPr>
      <w:r w:rsidRPr="00004A1F">
        <w:rPr>
          <w:b/>
        </w:rPr>
        <w:t>Terms:</w:t>
      </w:r>
    </w:p>
    <w:p w14:paraId="2F982722" w14:textId="364FF208" w:rsidR="00B46307" w:rsidRDefault="00B46307" w:rsidP="00004A1F">
      <w:pPr>
        <w:pStyle w:val="Quote1"/>
        <w:ind w:left="1440" w:hanging="703"/>
      </w:pPr>
      <w:r w:rsidRPr="00B46307">
        <w:rPr>
          <w:b/>
        </w:rPr>
        <w:t>1</w:t>
      </w:r>
      <w:r w:rsidR="00004A1F">
        <w:rPr>
          <w:b/>
        </w:rPr>
        <w:tab/>
      </w:r>
      <w:r>
        <w:t>It is a condition precedent to this Agreement that, prior to first providing to the Academy the teaching services in the Schedule this Agreement (the Schedule), the Services provider provides to the Academy current documentary evidence establishing that there is no impediment to her/him providing teaching or other services to children or young persons by virtue of legislation relating to the protection of children or young persons enacted in the State or States in which he/she is to provide those teaching services.</w:t>
      </w:r>
    </w:p>
    <w:p w14:paraId="7B21FFD1" w14:textId="068E2D98" w:rsidR="00B46307" w:rsidRDefault="00B46307" w:rsidP="00311AE1">
      <w:pPr>
        <w:pStyle w:val="Quote1"/>
        <w:ind w:left="1440" w:hanging="703"/>
      </w:pPr>
      <w:r w:rsidRPr="00B46307">
        <w:rPr>
          <w:b/>
        </w:rPr>
        <w:t>2</w:t>
      </w:r>
      <w:r w:rsidR="00311AE1">
        <w:rPr>
          <w:b/>
        </w:rPr>
        <w:tab/>
      </w:r>
      <w:r>
        <w:t xml:space="preserve">Subject to the condition precedent in Term1, this Agreement will commence on the date of its execution by the Services provider or upon the date on which the Services provider first provides to the Academy a service in the Schedule, whichever is </w:t>
      </w:r>
      <w:r w:rsidR="00841F5C">
        <w:t xml:space="preserve">the </w:t>
      </w:r>
      <w:r>
        <w:t>earlier.</w:t>
      </w:r>
    </w:p>
    <w:p w14:paraId="625FE52B" w14:textId="77777777" w:rsidR="00270D09" w:rsidRDefault="00B46307" w:rsidP="00311AE1">
      <w:pPr>
        <w:pStyle w:val="Quote1"/>
        <w:ind w:left="1440" w:hanging="703"/>
      </w:pPr>
      <w:r w:rsidRPr="00B46307">
        <w:rPr>
          <w:b/>
        </w:rPr>
        <w:t>3</w:t>
      </w:r>
      <w:r w:rsidR="00311AE1">
        <w:rPr>
          <w:b/>
        </w:rPr>
        <w:tab/>
      </w:r>
      <w:r>
        <w:t>As soon as practicable after the commencement of this Agreement the Services provider will produce to the Academy such original documents establishing that she/he is qualified, capable and suitably experienced to provide the services in the Schedule as the Academy may require,</w:t>
      </w:r>
      <w:r w:rsidR="00270D09">
        <w:t xml:space="preserve"> including the original testamurs of her/his Academic Award, and will provide the Academy with </w:t>
      </w:r>
      <w:r w:rsidR="00270D09">
        <w:lastRenderedPageBreak/>
        <w:t>certified copies of same.</w:t>
      </w:r>
    </w:p>
    <w:p w14:paraId="13E7805C" w14:textId="77777777" w:rsidR="00270D09" w:rsidRDefault="00270D09" w:rsidP="00311AE1">
      <w:pPr>
        <w:pStyle w:val="Quote1"/>
        <w:ind w:left="1440" w:hanging="703"/>
      </w:pPr>
      <w:r w:rsidRPr="00270D09">
        <w:rPr>
          <w:b/>
        </w:rPr>
        <w:t>4</w:t>
      </w:r>
      <w:r w:rsidR="00311AE1">
        <w:rPr>
          <w:b/>
        </w:rPr>
        <w:tab/>
      </w:r>
      <w:r>
        <w:t>The Services provider will personally provide teaching services to the Academy in accordance with the Schedule and will do so in a manner consistent with the representations set out in Recital 2.</w:t>
      </w:r>
    </w:p>
    <w:p w14:paraId="333405D1" w14:textId="77777777" w:rsidR="00270D09" w:rsidRDefault="00270D09" w:rsidP="00311AE1">
      <w:pPr>
        <w:pStyle w:val="Quote1"/>
        <w:ind w:left="1440" w:hanging="703"/>
      </w:pPr>
      <w:r w:rsidRPr="00270D09">
        <w:rPr>
          <w:b/>
        </w:rPr>
        <w:t>5</w:t>
      </w:r>
      <w:r w:rsidR="00311AE1">
        <w:rPr>
          <w:b/>
        </w:rPr>
        <w:tab/>
      </w:r>
      <w:r>
        <w:t>The Services provider may sub-contract or assign to another person or corporation the provision to the Academy of the teaching services required of her/him by this Agreement but must do so with the written consent of The Academy’s representative.</w:t>
      </w:r>
    </w:p>
    <w:p w14:paraId="6DCFE5D6" w14:textId="77777777" w:rsidR="00270D09" w:rsidRDefault="00270D09" w:rsidP="00311AE1">
      <w:pPr>
        <w:pStyle w:val="Quote1"/>
        <w:ind w:left="1440" w:hanging="703"/>
      </w:pPr>
      <w:r w:rsidRPr="00270D09">
        <w:rPr>
          <w:b/>
        </w:rPr>
        <w:t>6</w:t>
      </w:r>
      <w:r w:rsidR="00311AE1">
        <w:rPr>
          <w:b/>
        </w:rPr>
        <w:tab/>
      </w:r>
      <w:r>
        <w:t>If on any occasion listed in the Schedule the Services provider does not provide teaching services to the Academy without reasonable notice, the Academy may, at its absolute discretion, deduct from any monies payable to the Services provider under these Terms any costs reasonably incurred in securing teaching services for the particular occasion.</w:t>
      </w:r>
    </w:p>
    <w:p w14:paraId="5BB12473" w14:textId="77777777" w:rsidR="00B46307" w:rsidRPr="00546520" w:rsidRDefault="00270D09" w:rsidP="004123DA">
      <w:pPr>
        <w:pStyle w:val="Quote1"/>
        <w:ind w:left="1440" w:hanging="703"/>
        <w:rPr>
          <w:szCs w:val="22"/>
        </w:rPr>
      </w:pPr>
      <w:r w:rsidRPr="004123DA">
        <w:rPr>
          <w:b/>
        </w:rPr>
        <w:t>7</w:t>
      </w:r>
      <w:r w:rsidR="004123DA">
        <w:rPr>
          <w:b/>
        </w:rPr>
        <w:tab/>
      </w:r>
      <w:r>
        <w:t xml:space="preserve">Subject to these Terms, in consideration for the Services provider providing teaching services to the Academy, the Academy will pay to the Services provider the following sums in respect of teaching services provided to the </w:t>
      </w:r>
      <w:r w:rsidRPr="00546520">
        <w:rPr>
          <w:szCs w:val="22"/>
        </w:rPr>
        <w:t>Academy in accordance with the Schedule:</w:t>
      </w:r>
    </w:p>
    <w:p w14:paraId="35D02439" w14:textId="47CA335E" w:rsidR="00270D09" w:rsidRPr="00546520" w:rsidRDefault="00270D09" w:rsidP="00CB7038">
      <w:pPr>
        <w:pStyle w:val="Quote2Bullet"/>
      </w:pPr>
      <w:r w:rsidRPr="00546520">
        <w:t>A Lecture</w:t>
      </w:r>
      <w:r w:rsidR="007D74D5" w:rsidRPr="00546520">
        <w:tab/>
      </w:r>
      <w:r w:rsidR="007D74D5" w:rsidRPr="00546520">
        <w:tab/>
      </w:r>
      <w:r w:rsidRPr="00546520">
        <w:t>$6</w:t>
      </w:r>
      <w:r w:rsidR="001D0529">
        <w:t>0</w:t>
      </w:r>
      <w:r w:rsidRPr="00546520">
        <w:t>.00 p</w:t>
      </w:r>
      <w:r w:rsidR="00CD7B74">
        <w:t>er</w:t>
      </w:r>
      <w:r w:rsidRPr="00546520">
        <w:t xml:space="preserve"> </w:t>
      </w:r>
      <w:r w:rsidR="00FF5DC7">
        <w:t>h</w:t>
      </w:r>
      <w:r w:rsidRPr="00546520">
        <w:t>r</w:t>
      </w:r>
    </w:p>
    <w:p w14:paraId="0D0A6D63" w14:textId="77777777" w:rsidR="00270D09" w:rsidRPr="00546520" w:rsidRDefault="00270D09" w:rsidP="00CB7038">
      <w:pPr>
        <w:pStyle w:val="Quote2Bullet"/>
      </w:pPr>
      <w:r w:rsidRPr="00546520">
        <w:t>A Tutorial</w:t>
      </w:r>
      <w:r w:rsidR="007D74D5" w:rsidRPr="00546520">
        <w:tab/>
      </w:r>
      <w:r w:rsidR="007D74D5" w:rsidRPr="00546520">
        <w:tab/>
      </w:r>
      <w:r w:rsidRPr="00546520">
        <w:t>$ N/A</w:t>
      </w:r>
    </w:p>
    <w:p w14:paraId="641317CD" w14:textId="77777777" w:rsidR="00270D09" w:rsidRPr="00546520" w:rsidRDefault="00270D09" w:rsidP="00CB7038">
      <w:pPr>
        <w:pStyle w:val="Quote2Bullet"/>
      </w:pPr>
      <w:r w:rsidRPr="00546520">
        <w:t>A Demonstration</w:t>
      </w:r>
      <w:r w:rsidR="007D74D5" w:rsidRPr="00546520">
        <w:tab/>
      </w:r>
      <w:r w:rsidRPr="00546520">
        <w:t>$ N/A</w:t>
      </w:r>
    </w:p>
    <w:p w14:paraId="4B84ED16" w14:textId="7CC6D033" w:rsidR="00270D09" w:rsidRPr="00546520" w:rsidRDefault="00270D09" w:rsidP="00CB7038">
      <w:pPr>
        <w:pStyle w:val="Quote2Bullet"/>
      </w:pPr>
      <w:r w:rsidRPr="00546520">
        <w:t>Marking</w:t>
      </w:r>
      <w:r w:rsidR="007D74D5" w:rsidRPr="00546520">
        <w:tab/>
      </w:r>
      <w:r w:rsidR="007D74D5" w:rsidRPr="00546520">
        <w:tab/>
      </w:r>
      <w:r w:rsidRPr="00546520">
        <w:t>$30.00 p</w:t>
      </w:r>
      <w:r w:rsidR="00D50648">
        <w:t>er</w:t>
      </w:r>
      <w:r w:rsidRPr="00546520">
        <w:t xml:space="preserve"> hr</w:t>
      </w:r>
    </w:p>
    <w:p w14:paraId="4588481F" w14:textId="77777777" w:rsidR="00270D09" w:rsidRPr="00546520" w:rsidRDefault="00270D09" w:rsidP="00CB7038">
      <w:pPr>
        <w:pStyle w:val="Quote2Bullet"/>
      </w:pPr>
      <w:r w:rsidRPr="00546520">
        <w:t xml:space="preserve">Each other scheduled activity ; approved by Academic Manager (refer to unit assessment </w:t>
      </w:r>
      <w:proofErr w:type="spellStart"/>
      <w:r w:rsidRPr="00546520">
        <w:t>marix</w:t>
      </w:r>
      <w:proofErr w:type="spellEnd"/>
      <w:r w:rsidRPr="00546520">
        <w:t xml:space="preserve"> [sic])</w:t>
      </w:r>
    </w:p>
    <w:p w14:paraId="1843B304" w14:textId="77777777" w:rsidR="00270D09" w:rsidRDefault="00270D09" w:rsidP="009C79FD">
      <w:pPr>
        <w:pStyle w:val="Quote1"/>
        <w:ind w:left="1440"/>
      </w:pPr>
      <w:r w:rsidRPr="00270D09">
        <w:t>Provided that should the Parties agree to the provision of teaching services additional to those in the Schedule, the consideration for the provision of such services will be that provided for in this Term.</w:t>
      </w:r>
    </w:p>
    <w:p w14:paraId="78376D8D" w14:textId="5A1DD9F7" w:rsidR="00270D09" w:rsidRDefault="00270D09" w:rsidP="0001344F">
      <w:pPr>
        <w:pStyle w:val="Quote1"/>
        <w:ind w:left="1440" w:hanging="703"/>
        <w:rPr>
          <w:b/>
          <w:u w:val="single"/>
        </w:rPr>
      </w:pPr>
      <w:r w:rsidRPr="00270D09">
        <w:rPr>
          <w:b/>
        </w:rPr>
        <w:t>8</w:t>
      </w:r>
      <w:r w:rsidR="0001344F">
        <w:rPr>
          <w:b/>
        </w:rPr>
        <w:tab/>
      </w:r>
      <w:r w:rsidRPr="00270D09">
        <w:t>Where the Academic officer who is responsible for managing the supplying of teaching service under this Agreement is satisfied that the provision of a particular teaching service in the Schedule by the Services provider has been incomplete or has not adequately dealt with an aspect or aspects of the teaching requirements for the particu</w:t>
      </w:r>
      <w:r w:rsidR="002E17B8">
        <w:t>lar service, the Academy may, a</w:t>
      </w:r>
      <w:r w:rsidR="004E1780">
        <w:t>t</w:t>
      </w:r>
      <w:r w:rsidRPr="00270D09">
        <w:t xml:space="preserve"> its absolute discretion, either require the Services provider to repeat provision of the particular service to the satisfaction of the Academic officer without additional payment or withhold payment from the service provider in relation to the particular teaching service and make such other arrangements for the provision of the particular teaching service as it may deem appropriate, specifically, but not limited to, </w:t>
      </w:r>
      <w:r w:rsidRPr="00270D09">
        <w:rPr>
          <w:b/>
          <w:u w:val="single"/>
        </w:rPr>
        <w:t>the return of marked assessments to administration within 7 working days.</w:t>
      </w:r>
    </w:p>
    <w:p w14:paraId="0172B6E8" w14:textId="77777777" w:rsidR="00270D09" w:rsidRDefault="00270D09" w:rsidP="00034ADC">
      <w:pPr>
        <w:pStyle w:val="Quote1"/>
        <w:ind w:left="1440" w:hanging="703"/>
      </w:pPr>
      <w:r w:rsidRPr="00270D09">
        <w:rPr>
          <w:b/>
        </w:rPr>
        <w:t>9</w:t>
      </w:r>
      <w:r w:rsidR="00034ADC">
        <w:rPr>
          <w:b/>
        </w:rPr>
        <w:tab/>
      </w:r>
      <w:r>
        <w:t xml:space="preserve">It is of the essence of the Agreement that at all times when the Services provider is providing teaching services to the Academy she/he will be conversant with and comply with the policies and procedures which the Academy has adopted or may adopt, from time to time, in relation to the Academic operation and governance of the Academy, in particular those relating to the teaching and assessment of the Unit or Units set out in the Schedule. However, the terms of those policies and procedures do not form </w:t>
      </w:r>
      <w:r>
        <w:lastRenderedPageBreak/>
        <w:t>part of this Agreement.</w:t>
      </w:r>
    </w:p>
    <w:p w14:paraId="28DF9F59" w14:textId="61C5A29C" w:rsidR="00270D09" w:rsidRDefault="00270D09" w:rsidP="00F33C05">
      <w:pPr>
        <w:pStyle w:val="Quote1"/>
        <w:ind w:left="1440" w:hanging="703"/>
      </w:pPr>
      <w:r w:rsidRPr="00270D09">
        <w:rPr>
          <w:b/>
        </w:rPr>
        <w:t>10</w:t>
      </w:r>
      <w:r w:rsidR="00F33C05">
        <w:rPr>
          <w:b/>
        </w:rPr>
        <w:tab/>
      </w:r>
      <w:r>
        <w:t xml:space="preserve">In relation to the teaching services to which this Agreement relates, the Services provider agrees and acknowledges that her/his relationship with the Academy is that of a contractor and </w:t>
      </w:r>
      <w:r w:rsidRPr="00270D09">
        <w:t>indemnifies the Academy in relation to any and all claims, including expenses reasonably and necessarily incurred in relation to such cla</w:t>
      </w:r>
      <w:r w:rsidR="00CC7AA9">
        <w:t>i</w:t>
      </w:r>
      <w:r w:rsidRPr="00270D09">
        <w:t>ms, which may be made in relation to any and all entitlements which accrue to an employee under the Fair Work Act 2009 and/or the Superannuation Guarantee (Administration) Act 1992 and any legislation replacing those Acts.</w:t>
      </w:r>
    </w:p>
    <w:p w14:paraId="25F0F499" w14:textId="10E6DDE2" w:rsidR="00270D09" w:rsidRDefault="00270D09" w:rsidP="00F33C05">
      <w:pPr>
        <w:pStyle w:val="Quote1"/>
        <w:ind w:left="1440" w:hanging="703"/>
      </w:pPr>
      <w:r w:rsidRPr="00270D09">
        <w:rPr>
          <w:b/>
        </w:rPr>
        <w:t>11</w:t>
      </w:r>
      <w:r w:rsidR="00F33C05">
        <w:rPr>
          <w:b/>
        </w:rPr>
        <w:tab/>
      </w:r>
      <w:r>
        <w:t xml:space="preserve">The Services provider will be responsible for their own Workers Compensation/Income protection policy of which the amount covered is at the absolute discretion of the service provider and therefore indemnifies the Academy in relation to any and all Workers Compensation claims </w:t>
      </w:r>
      <w:r w:rsidR="00164815">
        <w:t xml:space="preserve">which </w:t>
      </w:r>
      <w:r>
        <w:t>arise in relation to the Services provider providing teaching services to the Academy.</w:t>
      </w:r>
    </w:p>
    <w:p w14:paraId="27E459B4" w14:textId="45FC9E85" w:rsidR="00270D09" w:rsidRDefault="00270D09" w:rsidP="00130DCC">
      <w:pPr>
        <w:pStyle w:val="Quote1"/>
        <w:ind w:left="1440" w:hanging="703"/>
      </w:pPr>
      <w:r w:rsidRPr="00270D09">
        <w:rPr>
          <w:b/>
        </w:rPr>
        <w:t>12</w:t>
      </w:r>
      <w:r w:rsidR="00130DCC">
        <w:rPr>
          <w:b/>
        </w:rPr>
        <w:tab/>
      </w:r>
      <w:r>
        <w:t xml:space="preserve">The Services provider warrants that she/he is conversant with the duties, obligations and responsibilities arising under legislation applying to health and safety in workplaces and indemnifies the Academy </w:t>
      </w:r>
      <w:r w:rsidR="00164815">
        <w:t>i</w:t>
      </w:r>
      <w:r>
        <w:t>n relation to any and all claims, costs and penalties arising from any failure of the Services provider to reasonably discharge such duties, obligations and responsibilities whilst in any workplace of the Academy.</w:t>
      </w:r>
    </w:p>
    <w:p w14:paraId="7E520E7D" w14:textId="27829F81" w:rsidR="00270D09" w:rsidRDefault="009C79FD" w:rsidP="00700336">
      <w:pPr>
        <w:pStyle w:val="Quote1"/>
      </w:pPr>
      <w:r>
        <w:t xml:space="preserve">Any </w:t>
      </w:r>
      <w:r w:rsidR="00270D09">
        <w:t>intellectual property, including musical</w:t>
      </w:r>
      <w:r>
        <w:t xml:space="preserve"> compositions and programmes of </w:t>
      </w:r>
      <w:r w:rsidR="00270D09">
        <w:t>software, bought</w:t>
      </w:r>
      <w:r w:rsidR="00164815">
        <w:t xml:space="preserve"> [sic]</w:t>
      </w:r>
      <w:r w:rsidR="00270D09">
        <w:t xml:space="preserve"> into existence by the Services provider, whether alone or with others, in providing the teaching services in the Schedule will fully and absolutely vest in the Academy. The Academy may make or record images of the services provider and may make visual and/or sound recordings of the Service provider whilst she/he is providing the teaching services in the Schedule. The intellectual property in all such images and recordings is exclusively that of the Academy and may be used by the Academy at its absolute discretion </w:t>
      </w:r>
      <w:r w:rsidR="00164815">
        <w:t>for</w:t>
      </w:r>
      <w:r w:rsidR="00270D09">
        <w:t xml:space="preserve"> any lawful purpose.</w:t>
      </w:r>
    </w:p>
    <w:p w14:paraId="2D02CD88" w14:textId="0D95EBF5" w:rsidR="00270D09" w:rsidRDefault="009C79FD" w:rsidP="00130DCC">
      <w:pPr>
        <w:pStyle w:val="Quote1"/>
        <w:ind w:left="1440" w:hanging="703"/>
      </w:pPr>
      <w:r>
        <w:rPr>
          <w:b/>
        </w:rPr>
        <w:t>13</w:t>
      </w:r>
      <w:r w:rsidR="00130DCC">
        <w:rPr>
          <w:b/>
        </w:rPr>
        <w:tab/>
      </w:r>
      <w:r w:rsidR="00270D09">
        <w:t xml:space="preserve">The Services provider will not, either when providing the teaching services in the Schedule or after completing the provision of those services, divulge to any person or corporation or apply to her/his own use any confidential information concerning the business, financial arrangements, intellectual property or position of the Academy, or any dealings, transactions or affairs of the business of the Academy or of any related </w:t>
      </w:r>
      <w:r w:rsidR="00D50648">
        <w:t>entities</w:t>
      </w:r>
      <w:r w:rsidR="00270D09">
        <w:t xml:space="preserve"> or of any customers or students of the Academy, except as required by law or as expressly permitted by the Academy. The Services provider warrants that she/he is conversant with the obligations and responsibilities </w:t>
      </w:r>
      <w:r w:rsidR="00315247">
        <w:t>a</w:t>
      </w:r>
      <w:r w:rsidR="00270D09">
        <w:t>rising under Privacy Act 1988, and will discharge those obligations and responsibilities in relation to the teaching services in the Schedule, particularly in relation to the personal information of the students of the Academy. The Services provider indemnifies the Academy in relation to any and all claims, costs and penalties arising from any failure of the Services provider to discharge such obligations and responsibilities.</w:t>
      </w:r>
    </w:p>
    <w:p w14:paraId="5F939CDE" w14:textId="2ED1D1C8" w:rsidR="00270D09" w:rsidRDefault="009C79FD" w:rsidP="00130DCC">
      <w:pPr>
        <w:pStyle w:val="Quote1"/>
        <w:ind w:left="1440" w:hanging="703"/>
      </w:pPr>
      <w:r>
        <w:rPr>
          <w:b/>
        </w:rPr>
        <w:t>14</w:t>
      </w:r>
      <w:r w:rsidR="00130DCC">
        <w:rPr>
          <w:b/>
        </w:rPr>
        <w:tab/>
      </w:r>
      <w:r w:rsidR="00270D09">
        <w:t>In relation to the teaching services which the Services provider will provide to the Academy, the Academy will describe her/him as a being</w:t>
      </w:r>
      <w:r w:rsidR="007421FE">
        <w:t xml:space="preserve"> [sic]</w:t>
      </w:r>
      <w:r w:rsidR="00C23FA3">
        <w:t xml:space="preserve"> a Casual</w:t>
      </w:r>
      <w:r w:rsidR="00270D09">
        <w:t xml:space="preserve"> Lecturer and the Services provider may describe herself/himself as such.</w:t>
      </w:r>
    </w:p>
    <w:p w14:paraId="3CF5CEE9" w14:textId="4C8FC2E7" w:rsidR="00270D09" w:rsidRPr="00725EAA" w:rsidRDefault="009C79FD" w:rsidP="00130DCC">
      <w:pPr>
        <w:pStyle w:val="Quote1"/>
        <w:rPr>
          <w:szCs w:val="22"/>
        </w:rPr>
      </w:pPr>
      <w:r>
        <w:rPr>
          <w:b/>
        </w:rPr>
        <w:t>15</w:t>
      </w:r>
      <w:r w:rsidR="00130DCC">
        <w:rPr>
          <w:b/>
        </w:rPr>
        <w:tab/>
      </w:r>
      <w:r w:rsidR="00270D09">
        <w:t>The following trading arrangements will apply</w:t>
      </w:r>
      <w:r w:rsidR="00270D09" w:rsidRPr="00725EAA">
        <w:rPr>
          <w:szCs w:val="22"/>
        </w:rPr>
        <w:t>:</w:t>
      </w:r>
    </w:p>
    <w:p w14:paraId="3D0F8774" w14:textId="77777777" w:rsidR="00506ACD" w:rsidRPr="00725EAA" w:rsidRDefault="00270D09" w:rsidP="00CB7038">
      <w:pPr>
        <w:pStyle w:val="Quote2Bullet"/>
      </w:pPr>
      <w:r w:rsidRPr="00725EAA">
        <w:t xml:space="preserve">The Services provider will produce the original certificate of </w:t>
      </w:r>
      <w:r w:rsidRPr="00725EAA">
        <w:lastRenderedPageBreak/>
        <w:t>registration of a business name to the Academy and supply the Academy with a certified copy of the certificate before submitting any invoices for teaching services in the Schedule ;</w:t>
      </w:r>
    </w:p>
    <w:p w14:paraId="17CC3992" w14:textId="5130BD3C" w:rsidR="00506ACD" w:rsidRPr="00725EAA" w:rsidRDefault="00270D09" w:rsidP="00CB7038">
      <w:pPr>
        <w:pStyle w:val="Quote2Bullet"/>
      </w:pPr>
      <w:r w:rsidRPr="00725EAA">
        <w:t>The Services provider will use her/his registered business name when invoicing the Academy for</w:t>
      </w:r>
      <w:r w:rsidR="007421FE">
        <w:t xml:space="preserve"> the</w:t>
      </w:r>
      <w:r w:rsidRPr="00725EAA">
        <w:t xml:space="preserve"> providing of teaching services to the Academy. All invoices will include the Services provider’s Australian Business Number (ABN). Where an Invoice does not include an ABN, the Academy will withhold 46.5% of the invoiced sum for taxation purposes;</w:t>
      </w:r>
    </w:p>
    <w:p w14:paraId="10C95402" w14:textId="77777777" w:rsidR="00506ACD" w:rsidRPr="00725EAA" w:rsidRDefault="00270D09" w:rsidP="00CB7038">
      <w:pPr>
        <w:pStyle w:val="Quote2Bullet"/>
      </w:pPr>
      <w:r w:rsidRPr="00725EAA">
        <w:t>Invoices by the Services provider will be dated and numbered and will specify the date of service provision and particulars of the teaching services provided by reference to the Schedule. Invoices will be accompanied by time sheets and signed weekly lesson plans;</w:t>
      </w:r>
    </w:p>
    <w:p w14:paraId="16A88C86" w14:textId="661E4CFA" w:rsidR="00506ACD" w:rsidRPr="00725EAA" w:rsidRDefault="00270D09" w:rsidP="00CB7038">
      <w:pPr>
        <w:pStyle w:val="Quote2Bullet"/>
      </w:pPr>
      <w:r w:rsidRPr="00725EAA">
        <w:t>Where the teaching serviced</w:t>
      </w:r>
      <w:r w:rsidR="007421FE">
        <w:t xml:space="preserve"> [sic]</w:t>
      </w:r>
      <w:r w:rsidRPr="00725EAA">
        <w:t xml:space="preserve"> in the Schedule include assessment and the submission of academic results at the end of teaching programme or semester, a final invoice must not be submitted until after the academic results have been submitted and will be accompanied by a signed lesson plan;</w:t>
      </w:r>
    </w:p>
    <w:p w14:paraId="5B23A235" w14:textId="77777777" w:rsidR="00506ACD" w:rsidRPr="00725EAA" w:rsidRDefault="00270D09" w:rsidP="00CB7038">
      <w:pPr>
        <w:pStyle w:val="Quote2Bullet"/>
      </w:pPr>
      <w:r w:rsidRPr="00725EAA">
        <w:t>Where the Services provider is registered for Goods and Services Tax (GST) purposes, the Services provider will provide invoices in the form of a Tax Invoice and will specify the amount of GST included in the invoiced sum;</w:t>
      </w:r>
    </w:p>
    <w:p w14:paraId="0112A792" w14:textId="77777777" w:rsidR="00506ACD" w:rsidRPr="00725EAA" w:rsidRDefault="00270D09" w:rsidP="00CB7038">
      <w:pPr>
        <w:pStyle w:val="Quote2Bullet"/>
      </w:pPr>
      <w:r w:rsidRPr="00725EAA">
        <w:t>The Academy will pay invoices by direct electronic funds transfer to an account at an Australian financial institution which the Services provider will nominate to the Academy;</w:t>
      </w:r>
    </w:p>
    <w:p w14:paraId="43B3371F" w14:textId="77777777" w:rsidR="00506ACD" w:rsidRPr="00725EAA" w:rsidRDefault="00270D09" w:rsidP="00CB7038">
      <w:pPr>
        <w:pStyle w:val="Quote2Bullet"/>
      </w:pPr>
      <w:r w:rsidRPr="00725EAA">
        <w:t>The Academy will keep the Services provider informed of the identity of the Academic officer who will be responsible for managing the supplying of teaching service under this Agreement;</w:t>
      </w:r>
    </w:p>
    <w:p w14:paraId="4D568B1C" w14:textId="77777777" w:rsidR="00270D09" w:rsidRPr="00725EAA" w:rsidRDefault="00270D09" w:rsidP="00CB7038">
      <w:pPr>
        <w:pStyle w:val="Quote2Bullet"/>
      </w:pPr>
      <w:r w:rsidRPr="00725EAA">
        <w:t xml:space="preserve">The Academy will provide the Services provider with copies of both the </w:t>
      </w:r>
      <w:r w:rsidRPr="00725EAA">
        <w:rPr>
          <w:i/>
        </w:rPr>
        <w:t>Lecturer Handbook</w:t>
      </w:r>
      <w:r w:rsidRPr="00725EAA">
        <w:t xml:space="preserve"> and the </w:t>
      </w:r>
      <w:r w:rsidRPr="00725EAA">
        <w:rPr>
          <w:i/>
        </w:rPr>
        <w:t>Student Handbook</w:t>
      </w:r>
      <w:r w:rsidRPr="00725EAA">
        <w:t xml:space="preserve"> produced by the Academy from time to time.</w:t>
      </w:r>
    </w:p>
    <w:p w14:paraId="0C23973A" w14:textId="71A09F2A" w:rsidR="00A16917" w:rsidRDefault="009C79FD" w:rsidP="00461FA0">
      <w:pPr>
        <w:pStyle w:val="Quote1"/>
        <w:ind w:left="1440" w:hanging="703"/>
      </w:pPr>
      <w:r>
        <w:rPr>
          <w:b/>
        </w:rPr>
        <w:t>16</w:t>
      </w:r>
      <w:r w:rsidR="00461FA0">
        <w:rPr>
          <w:b/>
        </w:rPr>
        <w:tab/>
      </w:r>
      <w:r w:rsidR="00A16917">
        <w:t xml:space="preserve">Either the Services provider or the Academy may terminate this Agreement by giving the other the two (2) weeks’ notice of termination in writing to the address set out under </w:t>
      </w:r>
      <w:r w:rsidR="00A16917" w:rsidRPr="00090440">
        <w:rPr>
          <w:b/>
        </w:rPr>
        <w:t>Parties</w:t>
      </w:r>
      <w:r w:rsidR="00A16917">
        <w:t xml:space="preserve">. Provided that </w:t>
      </w:r>
      <w:r w:rsidR="007421FE">
        <w:t xml:space="preserve">the [sic] </w:t>
      </w:r>
      <w:r w:rsidR="00A16917">
        <w:t>upon giving or receiving such notice the Academy may at its absolute discretion make a payment to the Services provider for any occasion in the Schedule falling within the period of notice and forego the provision of teaching services to the Academy during the period of notice. Where the Academy exercises the discretion conferred by this Term the Agreement will terminate on the day on which payment is made.</w:t>
      </w:r>
    </w:p>
    <w:p w14:paraId="4C6D4EAE" w14:textId="5D3AF145" w:rsidR="00A16917" w:rsidRDefault="009C79FD" w:rsidP="00461FA0">
      <w:pPr>
        <w:pStyle w:val="Quote1"/>
        <w:ind w:left="1440" w:hanging="703"/>
      </w:pPr>
      <w:r>
        <w:rPr>
          <w:b/>
        </w:rPr>
        <w:t>17</w:t>
      </w:r>
      <w:r w:rsidR="00461FA0">
        <w:rPr>
          <w:b/>
        </w:rPr>
        <w:tab/>
      </w:r>
      <w:r w:rsidR="00A16917">
        <w:t>Notwithstanding the provisions of any other Term, either the Services provider or the Academy may terminate this Agreement by giving the other notice of termination in writing to the address of the respe</w:t>
      </w:r>
      <w:r>
        <w:t>ctive registered offices if any</w:t>
      </w:r>
      <w:r w:rsidR="007421FE">
        <w:t xml:space="preserve"> </w:t>
      </w:r>
      <w:r w:rsidR="00A16917">
        <w:t>of the following circumstances arise:</w:t>
      </w:r>
    </w:p>
    <w:p w14:paraId="18705569" w14:textId="01AA62B9" w:rsidR="00A16917" w:rsidRDefault="00A16917" w:rsidP="0078013C">
      <w:pPr>
        <w:pStyle w:val="Quote2"/>
        <w:ind w:left="2160" w:hanging="720"/>
      </w:pPr>
      <w:proofErr w:type="gramStart"/>
      <w:r>
        <w:t>a</w:t>
      </w:r>
      <w:proofErr w:type="gramEnd"/>
      <w:r>
        <w:t>.</w:t>
      </w:r>
      <w:r w:rsidR="000355BB">
        <w:tab/>
      </w:r>
      <w:r>
        <w:t>a liquidator, provisional liquidator, receive</w:t>
      </w:r>
      <w:r w:rsidR="00700336">
        <w:t>r</w:t>
      </w:r>
      <w:r>
        <w:t>, receiver and manager or an official manager is appointed to the other;</w:t>
      </w:r>
    </w:p>
    <w:p w14:paraId="28895BB6" w14:textId="77777777" w:rsidR="00A16917" w:rsidRDefault="00A16917" w:rsidP="0078013C">
      <w:pPr>
        <w:pStyle w:val="Quote2"/>
        <w:ind w:left="2160" w:hanging="720"/>
      </w:pPr>
      <w:proofErr w:type="gramStart"/>
      <w:r>
        <w:t>b</w:t>
      </w:r>
      <w:proofErr w:type="gramEnd"/>
      <w:r>
        <w:t>.</w:t>
      </w:r>
      <w:r w:rsidR="000355BB">
        <w:tab/>
      </w:r>
      <w:r>
        <w:t xml:space="preserve">an administrator is appointed to the other pursuant to Part 5.3A of the </w:t>
      </w:r>
      <w:r>
        <w:lastRenderedPageBreak/>
        <w:t>Corporations Act 2001;</w:t>
      </w:r>
    </w:p>
    <w:p w14:paraId="3890224B" w14:textId="77777777" w:rsidR="00A16917" w:rsidRDefault="00A16917" w:rsidP="0078013C">
      <w:pPr>
        <w:pStyle w:val="Quote2"/>
        <w:ind w:left="2160" w:hanging="720"/>
      </w:pPr>
      <w:proofErr w:type="gramStart"/>
      <w:r>
        <w:t>c</w:t>
      </w:r>
      <w:proofErr w:type="gramEnd"/>
      <w:r>
        <w:t>.</w:t>
      </w:r>
      <w:r w:rsidR="000355BB">
        <w:tab/>
      </w:r>
      <w:r>
        <w:t>the other resolves to wind up or is the subject of an order to wind up; or</w:t>
      </w:r>
      <w:bookmarkStart w:id="20" w:name="_GoBack"/>
      <w:bookmarkEnd w:id="20"/>
    </w:p>
    <w:p w14:paraId="0C807489" w14:textId="77777777" w:rsidR="00A16917" w:rsidRDefault="00A16917" w:rsidP="0078013C">
      <w:pPr>
        <w:pStyle w:val="Quote2"/>
        <w:ind w:left="2160" w:hanging="720"/>
      </w:pPr>
      <w:proofErr w:type="gramStart"/>
      <w:r>
        <w:t>d</w:t>
      </w:r>
      <w:proofErr w:type="gramEnd"/>
      <w:r>
        <w:t>.</w:t>
      </w:r>
      <w:r w:rsidR="000355BB">
        <w:tab/>
      </w:r>
      <w:r>
        <w:t>the other enters into a scheme of arrangement with its creditors or otherwise compromises or compounds with creditors.</w:t>
      </w:r>
    </w:p>
    <w:p w14:paraId="370364B7" w14:textId="77777777" w:rsidR="00A16917" w:rsidRDefault="00A16917" w:rsidP="009C79FD">
      <w:pPr>
        <w:pStyle w:val="Quote1"/>
        <w:ind w:left="1440"/>
      </w:pPr>
      <w:r>
        <w:t xml:space="preserve">Notice given pursuant to this Term will take effect on the day it would be received in the ordinary course of </w:t>
      </w:r>
      <w:proofErr w:type="spellStart"/>
      <w:r>
        <w:t>pre paid</w:t>
      </w:r>
      <w:proofErr w:type="spellEnd"/>
      <w:r>
        <w:t xml:space="preserve"> post.</w:t>
      </w:r>
    </w:p>
    <w:p w14:paraId="183B9C1F" w14:textId="772B4738" w:rsidR="00A16917" w:rsidRDefault="009C79FD" w:rsidP="00770521">
      <w:pPr>
        <w:pStyle w:val="Quote1"/>
        <w:ind w:left="1440" w:hanging="703"/>
      </w:pPr>
      <w:r>
        <w:rPr>
          <w:b/>
        </w:rPr>
        <w:t>18</w:t>
      </w:r>
      <w:r w:rsidR="00770521">
        <w:rPr>
          <w:b/>
        </w:rPr>
        <w:tab/>
      </w:r>
      <w:r w:rsidR="00A16917">
        <w:t>This Agreement will be governed by the Federal law of the Commonwealth of Australia and any legal or administrative proceedings in relation to the Agreement will be commenced only in a Federal court or tribunal of the Commonwealth</w:t>
      </w:r>
    </w:p>
    <w:p w14:paraId="41E10A5B" w14:textId="0C1F1079" w:rsidR="00A16917" w:rsidRDefault="00A553A1" w:rsidP="00F92124">
      <w:pPr>
        <w:pStyle w:val="Quote1"/>
        <w:ind w:left="1440" w:hanging="703"/>
      </w:pPr>
      <w:r>
        <w:rPr>
          <w:b/>
        </w:rPr>
        <w:t>19</w:t>
      </w:r>
      <w:r w:rsidR="00F92124">
        <w:rPr>
          <w:b/>
        </w:rPr>
        <w:tab/>
      </w:r>
      <w:r w:rsidR="00A16917">
        <w:t>Should any term of this Agreement be found to be unlawful, unenforceable or of no effect, that Term will be severed from the Agreement and the Agreement will continue in accordance with its remaining Terms.</w:t>
      </w:r>
    </w:p>
    <w:p w14:paraId="71572EA1" w14:textId="77777777" w:rsidR="00A16917" w:rsidRPr="0026026E" w:rsidRDefault="00A16917" w:rsidP="0026026E">
      <w:pPr>
        <w:pStyle w:val="Quote1"/>
        <w:rPr>
          <w:b/>
          <w:u w:val="single"/>
        </w:rPr>
      </w:pPr>
      <w:r w:rsidRPr="0026026E">
        <w:rPr>
          <w:b/>
          <w:u w:val="single"/>
        </w:rPr>
        <w:t>SCHEDULE</w:t>
      </w:r>
    </w:p>
    <w:p w14:paraId="38A4D412" w14:textId="77777777" w:rsidR="00A16917" w:rsidRDefault="00A16917" w:rsidP="0026026E">
      <w:pPr>
        <w:pStyle w:val="Quote1"/>
      </w:pPr>
      <w:r>
        <w:t>Teaching services which the Services provider will provide to the Academy through the Nominee</w:t>
      </w:r>
    </w:p>
    <w:p w14:paraId="26687A80" w14:textId="6908529A" w:rsidR="00A16917" w:rsidRDefault="00A16917" w:rsidP="005A6923">
      <w:pPr>
        <w:pStyle w:val="Quote1"/>
      </w:pPr>
      <w:r w:rsidRPr="00A16917">
        <w:rPr>
          <w:b/>
        </w:rPr>
        <w:t>Unit:</w:t>
      </w:r>
      <w:r w:rsidR="005A6923">
        <w:t xml:space="preserve"> </w:t>
      </w:r>
      <w:r>
        <w:t>AUDIO</w:t>
      </w:r>
      <w:r w:rsidR="005A6923">
        <w:t>202 Audio and Acoustic Design</w:t>
      </w:r>
    </w:p>
    <w:p w14:paraId="113050AD" w14:textId="77777777" w:rsidR="00A16917" w:rsidRDefault="00A16917" w:rsidP="0026026E">
      <w:pPr>
        <w:pStyle w:val="Quote1"/>
      </w:pPr>
      <w:r w:rsidRPr="00A16917">
        <w:rPr>
          <w:b/>
        </w:rPr>
        <w:t>Managing Academic Officer:</w:t>
      </w:r>
      <w:r>
        <w:t xml:space="preserve"> Robert Care - Head of Audio Engineering &amp; Sound Production</w:t>
      </w:r>
    </w:p>
    <w:p w14:paraId="0593BDF7" w14:textId="77777777" w:rsidR="00A16917" w:rsidRDefault="00A16917" w:rsidP="0026026E">
      <w:pPr>
        <w:pStyle w:val="Quote1"/>
      </w:pPr>
      <w:r w:rsidRPr="00A16917">
        <w:rPr>
          <w:b/>
        </w:rPr>
        <w:t>Occasions:</w:t>
      </w:r>
      <w:r w:rsidR="00FF30A6">
        <w:t xml:space="preserve"> Trimester 1 – October 2012</w:t>
      </w:r>
    </w:p>
    <w:p w14:paraId="52F38D24" w14:textId="6A547A10" w:rsidR="00A16917" w:rsidRDefault="00A16917" w:rsidP="00F44F87">
      <w:pPr>
        <w:pStyle w:val="Quote1"/>
      </w:pPr>
      <w:r w:rsidRPr="0026026E">
        <w:rPr>
          <w:b/>
        </w:rPr>
        <w:t>Executed by</w:t>
      </w:r>
      <w:r w:rsidR="005A6923">
        <w:t xml:space="preserve"> JMC Pty Limited on October</w:t>
      </w:r>
      <w:r>
        <w:t xml:space="preserve"> 2</w:t>
      </w:r>
      <w:r w:rsidR="00ED789A" w:rsidRPr="00705543">
        <w:rPr>
          <w:vertAlign w:val="superscript"/>
        </w:rPr>
        <w:t>nd</w:t>
      </w:r>
      <w:r>
        <w:t xml:space="preserve"> 201</w:t>
      </w:r>
      <w:r w:rsidR="00ED789A">
        <w:t>2</w:t>
      </w:r>
      <w:r>
        <w:t xml:space="preserve">, by </w:t>
      </w:r>
      <w:r w:rsidRPr="0026026E">
        <w:rPr>
          <w:b/>
        </w:rPr>
        <w:t xml:space="preserve">Roslyn </w:t>
      </w:r>
      <w:proofErr w:type="spellStart"/>
      <w:r w:rsidRPr="0026026E">
        <w:rPr>
          <w:b/>
        </w:rPr>
        <w:t>T</w:t>
      </w:r>
      <w:r w:rsidR="00ED789A">
        <w:rPr>
          <w:b/>
        </w:rPr>
        <w:t>a</w:t>
      </w:r>
      <w:r w:rsidRPr="0026026E">
        <w:rPr>
          <w:b/>
        </w:rPr>
        <w:t>bacco</w:t>
      </w:r>
      <w:proofErr w:type="spellEnd"/>
      <w:r w:rsidRPr="0026026E">
        <w:rPr>
          <w:b/>
        </w:rPr>
        <w:t xml:space="preserve"> – Campus Manager Melbourne</w:t>
      </w:r>
      <w:r>
        <w:t xml:space="preserve"> for </w:t>
      </w:r>
      <w:r w:rsidRPr="0026026E">
        <w:rPr>
          <w:b/>
        </w:rPr>
        <w:t>Chief Executive Officer</w:t>
      </w:r>
      <w:r>
        <w:t>.</w:t>
      </w:r>
      <w:r w:rsidR="00F44F87">
        <w:t xml:space="preserve"> </w:t>
      </w:r>
      <w:r>
        <w:t xml:space="preserve">In the presence of </w:t>
      </w:r>
      <w:r w:rsidRPr="0026026E">
        <w:rPr>
          <w:b/>
        </w:rPr>
        <w:t>Managing Academic Officer</w:t>
      </w:r>
    </w:p>
    <w:p w14:paraId="647A8A1F" w14:textId="19C6AE80" w:rsidR="00A16917" w:rsidRDefault="00A16917" w:rsidP="00A0411A">
      <w:pPr>
        <w:pStyle w:val="Quote1"/>
      </w:pPr>
    </w:p>
    <w:p w14:paraId="4C11C49E" w14:textId="7734B377" w:rsidR="00A16917" w:rsidRDefault="00A16917" w:rsidP="00A0411A">
      <w:pPr>
        <w:pStyle w:val="Quote1"/>
      </w:pPr>
      <w:r w:rsidRPr="00A16917">
        <w:rPr>
          <w:b/>
        </w:rPr>
        <w:t>Executed by</w:t>
      </w:r>
      <w:r>
        <w:t xml:space="preserve"> </w:t>
      </w:r>
      <w:r w:rsidR="00C45694">
        <w:t>NICHOLLAS HARRISON</w:t>
      </w:r>
      <w:r w:rsidR="00A5773D">
        <w:t xml:space="preserve"> </w:t>
      </w:r>
      <w:r>
        <w:t>[Services provider name]</w:t>
      </w:r>
    </w:p>
    <w:p w14:paraId="60B0B6D1" w14:textId="4D0CEADC" w:rsidR="00A16917" w:rsidRDefault="00A16917" w:rsidP="00A0411A">
      <w:pPr>
        <w:pStyle w:val="Quote1"/>
      </w:pPr>
      <w:proofErr w:type="gramStart"/>
      <w:r>
        <w:t>on</w:t>
      </w:r>
      <w:proofErr w:type="gramEnd"/>
      <w:r>
        <w:t xml:space="preserve"> </w:t>
      </w:r>
      <w:r w:rsidR="00ED789A">
        <w:t>16</w:t>
      </w:r>
      <w:r w:rsidR="00ED789A" w:rsidRPr="00090440">
        <w:rPr>
          <w:vertAlign w:val="superscript"/>
        </w:rPr>
        <w:t>th</w:t>
      </w:r>
      <w:r w:rsidR="00ED789A">
        <w:t xml:space="preserve"> October 2012 </w:t>
      </w:r>
      <w:r>
        <w:t>[date]</w:t>
      </w:r>
      <w:r w:rsidR="00150A06">
        <w:t xml:space="preserve"> [signature]</w:t>
      </w:r>
    </w:p>
    <w:p w14:paraId="76624C76" w14:textId="77777777" w:rsidR="00A16917" w:rsidRDefault="00A16917" w:rsidP="00A0411A">
      <w:pPr>
        <w:pStyle w:val="Quote1"/>
      </w:pPr>
      <w:r>
        <w:t xml:space="preserve">In the presence of </w:t>
      </w:r>
      <w:r w:rsidRPr="00A16917">
        <w:rPr>
          <w:b/>
        </w:rPr>
        <w:t>Campus Manager</w:t>
      </w:r>
    </w:p>
    <w:p w14:paraId="341C3138" w14:textId="5ED11945" w:rsidR="00A16917" w:rsidRPr="00106926" w:rsidRDefault="00106926" w:rsidP="00A0411A">
      <w:pPr>
        <w:pStyle w:val="Quote1"/>
      </w:pPr>
      <w:r>
        <w:t>[Signature and dated 16-10-12]</w:t>
      </w:r>
    </w:p>
    <w:p w14:paraId="38990FFB" w14:textId="2DE90DB3" w:rsidR="00F271C5" w:rsidRDefault="00DB788E" w:rsidP="001837A2">
      <w:pPr>
        <w:pStyle w:val="ParaNumbering"/>
      </w:pPr>
      <w:r>
        <w:t xml:space="preserve">The terms </w:t>
      </w:r>
      <w:r w:rsidR="006277ED">
        <w:t>of this M</w:t>
      </w:r>
      <w:r w:rsidR="00490C6C">
        <w:t xml:space="preserve">emorandum </w:t>
      </w:r>
      <w:r w:rsidR="006277ED">
        <w:t xml:space="preserve">of Agreement </w:t>
      </w:r>
      <w:r w:rsidR="00490C6C">
        <w:t xml:space="preserve">will be analysed in detail later in these reasons.  It suffices at this point to note that the “teaching services” that Mr Harrison (referred to in the </w:t>
      </w:r>
      <w:r w:rsidR="00944E4D">
        <w:t>M</w:t>
      </w:r>
      <w:r w:rsidR="00490C6C">
        <w:t>emorandum as the “</w:t>
      </w:r>
      <w:r w:rsidR="00ED789A">
        <w:t>S</w:t>
      </w:r>
      <w:r w:rsidR="00490C6C">
        <w:t xml:space="preserve">ervices provider”) was to provide to JMC (referred to in the </w:t>
      </w:r>
      <w:r w:rsidR="00944E4D">
        <w:t>M</w:t>
      </w:r>
      <w:r w:rsidR="00490C6C">
        <w:t>emorandum as “the Academy”)</w:t>
      </w:r>
      <w:r w:rsidR="00A70C30">
        <w:t xml:space="preserve"> were identified in the schedule</w:t>
      </w:r>
      <w:r w:rsidR="00944E4D">
        <w:t xml:space="preserve"> to the Memorandum</w:t>
      </w:r>
      <w:r w:rsidR="00A70C30">
        <w:t xml:space="preserve"> as relating to the </w:t>
      </w:r>
      <w:r w:rsidR="004B3FB4">
        <w:t>“</w:t>
      </w:r>
      <w:r w:rsidR="00A70C30">
        <w:t>AUDIO202 Audio and Acoustic Design</w:t>
      </w:r>
      <w:r w:rsidR="004B3FB4">
        <w:t>”</w:t>
      </w:r>
      <w:r w:rsidR="00A70C30">
        <w:t xml:space="preserve"> unit for </w:t>
      </w:r>
      <w:r w:rsidR="004B3FB4">
        <w:t>“</w:t>
      </w:r>
      <w:r w:rsidR="00A70C30">
        <w:t>T</w:t>
      </w:r>
      <w:r w:rsidR="004B3FB4">
        <w:t>r</w:t>
      </w:r>
      <w:r w:rsidR="00A70C30">
        <w:t xml:space="preserve">imester 1 </w:t>
      </w:r>
      <w:r w:rsidR="004B3FB4">
        <w:t>– October 2012”.</w:t>
      </w:r>
      <w:r w:rsidR="00393C8D">
        <w:t xml:space="preserve">  It would appear, however, that Trimester 1 in 2012 commenced on 28 February</w:t>
      </w:r>
      <w:r w:rsidR="00944E4D">
        <w:t xml:space="preserve"> 2012</w:t>
      </w:r>
      <w:r w:rsidR="00393C8D">
        <w:t xml:space="preserve"> and ended on 25 May 2012.</w:t>
      </w:r>
      <w:r w:rsidR="001837A2">
        <w:t xml:space="preserve">  Mr Harrison’s evidence was that he taught </w:t>
      </w:r>
      <w:r w:rsidR="00B53075">
        <w:t>“</w:t>
      </w:r>
      <w:r w:rsidR="00B1748F">
        <w:t>Audio and Acoustics</w:t>
      </w:r>
      <w:r w:rsidR="00B53075">
        <w:t xml:space="preserve">” classes </w:t>
      </w:r>
      <w:r w:rsidR="001837A2">
        <w:t>(AUD202</w:t>
      </w:r>
      <w:r w:rsidR="003E16A4">
        <w:t>) during that period</w:t>
      </w:r>
      <w:r w:rsidR="001837A2">
        <w:t>.</w:t>
      </w:r>
    </w:p>
    <w:p w14:paraId="6306D378" w14:textId="77777777" w:rsidR="00F271C5" w:rsidRDefault="00F271C5" w:rsidP="00F271C5">
      <w:pPr>
        <w:pStyle w:val="Heading2"/>
      </w:pPr>
      <w:r>
        <w:lastRenderedPageBreak/>
        <w:t xml:space="preserve">The </w:t>
      </w:r>
      <w:r w:rsidR="007C50B0">
        <w:t>third and fourth contract periods</w:t>
      </w:r>
    </w:p>
    <w:p w14:paraId="17EB80C8" w14:textId="73B4BB73" w:rsidR="00DB788E" w:rsidRDefault="00F271C5" w:rsidP="002C6488">
      <w:pPr>
        <w:pStyle w:val="ParaNumbering"/>
      </w:pPr>
      <w:r>
        <w:t>Mr Harrison’s evidence was that he</w:t>
      </w:r>
      <w:r w:rsidR="00903B0C">
        <w:t xml:space="preserve"> taught </w:t>
      </w:r>
      <w:r w:rsidR="00944E4D">
        <w:t>“</w:t>
      </w:r>
      <w:r w:rsidR="00B1748F">
        <w:t>Audio and Acoustics</w:t>
      </w:r>
      <w:r w:rsidR="00944E4D">
        <w:t>”</w:t>
      </w:r>
      <w:r w:rsidR="00B53075">
        <w:t xml:space="preserve"> classes </w:t>
      </w:r>
      <w:r w:rsidR="00903B0C">
        <w:t>(AUD202) during the following periods: Trimester 2 in 2012 (19 June</w:t>
      </w:r>
      <w:r w:rsidR="00944E4D">
        <w:t xml:space="preserve"> 2012</w:t>
      </w:r>
      <w:r w:rsidR="00903B0C">
        <w:t xml:space="preserve"> to 15 September 2012) and Trimester 3 in 2012 (9 October 2012 to 25 January 2013)</w:t>
      </w:r>
      <w:r w:rsidR="00E85CA0">
        <w:t xml:space="preserve">.  There was, however, very little documentary evidence concerning </w:t>
      </w:r>
      <w:r w:rsidR="00F50AE0">
        <w:t xml:space="preserve">the terms upon which </w:t>
      </w:r>
      <w:r w:rsidR="00E85CA0">
        <w:t>Mr Harrison</w:t>
      </w:r>
      <w:r w:rsidR="00F50AE0">
        <w:t xml:space="preserve"> was engaged</w:t>
      </w:r>
      <w:r w:rsidR="00E85CA0">
        <w:t xml:space="preserve"> to provide teaching s</w:t>
      </w:r>
      <w:r w:rsidR="00FB456D">
        <w:t>ervices during</w:t>
      </w:r>
      <w:r w:rsidR="006E33DC">
        <w:t xml:space="preserve"> those two Trimesters</w:t>
      </w:r>
      <w:r w:rsidR="002C6488">
        <w:t xml:space="preserve">.  There was no </w:t>
      </w:r>
      <w:r w:rsidR="003217CA">
        <w:t xml:space="preserve">direct </w:t>
      </w:r>
      <w:r w:rsidR="002C6488">
        <w:t>evidence that m</w:t>
      </w:r>
      <w:r w:rsidR="00F43456">
        <w:t>emoranda of agreement</w:t>
      </w:r>
      <w:r w:rsidR="00E85CA0">
        <w:t xml:space="preserve"> </w:t>
      </w:r>
      <w:r w:rsidR="00944E4D">
        <w:t xml:space="preserve">referring </w:t>
      </w:r>
      <w:r w:rsidR="002C6488">
        <w:t xml:space="preserve">specifically </w:t>
      </w:r>
      <w:r w:rsidR="00E85CA0">
        <w:t>to the provis</w:t>
      </w:r>
      <w:r w:rsidR="002C6488">
        <w:t>ion</w:t>
      </w:r>
      <w:r w:rsidR="00E85CA0">
        <w:t xml:space="preserve"> </w:t>
      </w:r>
      <w:r w:rsidR="00A26C38">
        <w:t xml:space="preserve">of </w:t>
      </w:r>
      <w:r w:rsidR="00944E4D">
        <w:t xml:space="preserve">teaching </w:t>
      </w:r>
      <w:r w:rsidR="00A26C38">
        <w:t xml:space="preserve">services during these two </w:t>
      </w:r>
      <w:r w:rsidR="006E33DC">
        <w:t xml:space="preserve">Trimesters </w:t>
      </w:r>
      <w:r w:rsidR="002C6488">
        <w:t xml:space="preserve">were executed by </w:t>
      </w:r>
      <w:r w:rsidR="002C6488" w:rsidRPr="002C6488">
        <w:t>JMC and Mr Harrison</w:t>
      </w:r>
      <w:r w:rsidR="002C6488">
        <w:t>.  The evidence did, however, tend to support the inference tha</w:t>
      </w:r>
      <w:r w:rsidR="00F43456">
        <w:t>t either memoranda of agreement</w:t>
      </w:r>
      <w:r w:rsidR="002C6488">
        <w:t xml:space="preserve"> </w:t>
      </w:r>
      <w:r w:rsidR="00944E4D">
        <w:t>referring</w:t>
      </w:r>
      <w:r w:rsidR="006E33DC">
        <w:t xml:space="preserve"> to the provision of </w:t>
      </w:r>
      <w:r w:rsidR="00944E4D">
        <w:t xml:space="preserve">teaching </w:t>
      </w:r>
      <w:r w:rsidR="006E33DC">
        <w:t>services in these Trimesters</w:t>
      </w:r>
      <w:r w:rsidR="002C6488">
        <w:t xml:space="preserve"> were executed, or </w:t>
      </w:r>
      <w:r w:rsidR="00374E5E">
        <w:t xml:space="preserve">that Mr Harrison otherwise agreed, most likely by email or similar communication, to provide teaching services during those </w:t>
      </w:r>
      <w:r w:rsidR="005B3A80">
        <w:t xml:space="preserve">Trimesters </w:t>
      </w:r>
      <w:r w:rsidR="00374E5E">
        <w:t xml:space="preserve">on </w:t>
      </w:r>
      <w:r w:rsidR="003C40E3">
        <w:t xml:space="preserve">the </w:t>
      </w:r>
      <w:r w:rsidR="00374E5E">
        <w:t xml:space="preserve">terms set out </w:t>
      </w:r>
      <w:r w:rsidR="00F50AE0">
        <w:t xml:space="preserve">in a memorandum of agreement </w:t>
      </w:r>
      <w:r w:rsidR="00664A40">
        <w:t xml:space="preserve">which was </w:t>
      </w:r>
      <w:r w:rsidR="00F50AE0">
        <w:t>relevantly identical to the first MOA.  JMC did not contend otherwise.</w:t>
      </w:r>
      <w:r w:rsidR="00FB456D">
        <w:t xml:space="preserve">  Nor did the Commissioner.</w:t>
      </w:r>
      <w:r w:rsidR="00F50AE0">
        <w:t xml:space="preserve">  </w:t>
      </w:r>
      <w:r>
        <w:t xml:space="preserve"> </w:t>
      </w:r>
      <w:r w:rsidR="001837A2">
        <w:t xml:space="preserve"> </w:t>
      </w:r>
      <w:r w:rsidR="004B3FB4">
        <w:t xml:space="preserve"> </w:t>
      </w:r>
      <w:r w:rsidR="00490C6C">
        <w:t xml:space="preserve">   </w:t>
      </w:r>
    </w:p>
    <w:p w14:paraId="40B8387F" w14:textId="77777777" w:rsidR="00DB788E" w:rsidRDefault="00DB788E" w:rsidP="00DB788E">
      <w:pPr>
        <w:pStyle w:val="Heading2"/>
      </w:pPr>
      <w:r>
        <w:t xml:space="preserve">The </w:t>
      </w:r>
      <w:r w:rsidR="00F50AE0">
        <w:t>fifth</w:t>
      </w:r>
      <w:r w:rsidR="008D3625">
        <w:t xml:space="preserve"> </w:t>
      </w:r>
      <w:r>
        <w:t>contract</w:t>
      </w:r>
    </w:p>
    <w:p w14:paraId="765C30AF" w14:textId="7B324C14" w:rsidR="003849C7" w:rsidRDefault="003849C7" w:rsidP="00757A1C">
      <w:pPr>
        <w:pStyle w:val="ParaNumbering"/>
      </w:pPr>
      <w:r>
        <w:t xml:space="preserve">On 5 March 2013, Mr Harrison signed another version of the </w:t>
      </w:r>
      <w:r w:rsidR="00257045">
        <w:t>Lecturer</w:t>
      </w:r>
      <w:r w:rsidR="00222C3F">
        <w:t xml:space="preserve"> –</w:t>
      </w:r>
      <w:r w:rsidR="00257045">
        <w:t xml:space="preserve"> Position Description.</w:t>
      </w:r>
    </w:p>
    <w:p w14:paraId="49C48D87" w14:textId="476F258F" w:rsidR="00C81458" w:rsidRDefault="004B3FB4" w:rsidP="00757A1C">
      <w:pPr>
        <w:pStyle w:val="ParaNumbering"/>
      </w:pPr>
      <w:r>
        <w:t>On 12 Ap</w:t>
      </w:r>
      <w:r w:rsidR="00FB456D">
        <w:t>ril 2013, Mr Harrison signed a Memorandum of A</w:t>
      </w:r>
      <w:r>
        <w:t xml:space="preserve">greement </w:t>
      </w:r>
      <w:r w:rsidR="000F62F4">
        <w:t xml:space="preserve">(the </w:t>
      </w:r>
      <w:r w:rsidR="000F62F4" w:rsidRPr="000F62F4">
        <w:rPr>
          <w:b/>
        </w:rPr>
        <w:t>second MOA</w:t>
      </w:r>
      <w:r w:rsidR="000F62F4">
        <w:t xml:space="preserve">) </w:t>
      </w:r>
      <w:r>
        <w:t>which was in relevantly identical terms to the</w:t>
      </w:r>
      <w:r w:rsidR="00723DF8">
        <w:t xml:space="preserve"> first MOA</w:t>
      </w:r>
      <w:r w:rsidR="00D20EE6">
        <w:t>,</w:t>
      </w:r>
      <w:r w:rsidR="00723DF8">
        <w:t xml:space="preserve"> save</w:t>
      </w:r>
      <w:r w:rsidR="00D20EE6">
        <w:t xml:space="preserve"> for</w:t>
      </w:r>
      <w:r w:rsidR="00723DF8">
        <w:t xml:space="preserve"> that the “occasion</w:t>
      </w:r>
      <w:r w:rsidR="00222C3F">
        <w:t>s</w:t>
      </w:r>
      <w:r w:rsidR="00723DF8">
        <w:t xml:space="preserve">” on which the teaching services were to be provided by Mr Harrison was described as being “Start of </w:t>
      </w:r>
      <w:r w:rsidR="00363F7D">
        <w:t xml:space="preserve">school February 25 </w:t>
      </w:r>
      <w:r w:rsidR="00222C3F">
        <w:t xml:space="preserve">- </w:t>
      </w:r>
      <w:r w:rsidR="00363F7D">
        <w:t>June 14 2013</w:t>
      </w:r>
      <w:r w:rsidR="00222C3F">
        <w:t xml:space="preserve"> (Trimester/Semester)</w:t>
      </w:r>
      <w:r w:rsidR="00363F7D">
        <w:t>”.</w:t>
      </w:r>
      <w:r w:rsidR="00F50DF3">
        <w:t xml:space="preserve">  </w:t>
      </w:r>
      <w:r w:rsidR="00C81458">
        <w:t xml:space="preserve">  </w:t>
      </w:r>
    </w:p>
    <w:p w14:paraId="147659E0" w14:textId="4E003763" w:rsidR="00363F7D" w:rsidRDefault="00C81458" w:rsidP="00757A1C">
      <w:pPr>
        <w:pStyle w:val="ParaNumbering"/>
      </w:pPr>
      <w:r>
        <w:t>The fifth contract</w:t>
      </w:r>
      <w:r w:rsidR="00F50DF3">
        <w:t xml:space="preserve"> is the first contract which is directly relevant to the assessment</w:t>
      </w:r>
      <w:r w:rsidR="00F43456">
        <w:t>s</w:t>
      </w:r>
      <w:r w:rsidR="00F50DF3">
        <w:t xml:space="preserve"> issued by the Commissioner</w:t>
      </w:r>
      <w:r w:rsidR="00FB456D">
        <w:t>, the earlier</w:t>
      </w:r>
      <w:r>
        <w:t xml:space="preserve"> contracts having been entered into and performed prior to the perio</w:t>
      </w:r>
      <w:r w:rsidR="006B3A9A">
        <w:t>d covered by the assessments</w:t>
      </w:r>
      <w:r w:rsidR="00F50DF3">
        <w:t xml:space="preserve">. </w:t>
      </w:r>
    </w:p>
    <w:p w14:paraId="1B629415" w14:textId="1B9F1E31" w:rsidR="000C31F4" w:rsidRDefault="00D45758" w:rsidP="000C31F4">
      <w:pPr>
        <w:pStyle w:val="ParaNumbering"/>
      </w:pPr>
      <w:r w:rsidRPr="00D45758">
        <w:t xml:space="preserve">Mr Harrison’s evidence was that he taught </w:t>
      </w:r>
      <w:r w:rsidR="00D20EE6">
        <w:t>“</w:t>
      </w:r>
      <w:r w:rsidR="00222C3F">
        <w:t>Audio and Acoustics</w:t>
      </w:r>
      <w:r w:rsidR="00D20EE6">
        <w:t>”</w:t>
      </w:r>
      <w:r w:rsidR="00B53075">
        <w:t xml:space="preserve"> classes </w:t>
      </w:r>
      <w:r w:rsidRPr="00D45758">
        <w:t xml:space="preserve">(AUD202) during the </w:t>
      </w:r>
      <w:r>
        <w:t xml:space="preserve">period 26 February </w:t>
      </w:r>
      <w:r w:rsidR="00D20EE6">
        <w:t xml:space="preserve">2013 </w:t>
      </w:r>
      <w:r>
        <w:t>to 24 May 2013.</w:t>
      </w:r>
    </w:p>
    <w:p w14:paraId="2FD7BBD4" w14:textId="77777777" w:rsidR="00D45758" w:rsidRDefault="007C50B0" w:rsidP="00E330D2">
      <w:pPr>
        <w:pStyle w:val="Heading2"/>
      </w:pPr>
      <w:r>
        <w:t>The sixth to fifteenth contract periods</w:t>
      </w:r>
    </w:p>
    <w:p w14:paraId="024D7176" w14:textId="40ED0E94" w:rsidR="00F613FF" w:rsidRDefault="00E941A2" w:rsidP="00BE7CFA">
      <w:pPr>
        <w:pStyle w:val="ParaNumbering"/>
      </w:pPr>
      <w:r w:rsidRPr="00E941A2">
        <w:t xml:space="preserve">Mr Harrison’s evidence was that he taught </w:t>
      </w:r>
      <w:r w:rsidR="00B53075">
        <w:t xml:space="preserve">various classes </w:t>
      </w:r>
      <w:r w:rsidR="001E5DB9">
        <w:t>(</w:t>
      </w:r>
      <w:r w:rsidR="00FB456D">
        <w:t xml:space="preserve">including, at various times, </w:t>
      </w:r>
      <w:r w:rsidR="00D20EE6">
        <w:t>“</w:t>
      </w:r>
      <w:r w:rsidR="00222C3F">
        <w:t>Audio and Acoustics</w:t>
      </w:r>
      <w:r w:rsidR="00D20EE6">
        <w:t>”</w:t>
      </w:r>
      <w:r w:rsidR="00B53075">
        <w:t xml:space="preserve"> </w:t>
      </w:r>
      <w:r w:rsidR="00D20EE6">
        <w:t>(</w:t>
      </w:r>
      <w:r w:rsidR="001E5DB9">
        <w:t>AUD202</w:t>
      </w:r>
      <w:r w:rsidR="00D20EE6">
        <w:t>)</w:t>
      </w:r>
      <w:r w:rsidR="00B53075">
        <w:t xml:space="preserve">, </w:t>
      </w:r>
      <w:r w:rsidR="00D20EE6">
        <w:t>“</w:t>
      </w:r>
      <w:r w:rsidR="00B53075">
        <w:t>Electronic Music</w:t>
      </w:r>
      <w:r w:rsidR="00D20EE6">
        <w:t>”</w:t>
      </w:r>
      <w:r w:rsidR="00B53075">
        <w:t xml:space="preserve"> </w:t>
      </w:r>
      <w:r w:rsidR="00D20EE6">
        <w:t>(</w:t>
      </w:r>
      <w:r w:rsidR="00A676B2">
        <w:t>AUD</w:t>
      </w:r>
      <w:r w:rsidR="00B53075">
        <w:t>206</w:t>
      </w:r>
      <w:r w:rsidR="00D20EE6">
        <w:t>)</w:t>
      </w:r>
      <w:r w:rsidR="00E67BE4">
        <w:t xml:space="preserve"> and </w:t>
      </w:r>
      <w:r w:rsidR="00D20EE6">
        <w:t>“</w:t>
      </w:r>
      <w:r w:rsidR="00E67BE4">
        <w:t>Sound for Film</w:t>
      </w:r>
      <w:r w:rsidR="00D20EE6">
        <w:t>”</w:t>
      </w:r>
      <w:r w:rsidR="00E67BE4">
        <w:t xml:space="preserve"> </w:t>
      </w:r>
      <w:r w:rsidR="00D20EE6">
        <w:t>(</w:t>
      </w:r>
      <w:r w:rsidR="00A676B2">
        <w:t>AUD</w:t>
      </w:r>
      <w:r w:rsidR="00B034B5">
        <w:t>305</w:t>
      </w:r>
      <w:r w:rsidR="00D20EE6">
        <w:t>)</w:t>
      </w:r>
      <w:r w:rsidR="00F43456">
        <w:t>)</w:t>
      </w:r>
      <w:r w:rsidR="001E5DB9">
        <w:t xml:space="preserve"> </w:t>
      </w:r>
      <w:r>
        <w:t xml:space="preserve">at JMC </w:t>
      </w:r>
      <w:r w:rsidRPr="00E941A2">
        <w:t>during the following periods</w:t>
      </w:r>
      <w:r>
        <w:t>: Tr</w:t>
      </w:r>
      <w:r w:rsidR="00BE7CFA">
        <w:t>imester 2</w:t>
      </w:r>
      <w:r>
        <w:t xml:space="preserve"> in </w:t>
      </w:r>
      <w:r w:rsidR="00BE7CFA">
        <w:t>2013 (20 June</w:t>
      </w:r>
      <w:r w:rsidR="00911E72">
        <w:t xml:space="preserve"> 2013</w:t>
      </w:r>
      <w:r>
        <w:t xml:space="preserve"> </w:t>
      </w:r>
      <w:r w:rsidR="00BE7CFA">
        <w:t>to 13 September</w:t>
      </w:r>
      <w:r>
        <w:t xml:space="preserve"> 2013)</w:t>
      </w:r>
      <w:r w:rsidR="001E5DB9">
        <w:t xml:space="preserve">; </w:t>
      </w:r>
      <w:r w:rsidR="00BE7CFA">
        <w:t xml:space="preserve">Trimester </w:t>
      </w:r>
      <w:r w:rsidR="008D46BB">
        <w:t>3</w:t>
      </w:r>
      <w:r w:rsidR="00BE7CFA">
        <w:t xml:space="preserve"> in 2013 (9 October 2013 to </w:t>
      </w:r>
      <w:r w:rsidR="00911E72">
        <w:t>2</w:t>
      </w:r>
      <w:r w:rsidR="00BE7CFA">
        <w:t>5 January 2014</w:t>
      </w:r>
      <w:r w:rsidR="00BE7CFA" w:rsidRPr="00BE7CFA">
        <w:t>)</w:t>
      </w:r>
      <w:r w:rsidR="00BE7CFA">
        <w:t xml:space="preserve">; </w:t>
      </w:r>
      <w:r w:rsidR="00BE7CFA" w:rsidRPr="00BE7CFA">
        <w:t xml:space="preserve">Trimester </w:t>
      </w:r>
      <w:r w:rsidR="008D46BB">
        <w:t>1 in 2014</w:t>
      </w:r>
      <w:r w:rsidR="00BE7CFA" w:rsidRPr="00BE7CFA">
        <w:t xml:space="preserve"> (</w:t>
      </w:r>
      <w:r w:rsidR="008D46BB">
        <w:t xml:space="preserve">25 February </w:t>
      </w:r>
      <w:r w:rsidR="00911E72">
        <w:t xml:space="preserve">2014 </w:t>
      </w:r>
      <w:r w:rsidR="008D46BB">
        <w:t>to 23 May 2014</w:t>
      </w:r>
      <w:r w:rsidR="00BE7CFA" w:rsidRPr="00BE7CFA">
        <w:t>)</w:t>
      </w:r>
      <w:r w:rsidR="003A4A03">
        <w:t>; Trimester 2 in 2014</w:t>
      </w:r>
      <w:r w:rsidR="008D46BB">
        <w:t xml:space="preserve">; Trimester 3 in 2014 (7 October 2014 to 23 January </w:t>
      </w:r>
      <w:r w:rsidR="008D46BB">
        <w:lastRenderedPageBreak/>
        <w:t>2015)</w:t>
      </w:r>
      <w:r w:rsidR="00D11F76">
        <w:t xml:space="preserve">; </w:t>
      </w:r>
      <w:r w:rsidR="00D20EE6">
        <w:t>T</w:t>
      </w:r>
      <w:r w:rsidR="00D11F76">
        <w:t>rimester</w:t>
      </w:r>
      <w:r w:rsidR="00DD74E5">
        <w:t xml:space="preserve"> 1 for 2015 (17 February</w:t>
      </w:r>
      <w:r w:rsidR="00911E72">
        <w:t xml:space="preserve"> 2015</w:t>
      </w:r>
      <w:r w:rsidR="00DD74E5">
        <w:t xml:space="preserve"> to 15 M</w:t>
      </w:r>
      <w:r w:rsidR="00D11F76">
        <w:t>ay 2015); Trimester 2 for 2015 (9 June</w:t>
      </w:r>
      <w:r w:rsidR="00911E72">
        <w:t xml:space="preserve"> 2015</w:t>
      </w:r>
      <w:r w:rsidR="00D11F76">
        <w:t xml:space="preserve"> to 28 August 2015)</w:t>
      </w:r>
      <w:r w:rsidR="003606EE">
        <w:t>; Trime</w:t>
      </w:r>
      <w:r w:rsidR="00D54EE0">
        <w:t>ster 3 in 2015 (21 September</w:t>
      </w:r>
      <w:r w:rsidR="00911E72">
        <w:t xml:space="preserve"> 2015</w:t>
      </w:r>
      <w:r w:rsidR="00D54EE0">
        <w:t xml:space="preserve"> to 11 December 2015); and </w:t>
      </w:r>
      <w:r w:rsidR="00D20EE6">
        <w:t>T</w:t>
      </w:r>
      <w:r w:rsidR="00D54EE0">
        <w:t>rimester 1 in 2016 (15 February</w:t>
      </w:r>
      <w:r w:rsidR="00911E72">
        <w:t xml:space="preserve"> 2016</w:t>
      </w:r>
      <w:r w:rsidR="00D54EE0">
        <w:t xml:space="preserve"> to 6 May 2016).</w:t>
      </w:r>
      <w:r w:rsidR="00F613FF">
        <w:t xml:space="preserve">  Mr Harrison also taught </w:t>
      </w:r>
      <w:r w:rsidR="00D20EE6">
        <w:t>“</w:t>
      </w:r>
      <w:r w:rsidR="00E67BE4">
        <w:t>Sound Recording</w:t>
      </w:r>
      <w:r w:rsidR="00D20EE6">
        <w:t>”</w:t>
      </w:r>
      <w:r w:rsidR="00E67BE4">
        <w:t xml:space="preserve"> (FTV207) </w:t>
      </w:r>
      <w:r w:rsidR="00F613FF">
        <w:t>in the Film and Television Department at JMC for Trimester 2 in 2015.</w:t>
      </w:r>
    </w:p>
    <w:p w14:paraId="70066D3E" w14:textId="7A2F9C53" w:rsidR="00E330D2" w:rsidRDefault="00F613FF" w:rsidP="00F613FF">
      <w:pPr>
        <w:pStyle w:val="ParaNumbering"/>
      </w:pPr>
      <w:r>
        <w:t xml:space="preserve">As </w:t>
      </w:r>
      <w:r w:rsidR="00A26C38">
        <w:t xml:space="preserve">was the case in respect of </w:t>
      </w:r>
      <w:r w:rsidR="006E33DC">
        <w:t>the</w:t>
      </w:r>
      <w:r w:rsidR="005B3A80">
        <w:t xml:space="preserve"> teaching services</w:t>
      </w:r>
      <w:r w:rsidR="00D20EE6">
        <w:t xml:space="preserve"> provided</w:t>
      </w:r>
      <w:r w:rsidR="005B3A80">
        <w:t xml:space="preserve"> in Trimesters 2 and 3 in 2012</w:t>
      </w:r>
      <w:r>
        <w:t xml:space="preserve">, there was very little documentary evidence </w:t>
      </w:r>
      <w:r w:rsidRPr="00F613FF">
        <w:t xml:space="preserve">concerning the terms upon which Mr Harrison was engaged to provide teaching services </w:t>
      </w:r>
      <w:r w:rsidR="005B3A80">
        <w:t xml:space="preserve">in the Trimesters </w:t>
      </w:r>
      <w:r w:rsidR="003217CA">
        <w:t>commencing in June 2013 and ending in</w:t>
      </w:r>
      <w:r w:rsidR="007C50B0">
        <w:t xml:space="preserve"> May 2016.  </w:t>
      </w:r>
      <w:r w:rsidRPr="00F613FF">
        <w:t xml:space="preserve">There was no </w:t>
      </w:r>
      <w:r w:rsidR="003217CA">
        <w:t xml:space="preserve">direct </w:t>
      </w:r>
      <w:r w:rsidRPr="00F613FF">
        <w:t>evidence that memoranda of agree</w:t>
      </w:r>
      <w:r w:rsidR="00F43456">
        <w:t>ment</w:t>
      </w:r>
      <w:r w:rsidRPr="00F613FF">
        <w:t xml:space="preserve"> which referred specifically to the provision </w:t>
      </w:r>
      <w:r w:rsidR="007C50B0">
        <w:t xml:space="preserve">of </w:t>
      </w:r>
      <w:r w:rsidR="00D20EE6">
        <w:t xml:space="preserve">teaching </w:t>
      </w:r>
      <w:r w:rsidR="007C50B0">
        <w:t xml:space="preserve">services </w:t>
      </w:r>
      <w:r w:rsidR="003217CA">
        <w:t xml:space="preserve">in those Trimesters </w:t>
      </w:r>
      <w:r w:rsidRPr="00F613FF">
        <w:t xml:space="preserve">were executed by JMC and Mr Harrison.  The evidence, however, </w:t>
      </w:r>
      <w:r w:rsidR="00FB456D">
        <w:t xml:space="preserve">again </w:t>
      </w:r>
      <w:r w:rsidRPr="00F613FF">
        <w:t>tend</w:t>
      </w:r>
      <w:r w:rsidR="00A26C38">
        <w:t>ed</w:t>
      </w:r>
      <w:r w:rsidRPr="00F613FF">
        <w:t xml:space="preserve"> to support the inference that Mr Harrison agreed, most likely by email or similar communication, to provide teaching services during those </w:t>
      </w:r>
      <w:r w:rsidR="003217CA">
        <w:t xml:space="preserve">Trimesters </w:t>
      </w:r>
      <w:r w:rsidRPr="00F613FF">
        <w:t xml:space="preserve">on terms set out </w:t>
      </w:r>
      <w:r w:rsidR="00F43456">
        <w:t xml:space="preserve">in a memorandum of agreement </w:t>
      </w:r>
      <w:r w:rsidRPr="00F613FF">
        <w:t>relevantly identical to the first MOA</w:t>
      </w:r>
      <w:r w:rsidR="00DD74E5">
        <w:t xml:space="preserve"> or second MOA</w:t>
      </w:r>
      <w:r w:rsidRPr="00F613FF">
        <w:t>.</w:t>
      </w:r>
      <w:r w:rsidR="00FB456D">
        <w:t xml:space="preserve">  That was effectively common ground between the parties.</w:t>
      </w:r>
      <w:r>
        <w:t xml:space="preserve"> </w:t>
      </w:r>
      <w:r w:rsidR="003606EE">
        <w:t xml:space="preserve"> </w:t>
      </w:r>
    </w:p>
    <w:p w14:paraId="4199D844" w14:textId="77777777" w:rsidR="00363F7D" w:rsidRDefault="00363F7D" w:rsidP="00363F7D">
      <w:pPr>
        <w:pStyle w:val="Heading2"/>
      </w:pPr>
      <w:r>
        <w:t xml:space="preserve">The </w:t>
      </w:r>
      <w:r w:rsidR="00C339ED">
        <w:t>sixteenth</w:t>
      </w:r>
      <w:r w:rsidR="00D45758">
        <w:t xml:space="preserve"> </w:t>
      </w:r>
      <w:r>
        <w:t>contract</w:t>
      </w:r>
      <w:r w:rsidR="004B3FB4">
        <w:t xml:space="preserve"> </w:t>
      </w:r>
      <w:r w:rsidR="007B5297">
        <w:t xml:space="preserve"> </w:t>
      </w:r>
      <w:r w:rsidR="000D56CB">
        <w:t xml:space="preserve"> </w:t>
      </w:r>
    </w:p>
    <w:p w14:paraId="460A731B" w14:textId="14C569FC" w:rsidR="00F51932" w:rsidRDefault="00257045" w:rsidP="00757A1C">
      <w:pPr>
        <w:pStyle w:val="ParaNumbering"/>
      </w:pPr>
      <w:r>
        <w:t xml:space="preserve">On </w:t>
      </w:r>
      <w:r w:rsidR="00F51932">
        <w:t>6 May 2016, Mr Rob</w:t>
      </w:r>
      <w:r w:rsidR="0053158D">
        <w:t>ert</w:t>
      </w:r>
      <w:r w:rsidR="00F51932">
        <w:t xml:space="preserve"> </w:t>
      </w:r>
      <w:r w:rsidR="00F51932" w:rsidRPr="00F51932">
        <w:rPr>
          <w:b/>
        </w:rPr>
        <w:t>Care</w:t>
      </w:r>
      <w:r w:rsidR="00F51932">
        <w:t>, JMC’s Head of Audio Engineering and Sound Production, sent an email to Mr Harrison which stated as follows:</w:t>
      </w:r>
    </w:p>
    <w:p w14:paraId="19EEBAD0" w14:textId="77777777" w:rsidR="00005C91" w:rsidRPr="00551FC8" w:rsidRDefault="00005C91" w:rsidP="00005C91">
      <w:pPr>
        <w:pStyle w:val="Quote1"/>
        <w:rPr>
          <w:i/>
        </w:rPr>
      </w:pPr>
      <w:r w:rsidRPr="00551FC8">
        <w:rPr>
          <w:i/>
        </w:rPr>
        <w:t>I refer to your contract with us dated 2012 and advise that we would like to retain your services for the upcoming Trimester period from 06/06/2016 to 02/09/2016.</w:t>
      </w:r>
    </w:p>
    <w:p w14:paraId="76817588" w14:textId="2615E10E" w:rsidR="00005C91" w:rsidRPr="00551FC8" w:rsidRDefault="00005C91" w:rsidP="00005C91">
      <w:pPr>
        <w:pStyle w:val="Quote1"/>
        <w:rPr>
          <w:i/>
        </w:rPr>
      </w:pPr>
      <w:r w:rsidRPr="00551FC8">
        <w:rPr>
          <w:i/>
        </w:rPr>
        <w:t>The</w:t>
      </w:r>
      <w:r w:rsidR="005A7873" w:rsidRPr="00551FC8">
        <w:rPr>
          <w:i/>
        </w:rPr>
        <w:t xml:space="preserve"> schedule of units proposed are</w:t>
      </w:r>
      <w:r w:rsidR="00EF72A2" w:rsidRPr="00551FC8">
        <w:rPr>
          <w:i/>
        </w:rPr>
        <w:t>;</w:t>
      </w:r>
    </w:p>
    <w:p w14:paraId="5F86D68B" w14:textId="77777777" w:rsidR="00005C91" w:rsidRPr="00551FC8" w:rsidRDefault="00005C91" w:rsidP="00005C91">
      <w:pPr>
        <w:pStyle w:val="Quote1"/>
        <w:rPr>
          <w:i/>
        </w:rPr>
      </w:pPr>
      <w:r w:rsidRPr="00551FC8">
        <w:rPr>
          <w:i/>
        </w:rPr>
        <w:t>-AUDIO 202</w:t>
      </w:r>
    </w:p>
    <w:p w14:paraId="52E18150" w14:textId="77777777" w:rsidR="00005C91" w:rsidRPr="00551FC8" w:rsidRDefault="00005C91" w:rsidP="00005C91">
      <w:pPr>
        <w:pStyle w:val="Quote1"/>
        <w:rPr>
          <w:i/>
        </w:rPr>
      </w:pPr>
      <w:r w:rsidRPr="00551FC8">
        <w:rPr>
          <w:i/>
        </w:rPr>
        <w:t>-AUDIO 305</w:t>
      </w:r>
    </w:p>
    <w:p w14:paraId="302ACCB4" w14:textId="77777777" w:rsidR="00005C91" w:rsidRPr="00551FC8" w:rsidRDefault="00005C91" w:rsidP="00005C91">
      <w:pPr>
        <w:pStyle w:val="Quote1"/>
        <w:rPr>
          <w:i/>
        </w:rPr>
      </w:pPr>
      <w:r w:rsidRPr="00551FC8">
        <w:rPr>
          <w:i/>
        </w:rPr>
        <w:t>-AUDIO 405</w:t>
      </w:r>
    </w:p>
    <w:p w14:paraId="74FBEBC8" w14:textId="77777777" w:rsidR="00005C91" w:rsidRDefault="00005C91" w:rsidP="00005C91">
      <w:pPr>
        <w:pStyle w:val="Quote1"/>
      </w:pPr>
      <w:r w:rsidRPr="00551FC8">
        <w:rPr>
          <w:i/>
        </w:rPr>
        <w:t xml:space="preserve">All terms and conditions as per the above contract remain the same. Please advise us by return email before 13/06/2016 of your acceptance of the new schedule of works or of your unavailability to undertake the work proposed. </w:t>
      </w:r>
      <w:r w:rsidRPr="00551FC8">
        <w:rPr>
          <w:i/>
          <w:u w:val="single"/>
        </w:rPr>
        <w:t>Please also advise if you propose to subcontract the work to another party so we can assess their credentials prior to the trimester starting.</w:t>
      </w:r>
      <w:r w:rsidR="00B84ADA">
        <w:t xml:space="preserve"> </w:t>
      </w:r>
    </w:p>
    <w:p w14:paraId="7F91420D" w14:textId="36567540" w:rsidR="000F62F4" w:rsidRDefault="000F62F4" w:rsidP="00005C91">
      <w:pPr>
        <w:pStyle w:val="Quote1"/>
      </w:pPr>
      <w:r>
        <w:t xml:space="preserve">(Emphasis </w:t>
      </w:r>
      <w:r w:rsidR="00702CC8">
        <w:t xml:space="preserve">by underlining </w:t>
      </w:r>
      <w:r>
        <w:t>added)</w:t>
      </w:r>
    </w:p>
    <w:p w14:paraId="029FEA3B" w14:textId="77777777" w:rsidR="000F62F4" w:rsidRDefault="00005C91" w:rsidP="00005C91">
      <w:pPr>
        <w:pStyle w:val="ParaNumbering"/>
      </w:pPr>
      <w:r>
        <w:t>On 6 May 2016, Mr</w:t>
      </w:r>
      <w:r w:rsidR="007F6AAD">
        <w:t xml:space="preserve"> Harrison replied by email to Mr Care’s email, stating</w:t>
      </w:r>
      <w:r w:rsidR="009419FE">
        <w:t>:</w:t>
      </w:r>
      <w:r w:rsidR="007F6AAD">
        <w:t xml:space="preserve"> “Thanks Rob, yes I accept”. </w:t>
      </w:r>
      <w:r>
        <w:t xml:space="preserve"> </w:t>
      </w:r>
    </w:p>
    <w:p w14:paraId="4BE99680" w14:textId="5BF180C2" w:rsidR="00C53E25" w:rsidRDefault="002E7770" w:rsidP="00E67BE4">
      <w:pPr>
        <w:pStyle w:val="ParaNumbering"/>
      </w:pPr>
      <w:r>
        <w:t>I</w:t>
      </w:r>
      <w:r w:rsidR="00CF0F62">
        <w:t>t wa</w:t>
      </w:r>
      <w:r w:rsidR="000F62F4">
        <w:t xml:space="preserve">s </w:t>
      </w:r>
      <w:r>
        <w:t xml:space="preserve">essentially </w:t>
      </w:r>
      <w:r w:rsidR="000F62F4">
        <w:t xml:space="preserve">common ground </w:t>
      </w:r>
      <w:r>
        <w:t xml:space="preserve">between the parties </w:t>
      </w:r>
      <w:r w:rsidR="000F62F4">
        <w:t>that the contract which was entered into as a result of this exchange of emails</w:t>
      </w:r>
      <w:r w:rsidR="00D20EE6">
        <w:t xml:space="preserve"> between Mr Harrison and Mr Care</w:t>
      </w:r>
      <w:r w:rsidR="000F62F4">
        <w:t xml:space="preserve"> incorporated the terms </w:t>
      </w:r>
      <w:r w:rsidR="000F62F4">
        <w:lastRenderedPageBreak/>
        <w:t>of the second MOA.  The</w:t>
      </w:r>
      <w:r w:rsidR="00CF0F62">
        <w:t xml:space="preserve"> Commissioner contended</w:t>
      </w:r>
      <w:r>
        <w:t>, however,</w:t>
      </w:r>
      <w:r w:rsidR="00CF0F62">
        <w:t xml:space="preserve"> that the portion of Mr Care’s email </w:t>
      </w:r>
      <w:r w:rsidR="008D0D7E">
        <w:t xml:space="preserve">which is emphasised in the above extract </w:t>
      </w:r>
      <w:r w:rsidR="009F489D">
        <w:t xml:space="preserve">varied </w:t>
      </w:r>
      <w:r w:rsidR="00780C20">
        <w:t xml:space="preserve">or added to </w:t>
      </w:r>
      <w:r w:rsidR="00CF0F62">
        <w:t>the terms of the contract</w:t>
      </w:r>
      <w:r w:rsidR="00780C20">
        <w:t xml:space="preserve"> in a potentially important respect</w:t>
      </w:r>
      <w:r w:rsidR="000F62F4">
        <w:t>.</w:t>
      </w:r>
      <w:r w:rsidR="009F489D">
        <w:t xml:space="preserve">  </w:t>
      </w:r>
      <w:r w:rsidR="00F30658">
        <w:t>The same argument was advanced in respect of similar statements made in</w:t>
      </w:r>
      <w:r w:rsidR="002810AB">
        <w:t xml:space="preserve"> other emails in which Mr Care offered to </w:t>
      </w:r>
      <w:r w:rsidR="00E817CE">
        <w:t xml:space="preserve">retain </w:t>
      </w:r>
      <w:r w:rsidR="002810AB">
        <w:t>Mr Harrison</w:t>
      </w:r>
      <w:r w:rsidR="00E817CE">
        <w:t>’s services for different trimesters</w:t>
      </w:r>
      <w:r w:rsidR="00A872D6">
        <w:t xml:space="preserve"> on the same terms and conditions</w:t>
      </w:r>
      <w:r w:rsidR="00E817CE">
        <w:t>.</w:t>
      </w:r>
      <w:r w:rsidR="002810AB">
        <w:t xml:space="preserve"> </w:t>
      </w:r>
      <w:r w:rsidR="00E817CE">
        <w:t xml:space="preserve"> </w:t>
      </w:r>
      <w:r w:rsidR="00684AC1">
        <w:t>The Commissioner also contended that Mr Care’s email</w:t>
      </w:r>
      <w:r w:rsidR="00E817CE">
        <w:t>s</w:t>
      </w:r>
      <w:r w:rsidR="00684AC1">
        <w:t xml:space="preserve">, </w:t>
      </w:r>
      <w:r w:rsidR="00E817CE">
        <w:t>considered along with the conduct of the parties</w:t>
      </w:r>
      <w:r w:rsidR="00684AC1">
        <w:t>, gave rise to a variation by conduct or perhaps an estoppel</w:t>
      </w:r>
      <w:r w:rsidR="008D0D7E">
        <w:t xml:space="preserve"> or waiver</w:t>
      </w:r>
      <w:r w:rsidR="00684AC1">
        <w:t xml:space="preserve">.  JMC denied that </w:t>
      </w:r>
      <w:r w:rsidR="00A872D6">
        <w:t xml:space="preserve">the emails effected any </w:t>
      </w:r>
      <w:r w:rsidR="00684AC1">
        <w:t xml:space="preserve">variation to the </w:t>
      </w:r>
      <w:r w:rsidR="00A872D6">
        <w:t xml:space="preserve">terms and conditions of the </w:t>
      </w:r>
      <w:r w:rsidR="00684AC1">
        <w:t>contract</w:t>
      </w:r>
      <w:r w:rsidR="00A872D6">
        <w:t>s</w:t>
      </w:r>
      <w:r w:rsidR="00684AC1">
        <w:t xml:space="preserve"> and </w:t>
      </w:r>
      <w:r w:rsidR="00A872D6">
        <w:t xml:space="preserve">denied that the emails, or the </w:t>
      </w:r>
      <w:r w:rsidR="001406E3">
        <w:t xml:space="preserve">subsequent </w:t>
      </w:r>
      <w:r w:rsidR="00A872D6">
        <w:t xml:space="preserve">conduct of the parties, </w:t>
      </w:r>
      <w:r w:rsidR="001406E3">
        <w:t xml:space="preserve">gave rise to any </w:t>
      </w:r>
      <w:r w:rsidR="00684AC1">
        <w:t>estoppel</w:t>
      </w:r>
      <w:r w:rsidR="008D0D7E">
        <w:t xml:space="preserve"> or waiver</w:t>
      </w:r>
      <w:r w:rsidR="00684AC1">
        <w:t xml:space="preserve">.  </w:t>
      </w:r>
    </w:p>
    <w:p w14:paraId="5B3F87C3" w14:textId="05D872AF" w:rsidR="00E67BE4" w:rsidRDefault="00C53E25" w:rsidP="00E67BE4">
      <w:pPr>
        <w:pStyle w:val="ParaNumbering"/>
      </w:pPr>
      <w:r>
        <w:t>The Commissioner’s cont</w:t>
      </w:r>
      <w:r w:rsidR="008D0D7E">
        <w:t xml:space="preserve">entions concerning variation, </w:t>
      </w:r>
      <w:r>
        <w:t xml:space="preserve">estoppel </w:t>
      </w:r>
      <w:r w:rsidR="008D0D7E">
        <w:t xml:space="preserve">and waiver </w:t>
      </w:r>
      <w:r>
        <w:t xml:space="preserve">will be </w:t>
      </w:r>
      <w:r w:rsidR="009F489D">
        <w:t>discussed later.</w:t>
      </w:r>
      <w:r>
        <w:t xml:space="preserve">  It suffices to note at this point that the general effect of the </w:t>
      </w:r>
      <w:r w:rsidR="008D0D7E">
        <w:t xml:space="preserve">alleged </w:t>
      </w:r>
      <w:r>
        <w:t>variation</w:t>
      </w:r>
      <w:r w:rsidR="009419FE">
        <w:t xml:space="preserve">, </w:t>
      </w:r>
      <w:r>
        <w:t>estoppel</w:t>
      </w:r>
      <w:r w:rsidR="008D0D7E">
        <w:t xml:space="preserve"> or waiver</w:t>
      </w:r>
      <w:r>
        <w:t xml:space="preserve"> was said to be that</w:t>
      </w:r>
      <w:r w:rsidR="009419FE">
        <w:t>,</w:t>
      </w:r>
      <w:r>
        <w:t xml:space="preserve"> if </w:t>
      </w:r>
      <w:r w:rsidR="00C42DEC">
        <w:t xml:space="preserve">Mr Harrison </w:t>
      </w:r>
      <w:r w:rsidR="009419FE">
        <w:t xml:space="preserve">intended </w:t>
      </w:r>
      <w:r>
        <w:t>to sub</w:t>
      </w:r>
      <w:r w:rsidR="004F6E56">
        <w:t>-</w:t>
      </w:r>
      <w:r>
        <w:t>contract the teaching services to another party</w:t>
      </w:r>
      <w:r w:rsidR="00C42DEC">
        <w:t>, he had to give JMC notice of that intention prior to the commencement of the trimester</w:t>
      </w:r>
      <w:r w:rsidR="008D0D7E">
        <w:t xml:space="preserve"> in which he was to provide the relevant services</w:t>
      </w:r>
      <w:r w:rsidR="00C42DEC">
        <w:t>.  In the Commissioner’s submission,</w:t>
      </w:r>
      <w:r w:rsidR="008D0D7E">
        <w:t xml:space="preserve"> the effect of the variation, </w:t>
      </w:r>
      <w:r w:rsidR="00C42DEC">
        <w:t xml:space="preserve">estoppel </w:t>
      </w:r>
      <w:r w:rsidR="008D0D7E">
        <w:t xml:space="preserve">or waiver </w:t>
      </w:r>
      <w:r w:rsidR="00C42DEC">
        <w:t>was to signi</w:t>
      </w:r>
      <w:r w:rsidR="001E7493">
        <w:t>ficantly narrow the scope of Mr </w:t>
      </w:r>
      <w:r w:rsidR="00C42DEC">
        <w:t>Harrison’s right to sub</w:t>
      </w:r>
      <w:r w:rsidR="004F6E56">
        <w:t>-</w:t>
      </w:r>
      <w:r w:rsidR="00C42DEC">
        <w:t xml:space="preserve">contract. </w:t>
      </w:r>
    </w:p>
    <w:p w14:paraId="2F483DD3" w14:textId="77777777" w:rsidR="007F6AAD" w:rsidRDefault="00331C8C" w:rsidP="007F6AAD">
      <w:pPr>
        <w:pStyle w:val="Heading2"/>
      </w:pPr>
      <w:r>
        <w:t>The seventeenth</w:t>
      </w:r>
      <w:r w:rsidR="007F6AAD">
        <w:t xml:space="preserve"> contract</w:t>
      </w:r>
    </w:p>
    <w:p w14:paraId="01789668" w14:textId="3E9234D1" w:rsidR="00320DE7" w:rsidRDefault="00320DE7" w:rsidP="00005C91">
      <w:pPr>
        <w:pStyle w:val="ParaNumbering"/>
      </w:pPr>
      <w:r>
        <w:t xml:space="preserve">On 19 May 2016, Mr Peter </w:t>
      </w:r>
      <w:r w:rsidRPr="00813D5D">
        <w:rPr>
          <w:b/>
        </w:rPr>
        <w:t>George</w:t>
      </w:r>
      <w:r>
        <w:t xml:space="preserve">, JMC’s </w:t>
      </w:r>
      <w:r w:rsidR="009419FE">
        <w:t>H</w:t>
      </w:r>
      <w:r>
        <w:t xml:space="preserve">ead of </w:t>
      </w:r>
      <w:r w:rsidR="00CB7C62">
        <w:t xml:space="preserve">Film and </w:t>
      </w:r>
      <w:r w:rsidR="0024421B">
        <w:t>Television, sent an email to Mr </w:t>
      </w:r>
      <w:r>
        <w:t xml:space="preserve">Harrison which stated as follows: </w:t>
      </w:r>
    </w:p>
    <w:p w14:paraId="0A2EC397" w14:textId="001DB52F" w:rsidR="0049750D" w:rsidRPr="009B18D1" w:rsidRDefault="0049750D" w:rsidP="009B18D1">
      <w:pPr>
        <w:pStyle w:val="Quote1"/>
        <w:rPr>
          <w:i/>
        </w:rPr>
      </w:pPr>
      <w:r w:rsidRPr="009B18D1">
        <w:rPr>
          <w:i/>
        </w:rPr>
        <w:t>I refer to your contract with us dated 2013 and advise that we would like to retain your services for the upcoming Trimester period from 6/6/2016 to 9/9/2016.</w:t>
      </w:r>
    </w:p>
    <w:p w14:paraId="3F1226FD" w14:textId="1E141B80" w:rsidR="0049750D" w:rsidRPr="009B18D1" w:rsidRDefault="009B18D1" w:rsidP="009B18D1">
      <w:pPr>
        <w:pStyle w:val="Quote1"/>
        <w:rPr>
          <w:b/>
        </w:rPr>
      </w:pPr>
      <w:r w:rsidRPr="009B18D1">
        <w:rPr>
          <w:b/>
        </w:rPr>
        <w:t>Trimester commences</w:t>
      </w:r>
      <w:r>
        <w:rPr>
          <w:b/>
        </w:rPr>
        <w:tab/>
      </w:r>
      <w:r w:rsidR="0049750D" w:rsidRPr="009B18D1">
        <w:rPr>
          <w:b/>
        </w:rPr>
        <w:t>June 6, 2016</w:t>
      </w:r>
    </w:p>
    <w:p w14:paraId="366E808E" w14:textId="1224FDD7" w:rsidR="0049750D" w:rsidRDefault="0049750D" w:rsidP="009B18D1">
      <w:pPr>
        <w:pStyle w:val="Quote1"/>
      </w:pPr>
      <w:r>
        <w:t>Assessm</w:t>
      </w:r>
      <w:r w:rsidR="009B18D1">
        <w:t>ent weeks</w:t>
      </w:r>
      <w:r w:rsidR="009B18D1">
        <w:tab/>
      </w:r>
      <w:r>
        <w:t>August 29 - September 9, 2016</w:t>
      </w:r>
    </w:p>
    <w:p w14:paraId="48469211" w14:textId="285A1944" w:rsidR="0049750D" w:rsidRPr="009B18D1" w:rsidRDefault="009B18D1" w:rsidP="009B18D1">
      <w:pPr>
        <w:pStyle w:val="Quote1"/>
        <w:rPr>
          <w:b/>
        </w:rPr>
      </w:pPr>
      <w:r>
        <w:rPr>
          <w:b/>
        </w:rPr>
        <w:t>Trimester finishes</w:t>
      </w:r>
      <w:r>
        <w:rPr>
          <w:b/>
        </w:rPr>
        <w:tab/>
      </w:r>
      <w:r w:rsidR="0049750D" w:rsidRPr="009B18D1">
        <w:rPr>
          <w:b/>
        </w:rPr>
        <w:t>September 9, 2016</w:t>
      </w:r>
    </w:p>
    <w:p w14:paraId="565E5EC8" w14:textId="3764A4BC" w:rsidR="0049750D" w:rsidRPr="009B18D1" w:rsidRDefault="009B18D1" w:rsidP="009B18D1">
      <w:pPr>
        <w:pStyle w:val="Quote1"/>
        <w:rPr>
          <w:b/>
        </w:rPr>
      </w:pPr>
      <w:r>
        <w:rPr>
          <w:b/>
        </w:rPr>
        <w:t>Inter Trimester Break</w:t>
      </w:r>
      <w:r>
        <w:rPr>
          <w:b/>
        </w:rPr>
        <w:tab/>
      </w:r>
      <w:r w:rsidR="0049750D" w:rsidRPr="009B18D1">
        <w:rPr>
          <w:b/>
        </w:rPr>
        <w:t>September 12 - 16, 2016</w:t>
      </w:r>
    </w:p>
    <w:p w14:paraId="7D66F8DE" w14:textId="64D7E7E6" w:rsidR="0049750D" w:rsidRDefault="0049750D" w:rsidP="00694071">
      <w:pPr>
        <w:pStyle w:val="Quote1"/>
      </w:pPr>
      <w:r w:rsidRPr="00694071">
        <w:rPr>
          <w:i/>
        </w:rPr>
        <w:t>The schedule of units proposed are</w:t>
      </w:r>
      <w:r w:rsidR="00CB7C62" w:rsidRPr="00694071">
        <w:rPr>
          <w:i/>
        </w:rPr>
        <w:t>:</w:t>
      </w:r>
    </w:p>
    <w:p w14:paraId="72665129" w14:textId="528B3D08" w:rsidR="0049750D" w:rsidRPr="00694071" w:rsidRDefault="0049750D" w:rsidP="00694071">
      <w:pPr>
        <w:pStyle w:val="Quote1"/>
        <w:rPr>
          <w:b/>
        </w:rPr>
      </w:pPr>
      <w:r w:rsidRPr="00694071">
        <w:rPr>
          <w:b/>
        </w:rPr>
        <w:t xml:space="preserve">• FTV 207 </w:t>
      </w:r>
      <w:r w:rsidR="00CB7C62" w:rsidRPr="00694071">
        <w:rPr>
          <w:b/>
        </w:rPr>
        <w:t>–</w:t>
      </w:r>
      <w:r w:rsidRPr="00694071">
        <w:rPr>
          <w:b/>
        </w:rPr>
        <w:t xml:space="preserve"> Sound Recording</w:t>
      </w:r>
    </w:p>
    <w:p w14:paraId="5A447D1E" w14:textId="77777777" w:rsidR="0049750D" w:rsidRPr="0045352A" w:rsidRDefault="0049750D" w:rsidP="00694071">
      <w:pPr>
        <w:pStyle w:val="Quote1"/>
        <w:rPr>
          <w:i/>
        </w:rPr>
      </w:pPr>
      <w:r w:rsidRPr="0045352A">
        <w:rPr>
          <w:i/>
        </w:rPr>
        <w:t>(See attached timetable)</w:t>
      </w:r>
    </w:p>
    <w:p w14:paraId="1080BF0B" w14:textId="32AFBBFD" w:rsidR="0049750D" w:rsidRPr="00694071" w:rsidRDefault="0049750D" w:rsidP="00694071">
      <w:pPr>
        <w:pStyle w:val="Quote1"/>
        <w:rPr>
          <w:i/>
        </w:rPr>
      </w:pPr>
      <w:r w:rsidRPr="00694071">
        <w:rPr>
          <w:i/>
        </w:rPr>
        <w:t>All terms and conditions as per the above contract remain the same. Please advise us by return email before 27</w:t>
      </w:r>
      <w:r w:rsidR="00CB7C62" w:rsidRPr="00694071">
        <w:rPr>
          <w:i/>
        </w:rPr>
        <w:t>/</w:t>
      </w:r>
      <w:r w:rsidRPr="00694071">
        <w:rPr>
          <w:i/>
        </w:rPr>
        <w:t>5</w:t>
      </w:r>
      <w:r w:rsidR="00CB7C62" w:rsidRPr="00694071">
        <w:rPr>
          <w:i/>
        </w:rPr>
        <w:t>/</w:t>
      </w:r>
      <w:r w:rsidRPr="00694071">
        <w:rPr>
          <w:i/>
        </w:rPr>
        <w:t xml:space="preserve">2016 of your acceptance of the new schedule of works or of your unavailability to undertake the work proposed. </w:t>
      </w:r>
      <w:r w:rsidRPr="00FC746F">
        <w:rPr>
          <w:i/>
          <w:u w:val="single"/>
        </w:rPr>
        <w:t>Please also advise if you propose to subcontract the work to another party so we can assess their credentials prior to the trimester starting.</w:t>
      </w:r>
    </w:p>
    <w:p w14:paraId="362DC5FD" w14:textId="127DCEFA" w:rsidR="0049750D" w:rsidRPr="0049750D" w:rsidRDefault="00E02E52" w:rsidP="0049750D">
      <w:pPr>
        <w:pStyle w:val="Quote1"/>
      </w:pPr>
      <w:r>
        <w:lastRenderedPageBreak/>
        <w:t>(Italics</w:t>
      </w:r>
      <w:r w:rsidR="0049750D" w:rsidRPr="0049750D">
        <w:t xml:space="preserve"> in original</w:t>
      </w:r>
      <w:r>
        <w:t xml:space="preserve"> – emphasis by </w:t>
      </w:r>
      <w:r w:rsidR="00FC746F">
        <w:t>underlying</w:t>
      </w:r>
      <w:r>
        <w:t xml:space="preserve"> added</w:t>
      </w:r>
      <w:r w:rsidR="0049750D" w:rsidRPr="0049750D">
        <w:t>)</w:t>
      </w:r>
    </w:p>
    <w:p w14:paraId="15114F35" w14:textId="77777777" w:rsidR="00271367" w:rsidRDefault="00271367" w:rsidP="00005C91">
      <w:pPr>
        <w:pStyle w:val="ParaNumbering"/>
      </w:pPr>
      <w:r>
        <w:t>On 25 May 2016, Mr Harrison replied to Mr George’s email and stated as follows:</w:t>
      </w:r>
    </w:p>
    <w:p w14:paraId="541864FE" w14:textId="40FD4C4E" w:rsidR="006C70CC" w:rsidRDefault="00271367" w:rsidP="006C70CC">
      <w:pPr>
        <w:pStyle w:val="Quote1"/>
      </w:pPr>
      <w:r>
        <w:t>Thanks Peter, yes completely good. I’ve got two things on this trimester that wo</w:t>
      </w:r>
      <w:r w:rsidR="00E02E52">
        <w:t>u</w:t>
      </w:r>
      <w:r>
        <w:t>ld mean rescheduling the classes (week 3 and week 8) – if you’re fine with this I can organise</w:t>
      </w:r>
      <w:r w:rsidR="006C70CC">
        <w:t xml:space="preserve"> </w:t>
      </w:r>
      <w:r w:rsidR="00C95A6A">
        <w:t xml:space="preserve">the </w:t>
      </w:r>
      <w:r w:rsidR="006C70CC">
        <w:t>p</w:t>
      </w:r>
      <w:r>
        <w:t>ickup classes.</w:t>
      </w:r>
    </w:p>
    <w:p w14:paraId="46E73BB7" w14:textId="43435C7E" w:rsidR="00331C8C" w:rsidRDefault="006C70CC" w:rsidP="009961B5">
      <w:pPr>
        <w:pStyle w:val="ParaNumbering"/>
      </w:pPr>
      <w:r>
        <w:t xml:space="preserve">The reference in Mr George’s email to Mr Harrison’s contract with JMC </w:t>
      </w:r>
      <w:r w:rsidR="009961B5">
        <w:t xml:space="preserve">“dated 2013” </w:t>
      </w:r>
      <w:r>
        <w:t>would appear to be a reference to the second MOA, or perhaps a similar memorand</w:t>
      </w:r>
      <w:r w:rsidR="009419FE">
        <w:t>um</w:t>
      </w:r>
      <w:r>
        <w:t xml:space="preserve"> of agreement executed during </w:t>
      </w:r>
      <w:r w:rsidR="009961B5">
        <w:t>2013.</w:t>
      </w:r>
      <w:r>
        <w:t xml:space="preserve"> </w:t>
      </w:r>
      <w:r w:rsidR="009961B5">
        <w:t xml:space="preserve"> I</w:t>
      </w:r>
      <w:r w:rsidR="009961B5" w:rsidRPr="009961B5">
        <w:t>t was common ground that the contract which was entered into as a result of this exchange of emails incorporated the terms of</w:t>
      </w:r>
      <w:r w:rsidR="00E02E52">
        <w:t xml:space="preserve"> the second MOA</w:t>
      </w:r>
      <w:r w:rsidR="009961B5">
        <w:t xml:space="preserve">, subject to the Commissioner’s contention, considered </w:t>
      </w:r>
      <w:r w:rsidR="00331C8C">
        <w:t xml:space="preserve">in more detail </w:t>
      </w:r>
      <w:proofErr w:type="gramStart"/>
      <w:r w:rsidR="009961B5">
        <w:t>later, that</w:t>
      </w:r>
      <w:proofErr w:type="gramEnd"/>
      <w:r w:rsidR="009961B5">
        <w:t xml:space="preserve"> the email </w:t>
      </w:r>
      <w:r w:rsidR="0007005E">
        <w:t xml:space="preserve">added to or </w:t>
      </w:r>
      <w:r w:rsidR="009961B5">
        <w:t>varied the terms</w:t>
      </w:r>
      <w:r w:rsidR="0007005E">
        <w:t xml:space="preserve"> of the agreement, or gave rise to an estoppel</w:t>
      </w:r>
      <w:r w:rsidR="00702CC8">
        <w:t xml:space="preserve"> or waiver</w:t>
      </w:r>
      <w:r w:rsidR="00331C8C">
        <w:t>.</w:t>
      </w:r>
      <w:r w:rsidR="009F489D">
        <w:t xml:space="preserve"> </w:t>
      </w:r>
    </w:p>
    <w:p w14:paraId="2FEAB459" w14:textId="77777777" w:rsidR="00331C8C" w:rsidRDefault="00331C8C" w:rsidP="007F3B7A">
      <w:pPr>
        <w:pStyle w:val="Heading2"/>
      </w:pPr>
      <w:r>
        <w:t>The eighteenth contract</w:t>
      </w:r>
    </w:p>
    <w:p w14:paraId="5A157E24" w14:textId="77777777" w:rsidR="00331C8C" w:rsidRDefault="009C4DC0" w:rsidP="00331C8C">
      <w:pPr>
        <w:pStyle w:val="ParaNumbering"/>
      </w:pPr>
      <w:r>
        <w:t>On 8 August 2016, Mr Care sent an email to Mr Harrison which stated as follows:</w:t>
      </w:r>
    </w:p>
    <w:p w14:paraId="059513AF" w14:textId="77777777" w:rsidR="00331C8C" w:rsidRPr="009C4DC0" w:rsidRDefault="00331C8C" w:rsidP="009C4DC0">
      <w:pPr>
        <w:pStyle w:val="Quote1"/>
        <w:rPr>
          <w:i/>
        </w:rPr>
      </w:pPr>
      <w:r w:rsidRPr="009C4DC0">
        <w:rPr>
          <w:i/>
        </w:rPr>
        <w:t>I refer to your contract with us dated 2012 and advise that we would like to retain your services for</w:t>
      </w:r>
      <w:r w:rsidR="009C4DC0" w:rsidRPr="009C4DC0">
        <w:rPr>
          <w:i/>
        </w:rPr>
        <w:t xml:space="preserve"> </w:t>
      </w:r>
      <w:r w:rsidRPr="009C4DC0">
        <w:rPr>
          <w:i/>
        </w:rPr>
        <w:t>the upcoming Trimester period from 27/09/2016 to 23/12/2016.</w:t>
      </w:r>
    </w:p>
    <w:p w14:paraId="4320C391" w14:textId="77777777" w:rsidR="00331C8C" w:rsidRPr="009C4DC0" w:rsidRDefault="00331C8C" w:rsidP="009C4DC0">
      <w:pPr>
        <w:pStyle w:val="Quote1"/>
        <w:rPr>
          <w:i/>
        </w:rPr>
      </w:pPr>
      <w:r w:rsidRPr="009C4DC0">
        <w:rPr>
          <w:i/>
        </w:rPr>
        <w:t>The schedule of units proposed are;</w:t>
      </w:r>
    </w:p>
    <w:p w14:paraId="5AFB64D8" w14:textId="77777777" w:rsidR="00331C8C" w:rsidRPr="009C4DC0" w:rsidRDefault="00331C8C" w:rsidP="009C4DC0">
      <w:pPr>
        <w:pStyle w:val="Quote1"/>
        <w:rPr>
          <w:i/>
        </w:rPr>
      </w:pPr>
      <w:r w:rsidRPr="009C4DC0">
        <w:rPr>
          <w:i/>
        </w:rPr>
        <w:t>-AUDIO 202</w:t>
      </w:r>
    </w:p>
    <w:p w14:paraId="7958A422" w14:textId="77777777" w:rsidR="00331C8C" w:rsidRPr="009C4DC0" w:rsidRDefault="00331C8C" w:rsidP="009C4DC0">
      <w:pPr>
        <w:pStyle w:val="Quote1"/>
        <w:rPr>
          <w:i/>
        </w:rPr>
      </w:pPr>
      <w:r w:rsidRPr="009C4DC0">
        <w:rPr>
          <w:i/>
        </w:rPr>
        <w:t>-AUDIO 305</w:t>
      </w:r>
    </w:p>
    <w:p w14:paraId="589D9B3F" w14:textId="77777777" w:rsidR="00331C8C" w:rsidRPr="009C4DC0" w:rsidRDefault="00331C8C" w:rsidP="009C4DC0">
      <w:pPr>
        <w:pStyle w:val="Quote1"/>
        <w:rPr>
          <w:i/>
        </w:rPr>
      </w:pPr>
      <w:r w:rsidRPr="009C4DC0">
        <w:rPr>
          <w:i/>
        </w:rPr>
        <w:t>-AUDIO 405</w:t>
      </w:r>
    </w:p>
    <w:p w14:paraId="31599322" w14:textId="77777777" w:rsidR="00331C8C" w:rsidRDefault="00331C8C" w:rsidP="009C4DC0">
      <w:pPr>
        <w:pStyle w:val="Quote1"/>
        <w:rPr>
          <w:i/>
        </w:rPr>
      </w:pPr>
      <w:r w:rsidRPr="009C4DC0">
        <w:rPr>
          <w:i/>
        </w:rPr>
        <w:t>All terms and conditions as per the above contract remain the s</w:t>
      </w:r>
      <w:r w:rsidR="009C4DC0" w:rsidRPr="009C4DC0">
        <w:rPr>
          <w:i/>
        </w:rPr>
        <w:t xml:space="preserve">ame. Please advise us by return </w:t>
      </w:r>
      <w:r w:rsidRPr="009C4DC0">
        <w:rPr>
          <w:i/>
        </w:rPr>
        <w:t xml:space="preserve">email before 12/08/2016 of your acceptance of the new schedule of works or of your </w:t>
      </w:r>
      <w:r w:rsidR="009C4DC0" w:rsidRPr="009C4DC0">
        <w:rPr>
          <w:i/>
        </w:rPr>
        <w:t xml:space="preserve">unavailability to </w:t>
      </w:r>
      <w:r w:rsidRPr="009C4DC0">
        <w:rPr>
          <w:i/>
        </w:rPr>
        <w:t xml:space="preserve">undertake the work proposed. </w:t>
      </w:r>
      <w:r w:rsidRPr="00702CC8">
        <w:rPr>
          <w:i/>
          <w:u w:val="single"/>
        </w:rPr>
        <w:t xml:space="preserve">Please also advise if you propose to </w:t>
      </w:r>
      <w:r w:rsidR="009C4DC0" w:rsidRPr="00702CC8">
        <w:rPr>
          <w:i/>
          <w:u w:val="single"/>
        </w:rPr>
        <w:t xml:space="preserve">subcontract the work to another </w:t>
      </w:r>
      <w:r w:rsidRPr="00702CC8">
        <w:rPr>
          <w:i/>
          <w:u w:val="single"/>
        </w:rPr>
        <w:t>party so we can assess their credentials prior to the trimester starting</w:t>
      </w:r>
      <w:r w:rsidRPr="0007005E">
        <w:rPr>
          <w:b/>
          <w:i/>
        </w:rPr>
        <w:t>.</w:t>
      </w:r>
    </w:p>
    <w:p w14:paraId="546E519F" w14:textId="1B6C4F03" w:rsidR="0007005E" w:rsidRPr="0007005E" w:rsidRDefault="0007005E" w:rsidP="009C4DC0">
      <w:pPr>
        <w:pStyle w:val="Quote1"/>
      </w:pPr>
      <w:r w:rsidRPr="0007005E">
        <w:t xml:space="preserve">(Emphasis by </w:t>
      </w:r>
      <w:r w:rsidR="00702CC8">
        <w:t xml:space="preserve">underlining </w:t>
      </w:r>
      <w:r w:rsidRPr="0007005E">
        <w:t>added)</w:t>
      </w:r>
    </w:p>
    <w:p w14:paraId="273E2B89" w14:textId="77777777" w:rsidR="00331C8C" w:rsidRDefault="009C4DC0" w:rsidP="009961B5">
      <w:pPr>
        <w:pStyle w:val="ParaNumbering"/>
      </w:pPr>
      <w:r>
        <w:t>On 9 August 2016, Mr Harrison replied to Mr Care’s email in the following terms</w:t>
      </w:r>
      <w:r w:rsidR="007F3B7A">
        <w:t>:</w:t>
      </w:r>
    </w:p>
    <w:p w14:paraId="1718FA64" w14:textId="77777777" w:rsidR="00331C8C" w:rsidRDefault="009235BA" w:rsidP="007F3B7A">
      <w:pPr>
        <w:pStyle w:val="Quote1"/>
      </w:pPr>
      <w:r w:rsidRPr="009235BA">
        <w:t>Hi Rob, yes happy to keep teaching of course!</w:t>
      </w:r>
    </w:p>
    <w:p w14:paraId="344A9D14" w14:textId="1157B49D" w:rsidR="009C3EE9" w:rsidRDefault="007F3B7A" w:rsidP="007F3B7A">
      <w:pPr>
        <w:pStyle w:val="ParaNumbering"/>
      </w:pPr>
      <w:r>
        <w:t>The reference in Mr Care</w:t>
      </w:r>
      <w:r w:rsidRPr="007F3B7A">
        <w:t>’s email to Mr Harrison</w:t>
      </w:r>
      <w:r>
        <w:t>’s contract with JMC “dated 2012</w:t>
      </w:r>
      <w:r w:rsidRPr="007F3B7A">
        <w:t xml:space="preserve">” would appear to be a reference to the </w:t>
      </w:r>
      <w:r>
        <w:t xml:space="preserve">first </w:t>
      </w:r>
      <w:r w:rsidRPr="007F3B7A">
        <w:t>MOA, or perhaps a similar memorand</w:t>
      </w:r>
      <w:r w:rsidR="009419FE">
        <w:t>um</w:t>
      </w:r>
      <w:r w:rsidRPr="007F3B7A">
        <w:t xml:space="preserve"> o</w:t>
      </w:r>
      <w:r>
        <w:t>f agreement executed during 2012</w:t>
      </w:r>
      <w:r w:rsidRPr="007F3B7A">
        <w:t xml:space="preserve">.  It was common ground that the contract which was entered into as a result of this exchange of emails incorporated the terms of that memorandum of agreement, subject </w:t>
      </w:r>
      <w:r>
        <w:t xml:space="preserve">again </w:t>
      </w:r>
      <w:r w:rsidRPr="007F3B7A">
        <w:t>to the Commissioner’s contention</w:t>
      </w:r>
      <w:r w:rsidR="0007005E">
        <w:t>s concerning variation and estoppel</w:t>
      </w:r>
      <w:r w:rsidRPr="007F3B7A">
        <w:t>.</w:t>
      </w:r>
    </w:p>
    <w:p w14:paraId="2D78DE6F" w14:textId="77777777" w:rsidR="007F3B7A" w:rsidRDefault="007F3B7A" w:rsidP="007F3B7A">
      <w:pPr>
        <w:pStyle w:val="Heading2"/>
      </w:pPr>
      <w:r>
        <w:lastRenderedPageBreak/>
        <w:t>The nineteenth contract</w:t>
      </w:r>
    </w:p>
    <w:p w14:paraId="10FA1DD2" w14:textId="4D1073BE" w:rsidR="007F3B7A" w:rsidRDefault="00AC6F44" w:rsidP="007F3B7A">
      <w:pPr>
        <w:pStyle w:val="ParaNumbering"/>
      </w:pPr>
      <w:r>
        <w:t>On 28 February 2017, JMC and Mr Harrison executed a memorandum of agreement</w:t>
      </w:r>
      <w:r w:rsidR="00971BE6">
        <w:t xml:space="preserve"> (the </w:t>
      </w:r>
      <w:r w:rsidR="00971BE6" w:rsidRPr="00971BE6">
        <w:rPr>
          <w:b/>
        </w:rPr>
        <w:t>third MOA</w:t>
      </w:r>
      <w:r w:rsidR="00971BE6">
        <w:t>)</w:t>
      </w:r>
      <w:r w:rsidR="00B46A9B">
        <w:t xml:space="preserve">.  That memorandum contained recitals and terms that were relevantly identical to the first </w:t>
      </w:r>
      <w:r w:rsidR="009419FE">
        <w:t xml:space="preserve">and </w:t>
      </w:r>
      <w:r w:rsidR="00B46A9B">
        <w:t xml:space="preserve">second MOA, save for the following changes.  </w:t>
      </w:r>
    </w:p>
    <w:p w14:paraId="6656BE6E" w14:textId="2953838A" w:rsidR="00B46A9B" w:rsidRDefault="00B46A9B" w:rsidP="007F3B7A">
      <w:pPr>
        <w:pStyle w:val="ParaNumbering"/>
      </w:pPr>
      <w:r>
        <w:t>Fir</w:t>
      </w:r>
      <w:r w:rsidR="00720DD6">
        <w:t>st, the second paragraph of clause</w:t>
      </w:r>
      <w:r>
        <w:t xml:space="preserve"> 12 was renumbered </w:t>
      </w:r>
      <w:r w:rsidR="009419FE">
        <w:t>“</w:t>
      </w:r>
      <w:r>
        <w:t>13</w:t>
      </w:r>
      <w:r w:rsidR="009419FE">
        <w:t>”</w:t>
      </w:r>
      <w:r>
        <w:t xml:space="preserve"> with corresponding renumber</w:t>
      </w:r>
      <w:r w:rsidR="00720DD6">
        <w:t>ing of the subsequent clauses</w:t>
      </w:r>
      <w:r>
        <w:t>.</w:t>
      </w:r>
    </w:p>
    <w:p w14:paraId="28D46432" w14:textId="79C31EA7" w:rsidR="00B46A9B" w:rsidRDefault="00EA6AA4" w:rsidP="003D37ED">
      <w:pPr>
        <w:pStyle w:val="ParaNumbering"/>
      </w:pPr>
      <w:r>
        <w:t xml:space="preserve">Second, the hourly rate for “A Lecture” </w:t>
      </w:r>
      <w:r w:rsidR="003D37ED">
        <w:t xml:space="preserve">in clause 7 </w:t>
      </w:r>
      <w:r>
        <w:t xml:space="preserve">was $65.00 (as opposed to </w:t>
      </w:r>
      <w:r w:rsidR="0071061C">
        <w:t>$60.00).</w:t>
      </w:r>
    </w:p>
    <w:p w14:paraId="77148AA8" w14:textId="28319B32" w:rsidR="0071061C" w:rsidRDefault="0071061C" w:rsidP="007F3B7A">
      <w:pPr>
        <w:pStyle w:val="ParaNumbering"/>
      </w:pPr>
      <w:r>
        <w:t>T</w:t>
      </w:r>
      <w:r w:rsidR="003D37ED">
        <w:t>hird, clause</w:t>
      </w:r>
      <w:r>
        <w:t xml:space="preserve"> 15 (the equivalent of </w:t>
      </w:r>
      <w:r w:rsidR="003D37ED">
        <w:t xml:space="preserve">clause </w:t>
      </w:r>
      <w:r w:rsidR="001D0529">
        <w:t>14</w:t>
      </w:r>
      <w:r>
        <w:t xml:space="preserve"> in the first and second MOA) provided that “[</w:t>
      </w:r>
      <w:proofErr w:type="spellStart"/>
      <w:r>
        <w:t>i</w:t>
      </w:r>
      <w:proofErr w:type="spellEnd"/>
      <w:r>
        <w:t xml:space="preserve">]n relation to the teaching services which the Services provider will provide to the Academy, the Academy will describe her/him as being a Contract Lecturer and the Services provider may describe </w:t>
      </w:r>
      <w:r w:rsidR="001D0529">
        <w:t>herself/himself</w:t>
      </w:r>
      <w:r>
        <w:t xml:space="preserve"> as such”.</w:t>
      </w:r>
      <w:r w:rsidR="004B29F5">
        <w:t xml:space="preserve">  Clause 14 of the first and second MOA provided that Mr Harrison could and would be described as a “Casual Lecturer”. </w:t>
      </w:r>
    </w:p>
    <w:p w14:paraId="6A184D95" w14:textId="1C070556" w:rsidR="00573C39" w:rsidRDefault="00573C39" w:rsidP="007F3B7A">
      <w:pPr>
        <w:pStyle w:val="ParaNumbering"/>
      </w:pPr>
      <w:r>
        <w:t xml:space="preserve">Fourth, the schedule specified the “unit(s)” as being </w:t>
      </w:r>
      <w:r w:rsidR="001D0529">
        <w:t>“</w:t>
      </w:r>
      <w:r>
        <w:t>AUDIO</w:t>
      </w:r>
      <w:r w:rsidR="001D0529">
        <w:t xml:space="preserve"> </w:t>
      </w:r>
      <w:r>
        <w:t>202 and 305</w:t>
      </w:r>
      <w:r w:rsidR="001D0529">
        <w:t>”</w:t>
      </w:r>
      <w:r>
        <w:t xml:space="preserve"> and the “occasions” as being “Academic </w:t>
      </w:r>
      <w:r w:rsidR="001D0529">
        <w:t>Y</w:t>
      </w:r>
      <w:r>
        <w:t xml:space="preserve">ear 2017”. </w:t>
      </w:r>
    </w:p>
    <w:p w14:paraId="41654564" w14:textId="6652BE4A" w:rsidR="00C64E65" w:rsidRDefault="003A4A03" w:rsidP="007F3B7A">
      <w:pPr>
        <w:pStyle w:val="ParaNumbering"/>
      </w:pPr>
      <w:r>
        <w:t xml:space="preserve">Mr Harrison’s evidence was </w:t>
      </w:r>
      <w:r w:rsidR="009930C0">
        <w:t xml:space="preserve">that he taught </w:t>
      </w:r>
      <w:r w:rsidR="00A676B2">
        <w:t>“</w:t>
      </w:r>
      <w:r w:rsidR="009419FE">
        <w:t>A</w:t>
      </w:r>
      <w:r>
        <w:t>udio</w:t>
      </w:r>
      <w:r w:rsidR="006329B5">
        <w:t xml:space="preserve"> and</w:t>
      </w:r>
      <w:r>
        <w:t xml:space="preserve"> </w:t>
      </w:r>
      <w:r w:rsidR="009419FE">
        <w:t>A</w:t>
      </w:r>
      <w:r>
        <w:t>coustics</w:t>
      </w:r>
      <w:r w:rsidR="00A676B2">
        <w:t>”</w:t>
      </w:r>
      <w:r w:rsidR="00085FDF">
        <w:t xml:space="preserve"> (AUD202)</w:t>
      </w:r>
      <w:r>
        <w:t xml:space="preserve"> and </w:t>
      </w:r>
      <w:r w:rsidR="00A676B2">
        <w:t>“</w:t>
      </w:r>
      <w:r w:rsidR="009419FE">
        <w:t>S</w:t>
      </w:r>
      <w:r>
        <w:t xml:space="preserve">ound for </w:t>
      </w:r>
      <w:r w:rsidR="006329B5">
        <w:t>F</w:t>
      </w:r>
      <w:r>
        <w:t>ilm</w:t>
      </w:r>
      <w:r w:rsidR="00A676B2">
        <w:t>”</w:t>
      </w:r>
      <w:r>
        <w:t xml:space="preserve"> </w:t>
      </w:r>
      <w:r w:rsidR="00085FDF">
        <w:t xml:space="preserve">(AUD305) </w:t>
      </w:r>
      <w:r w:rsidR="009930C0">
        <w:t xml:space="preserve">classes during </w:t>
      </w:r>
      <w:r w:rsidR="00B63EAF">
        <w:t>T</w:t>
      </w:r>
      <w:r>
        <w:t>rimester</w:t>
      </w:r>
      <w:r w:rsidR="009930C0">
        <w:t xml:space="preserve"> 1 in 2017 (13 February</w:t>
      </w:r>
      <w:r w:rsidR="006329B5">
        <w:t xml:space="preserve"> 2017</w:t>
      </w:r>
      <w:r w:rsidR="009930C0">
        <w:t xml:space="preserve"> to 5 May 2017)</w:t>
      </w:r>
      <w:r>
        <w:t xml:space="preserve">. </w:t>
      </w:r>
    </w:p>
    <w:p w14:paraId="6523D542" w14:textId="77777777" w:rsidR="00573C39" w:rsidRDefault="00573C39" w:rsidP="00573C39">
      <w:pPr>
        <w:pStyle w:val="Heading2"/>
      </w:pPr>
      <w:r>
        <w:t>The twentieth contract</w:t>
      </w:r>
    </w:p>
    <w:p w14:paraId="2AB92D34" w14:textId="77777777" w:rsidR="00C64E65" w:rsidRDefault="00C64E65" w:rsidP="007F3B7A">
      <w:pPr>
        <w:pStyle w:val="ParaNumbering"/>
      </w:pPr>
      <w:r>
        <w:t>On 3 May 2017, Mr Care sent an email to Mr Harrison which stated as follows:</w:t>
      </w:r>
    </w:p>
    <w:p w14:paraId="1D07F0C5" w14:textId="1BE2A3A0" w:rsidR="00C64E65" w:rsidRDefault="00B60E95" w:rsidP="00B60E95">
      <w:pPr>
        <w:pStyle w:val="Quote1"/>
      </w:pPr>
      <w:r>
        <w:t xml:space="preserve">I </w:t>
      </w:r>
      <w:r w:rsidR="00C64E65">
        <w:t>refer to your original contract with us dated from Feb 2017 and advise that we would</w:t>
      </w:r>
      <w:r>
        <w:t xml:space="preserve"> </w:t>
      </w:r>
      <w:r w:rsidR="00C64E65">
        <w:t>like to retain your services for the upcoming Trimester</w:t>
      </w:r>
      <w:r>
        <w:t xml:space="preserve"> period from 05.6.2017 (Week</w:t>
      </w:r>
      <w:r w:rsidR="008B2A89">
        <w:t> </w:t>
      </w:r>
      <w:r>
        <w:t xml:space="preserve">1) </w:t>
      </w:r>
      <w:r w:rsidR="00C64E65">
        <w:t>to 25.08.2017 (Week 12).</w:t>
      </w:r>
    </w:p>
    <w:p w14:paraId="54AC76FA" w14:textId="77777777" w:rsidR="00C64E65" w:rsidRDefault="00C64E65" w:rsidP="00B60E95">
      <w:pPr>
        <w:pStyle w:val="Quote1"/>
      </w:pPr>
      <w:r>
        <w:t>The schedule of units proposed are:</w:t>
      </w:r>
    </w:p>
    <w:p w14:paraId="775D449C" w14:textId="77777777" w:rsidR="00C64E65" w:rsidRDefault="00C64E65" w:rsidP="00B60E95">
      <w:pPr>
        <w:pStyle w:val="Quote1"/>
      </w:pPr>
      <w:r>
        <w:t>AUDIO 202</w:t>
      </w:r>
    </w:p>
    <w:p w14:paraId="501E152C" w14:textId="77777777" w:rsidR="00C64E65" w:rsidRDefault="00C64E65" w:rsidP="00B60E95">
      <w:pPr>
        <w:pStyle w:val="Quote1"/>
      </w:pPr>
      <w:r>
        <w:t>AUDIO 305</w:t>
      </w:r>
    </w:p>
    <w:p w14:paraId="2D1F269B" w14:textId="77777777" w:rsidR="00C64E65" w:rsidRDefault="00C64E65" w:rsidP="00B60E95">
      <w:pPr>
        <w:pStyle w:val="Quote1"/>
      </w:pPr>
      <w:r>
        <w:t>AUDIO 405</w:t>
      </w:r>
    </w:p>
    <w:p w14:paraId="1F18D82F" w14:textId="77777777" w:rsidR="00C64E65" w:rsidRDefault="00C64E65" w:rsidP="00B60E95">
      <w:pPr>
        <w:pStyle w:val="Quote1"/>
      </w:pPr>
      <w:r>
        <w:t>I can advise that your rate of pay for delivering these</w:t>
      </w:r>
      <w:r w:rsidR="00B60E95">
        <w:t xml:space="preserve"> units will be $65 per hour for </w:t>
      </w:r>
      <w:r>
        <w:t>classroom instruction, and $30 per hour for marking rate.</w:t>
      </w:r>
    </w:p>
    <w:p w14:paraId="172A4EAE" w14:textId="0077B335" w:rsidR="00C64E65" w:rsidRDefault="00C64E65" w:rsidP="00B60E95">
      <w:pPr>
        <w:pStyle w:val="Quote1"/>
      </w:pPr>
      <w:r>
        <w:t>All terms and conditions as per the above contract re</w:t>
      </w:r>
      <w:r w:rsidR="00B60E95">
        <w:t xml:space="preserve">main the same. Please advise us </w:t>
      </w:r>
      <w:r>
        <w:t xml:space="preserve">by return email before 29.05.2017 of your acceptance of </w:t>
      </w:r>
      <w:r w:rsidR="00B60E95">
        <w:t xml:space="preserve">the new schedule of work, or of </w:t>
      </w:r>
      <w:r>
        <w:t>your unavailability to undertake the work proposed. If y</w:t>
      </w:r>
      <w:r w:rsidR="00B60E95">
        <w:t>ou don</w:t>
      </w:r>
      <w:r w:rsidR="000F7329">
        <w:t>’</w:t>
      </w:r>
      <w:r w:rsidR="00B60E95">
        <w:t xml:space="preserve">t get back to us by this </w:t>
      </w:r>
      <w:r>
        <w:t>time your services may not be able to be retained</w:t>
      </w:r>
      <w:r w:rsidR="00B60E95">
        <w:t xml:space="preserve"> or confirmed, and any invoices </w:t>
      </w:r>
      <w:r>
        <w:t xml:space="preserve">submitted in the new trimester will not be paid. </w:t>
      </w:r>
      <w:r w:rsidRPr="00853C98">
        <w:rPr>
          <w:u w:val="single"/>
        </w:rPr>
        <w:t>Ple</w:t>
      </w:r>
      <w:r w:rsidR="00B60E95" w:rsidRPr="00853C98">
        <w:rPr>
          <w:u w:val="single"/>
        </w:rPr>
        <w:t xml:space="preserve">ase also be aware that you must </w:t>
      </w:r>
      <w:r w:rsidRPr="00853C98">
        <w:rPr>
          <w:u w:val="single"/>
        </w:rPr>
        <w:lastRenderedPageBreak/>
        <w:t>advise if you propose to subcontract the work to anoth</w:t>
      </w:r>
      <w:r w:rsidR="00B60E95" w:rsidRPr="00853C98">
        <w:rPr>
          <w:u w:val="single"/>
        </w:rPr>
        <w:t xml:space="preserve">er party so we can assess their </w:t>
      </w:r>
      <w:r w:rsidRPr="00853C98">
        <w:rPr>
          <w:u w:val="single"/>
        </w:rPr>
        <w:t>credentials prior to the trimester starting.</w:t>
      </w:r>
    </w:p>
    <w:p w14:paraId="4D192740" w14:textId="1AEB1717" w:rsidR="009930C0" w:rsidRDefault="009930C0" w:rsidP="00B60E95">
      <w:pPr>
        <w:pStyle w:val="Quote1"/>
      </w:pPr>
      <w:r>
        <w:t xml:space="preserve">(Emphasis by </w:t>
      </w:r>
      <w:r w:rsidR="003D37ED">
        <w:t xml:space="preserve">underlining </w:t>
      </w:r>
      <w:r>
        <w:t>added)</w:t>
      </w:r>
    </w:p>
    <w:p w14:paraId="5903AB60" w14:textId="1BCA883B" w:rsidR="00971BE6" w:rsidRDefault="00F84671" w:rsidP="007F3B7A">
      <w:pPr>
        <w:pStyle w:val="ParaNumbering"/>
      </w:pPr>
      <w:r>
        <w:t xml:space="preserve">Later </w:t>
      </w:r>
      <w:r w:rsidR="009419FE">
        <w:t>that day</w:t>
      </w:r>
      <w:r>
        <w:t>, Mr Harrison replied by email to Mr Care in the following terms: “yes emailing to accept”.</w:t>
      </w:r>
    </w:p>
    <w:p w14:paraId="7CD255A4" w14:textId="547C29E6" w:rsidR="0071061C" w:rsidRDefault="00971BE6" w:rsidP="00971BE6">
      <w:pPr>
        <w:pStyle w:val="ParaNumbering"/>
      </w:pPr>
      <w:r w:rsidRPr="00971BE6">
        <w:t>The reference in Mr Care’s email to Mr Harrison’s</w:t>
      </w:r>
      <w:r>
        <w:t xml:space="preserve"> contract with JMC “from Feb 2017</w:t>
      </w:r>
      <w:r w:rsidRPr="00971BE6">
        <w:t xml:space="preserve">” </w:t>
      </w:r>
      <w:r>
        <w:t xml:space="preserve">was clearly </w:t>
      </w:r>
      <w:r w:rsidRPr="00971BE6">
        <w:t xml:space="preserve">a reference to the </w:t>
      </w:r>
      <w:r>
        <w:t xml:space="preserve">third </w:t>
      </w:r>
      <w:r w:rsidRPr="00971BE6">
        <w:t xml:space="preserve">MOA.  It was </w:t>
      </w:r>
      <w:r>
        <w:t xml:space="preserve">again </w:t>
      </w:r>
      <w:r w:rsidRPr="00971BE6">
        <w:t>common ground that the contract entered into as a result of this exchange of emails incorporated the terms of that memorandum of agreement, subject</w:t>
      </w:r>
      <w:r w:rsidR="006329B5">
        <w:t xml:space="preserve">, </w:t>
      </w:r>
      <w:r w:rsidRPr="00971BE6">
        <w:t>again</w:t>
      </w:r>
      <w:r w:rsidR="006329B5">
        <w:t>,</w:t>
      </w:r>
      <w:r w:rsidRPr="00971BE6">
        <w:t xml:space="preserve"> to the Commissioner’s contention</w:t>
      </w:r>
      <w:r w:rsidR="00B63EAF">
        <w:t>s</w:t>
      </w:r>
      <w:r w:rsidR="00A31748">
        <w:t xml:space="preserve"> concerning variation</w:t>
      </w:r>
      <w:r w:rsidR="00B63EAF">
        <w:t xml:space="preserve"> or estoppel</w:t>
      </w:r>
      <w:r w:rsidRPr="00971BE6">
        <w:t>.</w:t>
      </w:r>
      <w:r w:rsidR="0071061C">
        <w:t xml:space="preserve"> </w:t>
      </w:r>
    </w:p>
    <w:p w14:paraId="2C2C77A1" w14:textId="09CD77AE" w:rsidR="00A31748" w:rsidRDefault="00F10CDE" w:rsidP="00971BE6">
      <w:pPr>
        <w:pStyle w:val="ParaNumbering"/>
      </w:pPr>
      <w:r>
        <w:t xml:space="preserve">Mr Harrison’s evidence was that he taught </w:t>
      </w:r>
      <w:r w:rsidR="00A676B2">
        <w:t>“</w:t>
      </w:r>
      <w:r w:rsidR="006329B5">
        <w:t>A</w:t>
      </w:r>
      <w:r>
        <w:t xml:space="preserve">udio and </w:t>
      </w:r>
      <w:r w:rsidR="006329B5">
        <w:t>A</w:t>
      </w:r>
      <w:r>
        <w:t>coustics</w:t>
      </w:r>
      <w:r w:rsidR="00085FDF">
        <w:t xml:space="preserve"> (AUD202)</w:t>
      </w:r>
      <w:r>
        <w:t xml:space="preserve">, </w:t>
      </w:r>
      <w:r w:rsidR="00A676B2">
        <w:t>“</w:t>
      </w:r>
      <w:r w:rsidR="006329B5">
        <w:t>S</w:t>
      </w:r>
      <w:r>
        <w:t xml:space="preserve">ound for </w:t>
      </w:r>
      <w:r w:rsidR="006329B5">
        <w:t>F</w:t>
      </w:r>
      <w:r>
        <w:t>ilm</w:t>
      </w:r>
      <w:r w:rsidR="00A676B2">
        <w:t>”</w:t>
      </w:r>
      <w:r w:rsidR="00085FDF">
        <w:t xml:space="preserve"> (AUD305)</w:t>
      </w:r>
      <w:r>
        <w:t xml:space="preserve"> and </w:t>
      </w:r>
      <w:r w:rsidR="00A676B2">
        <w:t>“</w:t>
      </w:r>
      <w:r w:rsidR="00085FDF">
        <w:t>S</w:t>
      </w:r>
      <w:r>
        <w:t xml:space="preserve">ound </w:t>
      </w:r>
      <w:r w:rsidR="006329B5">
        <w:t>A</w:t>
      </w:r>
      <w:r>
        <w:t>esthetics</w:t>
      </w:r>
      <w:r w:rsidR="00A676B2">
        <w:t>”</w:t>
      </w:r>
      <w:r w:rsidR="00085FDF">
        <w:t xml:space="preserve"> (AUD405)</w:t>
      </w:r>
      <w:r>
        <w:t xml:space="preserve"> during Trimester 2 in 2017</w:t>
      </w:r>
      <w:r w:rsidR="00B63EAF">
        <w:t xml:space="preserve"> (5 June </w:t>
      </w:r>
      <w:r w:rsidR="006329B5">
        <w:t xml:space="preserve">2017 </w:t>
      </w:r>
      <w:r w:rsidR="00B63EAF">
        <w:t>to 25 August 2017</w:t>
      </w:r>
      <w:r w:rsidR="006329B5">
        <w:t>)</w:t>
      </w:r>
      <w:r>
        <w:t xml:space="preserve">. </w:t>
      </w:r>
    </w:p>
    <w:p w14:paraId="40F6297D" w14:textId="1893F7E4" w:rsidR="00A31748" w:rsidRDefault="00A31748" w:rsidP="00A31748">
      <w:pPr>
        <w:pStyle w:val="Heading2"/>
      </w:pPr>
      <w:r>
        <w:t>The twenty</w:t>
      </w:r>
      <w:r w:rsidR="006329B5">
        <w:t>-</w:t>
      </w:r>
      <w:r>
        <w:t>first contract</w:t>
      </w:r>
    </w:p>
    <w:p w14:paraId="3EA27D9F" w14:textId="6EEE4F7E" w:rsidR="00A31748" w:rsidRDefault="00741DB3" w:rsidP="00741DB3">
      <w:pPr>
        <w:pStyle w:val="ParaNumbering"/>
      </w:pPr>
      <w:r>
        <w:t xml:space="preserve">Mr Harrison’s evidence was that he also taught </w:t>
      </w:r>
      <w:r w:rsidR="00A676B2">
        <w:t>“</w:t>
      </w:r>
      <w:r w:rsidR="006329B5">
        <w:t>S</w:t>
      </w:r>
      <w:r>
        <w:t xml:space="preserve">ound </w:t>
      </w:r>
      <w:r w:rsidR="006329B5">
        <w:t>R</w:t>
      </w:r>
      <w:r>
        <w:t>ecording</w:t>
      </w:r>
      <w:r w:rsidR="00A676B2">
        <w:t>”</w:t>
      </w:r>
      <w:r>
        <w:t xml:space="preserve"> (FTV207) in the Film and Television Departme</w:t>
      </w:r>
      <w:r w:rsidR="00A676B2">
        <w:t xml:space="preserve">nt during Trimester 2 in 2017.  </w:t>
      </w:r>
      <w:r>
        <w:t>T</w:t>
      </w:r>
      <w:r w:rsidRPr="00741DB3">
        <w:t>here was</w:t>
      </w:r>
      <w:r>
        <w:t>, however,</w:t>
      </w:r>
      <w:r w:rsidRPr="00741DB3">
        <w:t xml:space="preserve"> very little documentary evidence concerning the terms upon which Mr Harrison was engaged to provide </w:t>
      </w:r>
      <w:r w:rsidR="00B01BDB">
        <w:t xml:space="preserve">those </w:t>
      </w:r>
      <w:r w:rsidRPr="00741DB3">
        <w:t>teaching services</w:t>
      </w:r>
      <w:r w:rsidR="00B01BDB">
        <w:t>.</w:t>
      </w:r>
    </w:p>
    <w:p w14:paraId="7ABA1519" w14:textId="3DA83CF4" w:rsidR="004A64BE" w:rsidRDefault="004A64BE" w:rsidP="00D65C5A">
      <w:pPr>
        <w:pStyle w:val="Heading2"/>
      </w:pPr>
      <w:r>
        <w:t>The twenty</w:t>
      </w:r>
      <w:r w:rsidR="006329B5">
        <w:t>-</w:t>
      </w:r>
      <w:r>
        <w:t>second contract</w:t>
      </w:r>
    </w:p>
    <w:p w14:paraId="4FC86634" w14:textId="77777777" w:rsidR="004A64BE" w:rsidRDefault="00D65C5A" w:rsidP="00971BE6">
      <w:pPr>
        <w:pStyle w:val="ParaNumbering"/>
      </w:pPr>
      <w:r>
        <w:t>On 28 August 2017, Mr Care sent Mr Harrison an email which stated as follows:</w:t>
      </w:r>
    </w:p>
    <w:p w14:paraId="5605B820" w14:textId="4116A013" w:rsidR="00D65C5A" w:rsidRDefault="00D65C5A" w:rsidP="009071B8">
      <w:pPr>
        <w:pStyle w:val="Quote1"/>
      </w:pPr>
      <w:r>
        <w:t>I refer to your original contract with us dated from Feb 2017 and advise that we would</w:t>
      </w:r>
      <w:r w:rsidR="009071B8">
        <w:t xml:space="preserve"> </w:t>
      </w:r>
      <w:r>
        <w:t>like to retain your services for the upcoming Trimester period from 25/09/2017</w:t>
      </w:r>
      <w:r w:rsidR="009071B8">
        <w:t xml:space="preserve"> </w:t>
      </w:r>
      <w:r>
        <w:t>(Week</w:t>
      </w:r>
      <w:r w:rsidR="00845F9B">
        <w:t xml:space="preserve"> </w:t>
      </w:r>
      <w:r w:rsidR="001A1030">
        <w:t>1</w:t>
      </w:r>
      <w:r>
        <w:t>).</w:t>
      </w:r>
    </w:p>
    <w:p w14:paraId="3475784C" w14:textId="77777777" w:rsidR="00D65C5A" w:rsidRDefault="00D65C5A" w:rsidP="00D65C5A">
      <w:pPr>
        <w:pStyle w:val="Quote1"/>
      </w:pPr>
      <w:r>
        <w:t>The schedule of units proposed are:</w:t>
      </w:r>
    </w:p>
    <w:p w14:paraId="1994B8D4" w14:textId="77777777" w:rsidR="00D65C5A" w:rsidRDefault="00D65C5A" w:rsidP="00D65C5A">
      <w:pPr>
        <w:pStyle w:val="Quote1"/>
      </w:pPr>
      <w:r>
        <w:t>AUDIO 202</w:t>
      </w:r>
    </w:p>
    <w:p w14:paraId="79835FD9" w14:textId="77777777" w:rsidR="00D65C5A" w:rsidRDefault="00D65C5A" w:rsidP="00D65C5A">
      <w:pPr>
        <w:pStyle w:val="Quote1"/>
      </w:pPr>
      <w:r>
        <w:t>AUDIO 305</w:t>
      </w:r>
    </w:p>
    <w:p w14:paraId="400108EF" w14:textId="77777777" w:rsidR="00D65C5A" w:rsidRDefault="00D65C5A" w:rsidP="00D65C5A">
      <w:pPr>
        <w:pStyle w:val="Quote1"/>
      </w:pPr>
      <w:r>
        <w:t>AUDIO 405</w:t>
      </w:r>
    </w:p>
    <w:p w14:paraId="02C09178" w14:textId="77777777" w:rsidR="00D65C5A" w:rsidRDefault="00D65C5A" w:rsidP="009071B8">
      <w:pPr>
        <w:pStyle w:val="Quote1"/>
      </w:pPr>
      <w:r>
        <w:t>I can advise that your rate of pay for delivering these units will be</w:t>
      </w:r>
      <w:r w:rsidR="009071B8">
        <w:t xml:space="preserve"> $65 per hour for </w:t>
      </w:r>
      <w:r>
        <w:t>classroom instruction, and $30 per hour for marking rate.</w:t>
      </w:r>
    </w:p>
    <w:p w14:paraId="30995780" w14:textId="7C61651B" w:rsidR="00D65C5A" w:rsidRDefault="00D65C5A" w:rsidP="009071B8">
      <w:pPr>
        <w:pStyle w:val="Quote1"/>
      </w:pPr>
      <w:r>
        <w:t>All terms and conditions as per the above contract re</w:t>
      </w:r>
      <w:r w:rsidR="009071B8">
        <w:t xml:space="preserve">main the same. Please advise us </w:t>
      </w:r>
      <w:r>
        <w:t xml:space="preserve">by return email before 04/09/2017 of your acceptance </w:t>
      </w:r>
      <w:r w:rsidR="009071B8">
        <w:t xml:space="preserve">of the new schedule of work, or </w:t>
      </w:r>
      <w:r>
        <w:t>of your unavailability to undertake the work proposed. If y</w:t>
      </w:r>
      <w:r w:rsidR="009071B8">
        <w:t>ou don</w:t>
      </w:r>
      <w:r w:rsidR="00B65E96">
        <w:t>’</w:t>
      </w:r>
      <w:r w:rsidR="009071B8">
        <w:t xml:space="preserve">t get back to us by this </w:t>
      </w:r>
      <w:r>
        <w:t>time your services may not be able to be retained</w:t>
      </w:r>
      <w:r w:rsidR="009071B8">
        <w:t xml:space="preserve"> or confirmed, and any invoices </w:t>
      </w:r>
      <w:r>
        <w:t>submitted in the</w:t>
      </w:r>
      <w:r w:rsidR="009071B8">
        <w:t xml:space="preserve"> new trimester will not be paid</w:t>
      </w:r>
      <w:r>
        <w:t xml:space="preserve">. </w:t>
      </w:r>
      <w:r w:rsidRPr="00E14615">
        <w:rPr>
          <w:u w:val="single"/>
        </w:rPr>
        <w:t>Ple</w:t>
      </w:r>
      <w:r w:rsidR="009071B8" w:rsidRPr="00E14615">
        <w:rPr>
          <w:u w:val="single"/>
        </w:rPr>
        <w:t>ase also be aware that you must</w:t>
      </w:r>
      <w:r w:rsidR="009071B8" w:rsidRPr="003D37ED">
        <w:t xml:space="preserve"> </w:t>
      </w:r>
      <w:r w:rsidRPr="00E14615">
        <w:rPr>
          <w:u w:val="single"/>
        </w:rPr>
        <w:lastRenderedPageBreak/>
        <w:t>advise if you propose to subcontract the work to anoth</w:t>
      </w:r>
      <w:r w:rsidR="009071B8" w:rsidRPr="00E14615">
        <w:rPr>
          <w:u w:val="single"/>
        </w:rPr>
        <w:t xml:space="preserve">er party so we can assess their </w:t>
      </w:r>
      <w:r w:rsidRPr="00E14615">
        <w:rPr>
          <w:u w:val="single"/>
        </w:rPr>
        <w:t>credentials prior to the trimester starting.</w:t>
      </w:r>
    </w:p>
    <w:p w14:paraId="05BE981B" w14:textId="7B52D9C3" w:rsidR="00B63EAF" w:rsidRDefault="00B63EAF" w:rsidP="009071B8">
      <w:pPr>
        <w:pStyle w:val="Quote1"/>
      </w:pPr>
      <w:r>
        <w:t xml:space="preserve">(Emphasis by </w:t>
      </w:r>
      <w:r w:rsidR="003D37ED">
        <w:t xml:space="preserve">underlining </w:t>
      </w:r>
      <w:r>
        <w:t>added)</w:t>
      </w:r>
    </w:p>
    <w:p w14:paraId="7BDDFCAD" w14:textId="5AA18A1A" w:rsidR="00D65C5A" w:rsidRDefault="009071B8" w:rsidP="009071B8">
      <w:pPr>
        <w:pStyle w:val="ParaNumbering"/>
      </w:pPr>
      <w:r>
        <w:t xml:space="preserve">Later </w:t>
      </w:r>
      <w:r w:rsidR="006329B5">
        <w:t xml:space="preserve">that </w:t>
      </w:r>
      <w:r w:rsidR="00D65C5A">
        <w:t>day, Mr Harrison responded by email</w:t>
      </w:r>
      <w:r>
        <w:t xml:space="preserve"> to Mr Care’s email in the following terms</w:t>
      </w:r>
      <w:r w:rsidR="00D65C5A">
        <w:t>:</w:t>
      </w:r>
      <w:r w:rsidR="001156D2">
        <w:t xml:space="preserve"> “Thanks Rob, </w:t>
      </w:r>
      <w:r w:rsidR="00D65C5A">
        <w:t>confirming my acceptance of the</w:t>
      </w:r>
      <w:r>
        <w:t xml:space="preserve"> </w:t>
      </w:r>
      <w:r w:rsidR="00D65C5A">
        <w:t>new schedule of work</w:t>
      </w:r>
      <w:r w:rsidR="001156D2">
        <w:t>”</w:t>
      </w:r>
      <w:r w:rsidR="00D65C5A">
        <w:t>.</w:t>
      </w:r>
    </w:p>
    <w:p w14:paraId="0E3373E2" w14:textId="77777777" w:rsidR="00D65C5A" w:rsidRDefault="00235DB4" w:rsidP="00235DB4">
      <w:pPr>
        <w:pStyle w:val="ParaNumbering"/>
      </w:pPr>
      <w:r w:rsidRPr="00235DB4">
        <w:t xml:space="preserve">The reference in Mr Care’s email to Mr Harrison’s contract with JMC “from Feb 2017” was </w:t>
      </w:r>
      <w:r>
        <w:t xml:space="preserve">again </w:t>
      </w:r>
      <w:r w:rsidRPr="00235DB4">
        <w:t xml:space="preserve">clearly a reference to the third MOA.  </w:t>
      </w:r>
    </w:p>
    <w:p w14:paraId="66F16277" w14:textId="77777777" w:rsidR="009C3EE9" w:rsidRDefault="009C3EE9" w:rsidP="007F5C1E">
      <w:pPr>
        <w:pStyle w:val="Heading1"/>
      </w:pPr>
      <w:r>
        <w:t>ANALYSIS OF THE RELEVANT CONTRACTUAL RIGHTS AND OBLIGATIONS</w:t>
      </w:r>
      <w:r w:rsidR="00AD7216">
        <w:t xml:space="preserve"> </w:t>
      </w:r>
      <w:r w:rsidR="00114FC9">
        <w:t xml:space="preserve">  </w:t>
      </w:r>
      <w:r w:rsidR="007C2396">
        <w:t xml:space="preserve"> </w:t>
      </w:r>
      <w:r w:rsidR="002F6C3F">
        <w:t xml:space="preserve"> </w:t>
      </w:r>
    </w:p>
    <w:p w14:paraId="555B665E" w14:textId="3F70789B" w:rsidR="009C3EE9" w:rsidRDefault="004E3339" w:rsidP="00166AC2">
      <w:pPr>
        <w:pStyle w:val="ParaNumbering"/>
      </w:pPr>
      <w:r>
        <w:t xml:space="preserve">As was made clear in both </w:t>
      </w:r>
      <w:r w:rsidRPr="004E3339">
        <w:rPr>
          <w:i/>
        </w:rPr>
        <w:t>Personnel Contracting</w:t>
      </w:r>
      <w:r>
        <w:t xml:space="preserve"> and </w:t>
      </w:r>
      <w:proofErr w:type="spellStart"/>
      <w:r w:rsidRPr="004E3339">
        <w:rPr>
          <w:i/>
        </w:rPr>
        <w:t>Jamsek</w:t>
      </w:r>
      <w:proofErr w:type="spellEnd"/>
      <w:r>
        <w:t xml:space="preserve">, the characterisation of the relationship between parties to </w:t>
      </w:r>
      <w:r w:rsidR="008946AE">
        <w:t xml:space="preserve">written </w:t>
      </w:r>
      <w:r>
        <w:t xml:space="preserve">contracts </w:t>
      </w:r>
      <w:r w:rsidR="008946AE">
        <w:t xml:space="preserve">of the sort in question in this case must proceed by reference to the </w:t>
      </w:r>
      <w:r w:rsidR="006329B5">
        <w:t xml:space="preserve">respective </w:t>
      </w:r>
      <w:r w:rsidR="008946AE">
        <w:t>rights and obligations of the parties under the contracts</w:t>
      </w:r>
      <w:r w:rsidR="00B60367">
        <w:t>.</w:t>
      </w:r>
      <w:r w:rsidR="00D2193E">
        <w:t xml:space="preserve">  While the </w:t>
      </w:r>
      <w:r w:rsidR="005E6CB1">
        <w:t xml:space="preserve">characterisation exercise </w:t>
      </w:r>
      <w:r w:rsidR="00D2193E">
        <w:t>should not proceed “as if the court is running down items on a checklist in order to determine a balance of ticks and crosses</w:t>
      </w:r>
      <w:r w:rsidR="002E1577">
        <w:t>”</w:t>
      </w:r>
      <w:r w:rsidR="00D2193E">
        <w:t xml:space="preserve"> (</w:t>
      </w:r>
      <w:proofErr w:type="spellStart"/>
      <w:r w:rsidR="00D2193E">
        <w:t>cf</w:t>
      </w:r>
      <w:proofErr w:type="spellEnd"/>
      <w:r w:rsidR="00D2193E">
        <w:t xml:space="preserve"> </w:t>
      </w:r>
      <w:r w:rsidR="00D2193E" w:rsidRPr="00D2193E">
        <w:rPr>
          <w:i/>
        </w:rPr>
        <w:t>Personnel Contracting</w:t>
      </w:r>
      <w:r w:rsidR="00D2193E">
        <w:t xml:space="preserve"> at [</w:t>
      </w:r>
      <w:r w:rsidR="001156D2">
        <w:t>3</w:t>
      </w:r>
      <w:r w:rsidR="00D2193E">
        <w:t xml:space="preserve">4] </w:t>
      </w:r>
      <w:r w:rsidR="006329B5">
        <w:t>(</w:t>
      </w:r>
      <w:proofErr w:type="spellStart"/>
      <w:r w:rsidR="00D2193E">
        <w:t>Kiefel</w:t>
      </w:r>
      <w:proofErr w:type="spellEnd"/>
      <w:r w:rsidR="00D2193E">
        <w:t xml:space="preserve"> CJ, Keane and Edelman JJ)</w:t>
      </w:r>
      <w:r w:rsidR="006329B5">
        <w:t>)</w:t>
      </w:r>
      <w:r w:rsidR="00D2193E">
        <w:t xml:space="preserve">, </w:t>
      </w:r>
      <w:r w:rsidR="00F62AAD">
        <w:t xml:space="preserve">it is nonetheless useful to </w:t>
      </w:r>
      <w:r w:rsidR="005E6CB1">
        <w:t>analyse</w:t>
      </w:r>
      <w:r w:rsidR="005E6CB1" w:rsidRPr="005E6CB1">
        <w:t xml:space="preserve"> the contractual rights and obligations</w:t>
      </w:r>
      <w:r w:rsidR="00BD0EFB">
        <w:t xml:space="preserve"> by reference to</w:t>
      </w:r>
      <w:r w:rsidR="00166AC2">
        <w:t>, or having regard to,</w:t>
      </w:r>
      <w:r w:rsidR="00BD0EFB">
        <w:t xml:space="preserve"> the indicia that </w:t>
      </w:r>
      <w:r w:rsidR="00166AC2">
        <w:t xml:space="preserve">are </w:t>
      </w:r>
      <w:r w:rsidR="000B5BA9">
        <w:t xml:space="preserve">generally </w:t>
      </w:r>
      <w:r w:rsidR="00166AC2">
        <w:t xml:space="preserve">identified in the authorities as being </w:t>
      </w:r>
      <w:r w:rsidR="00BD0EFB">
        <w:t>indicative of the nature of the relationship</w:t>
      </w:r>
      <w:r w:rsidR="00166AC2">
        <w:t xml:space="preserve">: see </w:t>
      </w:r>
      <w:r w:rsidR="00166AC2" w:rsidRPr="00166AC2">
        <w:rPr>
          <w:i/>
        </w:rPr>
        <w:t>Personnel Contracting</w:t>
      </w:r>
      <w:r w:rsidR="00166AC2">
        <w:t xml:space="preserve"> at [61] (</w:t>
      </w:r>
      <w:proofErr w:type="spellStart"/>
      <w:r w:rsidR="00166AC2" w:rsidRPr="00166AC2">
        <w:t>Kiefel</w:t>
      </w:r>
      <w:proofErr w:type="spellEnd"/>
      <w:r w:rsidR="00166AC2" w:rsidRPr="00166AC2">
        <w:t xml:space="preserve"> CJ, Keane and Edelman JJ)</w:t>
      </w:r>
      <w:r w:rsidR="00BD0EFB">
        <w:t>.</w:t>
      </w:r>
    </w:p>
    <w:p w14:paraId="58CF9F69" w14:textId="10CA0A1B" w:rsidR="002B08AB" w:rsidRDefault="001003D7" w:rsidP="001003D7">
      <w:pPr>
        <w:pStyle w:val="ParaNumbering"/>
      </w:pPr>
      <w:r>
        <w:t>As can be s</w:t>
      </w:r>
      <w:r w:rsidR="00F43456">
        <w:t>een, the memoranda of agreement</w:t>
      </w:r>
      <w:r>
        <w:t xml:space="preserve"> included recitals.  </w:t>
      </w:r>
      <w:r w:rsidRPr="001003D7">
        <w:t xml:space="preserve">Recitals generally do not have operative effect in a contract. </w:t>
      </w:r>
      <w:r w:rsidR="00763B81">
        <w:t xml:space="preserve"> </w:t>
      </w:r>
      <w:r w:rsidRPr="001003D7">
        <w:t>Rather, they form part of the document as a whole, and therefore provide context for construing the operative a</w:t>
      </w:r>
      <w:r w:rsidR="00763B81">
        <w:t>spects of the contract: see</w:t>
      </w:r>
      <w:r w:rsidRPr="001003D7">
        <w:t xml:space="preserve"> </w:t>
      </w:r>
      <w:r w:rsidRPr="008E76DF">
        <w:rPr>
          <w:i/>
        </w:rPr>
        <w:t>Victoria v Tatts Group Ltd</w:t>
      </w:r>
      <w:r w:rsidRPr="008E76DF">
        <w:t xml:space="preserve"> (2016) 90 ALJR 392; [2016] HCA 5</w:t>
      </w:r>
      <w:r w:rsidRPr="001003D7">
        <w:t xml:space="preserve"> at [65]-[66] (French CJ, </w:t>
      </w:r>
      <w:proofErr w:type="spellStart"/>
      <w:r w:rsidRPr="001003D7">
        <w:t>Kiefel</w:t>
      </w:r>
      <w:proofErr w:type="spellEnd"/>
      <w:r w:rsidRPr="001003D7">
        <w:t xml:space="preserve">, Bell, Keane and Gordon JJ). </w:t>
      </w:r>
      <w:r w:rsidR="00763B81">
        <w:t xml:space="preserve"> R</w:t>
      </w:r>
      <w:r w:rsidRPr="001003D7">
        <w:t xml:space="preserve">ecitals often “reveal the background chosen by the parties by way of the identification of relevant context” and “assist in interpretation of operative provisions, though they do not control the latter’s operation when clear and unambiguous”: </w:t>
      </w:r>
      <w:proofErr w:type="spellStart"/>
      <w:r w:rsidRPr="008E76DF">
        <w:rPr>
          <w:i/>
        </w:rPr>
        <w:t>OneSteel</w:t>
      </w:r>
      <w:proofErr w:type="spellEnd"/>
      <w:r w:rsidRPr="008E76DF">
        <w:rPr>
          <w:i/>
        </w:rPr>
        <w:t xml:space="preserve"> Manufacturing Pty Ltd v BlueScope (AIS) Pty Ltd</w:t>
      </w:r>
      <w:r w:rsidRPr="008E76DF">
        <w:t xml:space="preserve"> (2013) 85 NSWLR 1; [2013] NSWCA 27</w:t>
      </w:r>
      <w:r w:rsidRPr="001003D7">
        <w:t xml:space="preserve"> at [63] (Allsop P, with whom </w:t>
      </w:r>
      <w:proofErr w:type="spellStart"/>
      <w:r w:rsidRPr="001003D7">
        <w:t>Macfarlan</w:t>
      </w:r>
      <w:proofErr w:type="spellEnd"/>
      <w:r w:rsidRPr="001003D7">
        <w:t xml:space="preserve"> and Meagher JJA agreed); see also </w:t>
      </w:r>
      <w:r w:rsidRPr="008E76DF">
        <w:rPr>
          <w:i/>
        </w:rPr>
        <w:t>Ansett Transport Industries (Operations) Pty Ltd v Commonwealth</w:t>
      </w:r>
      <w:r w:rsidRPr="008E76DF">
        <w:t xml:space="preserve"> (1977) 139 CLR 54</w:t>
      </w:r>
      <w:r w:rsidRPr="001003D7">
        <w:t xml:space="preserve"> at 72-73 (Mason J).</w:t>
      </w:r>
    </w:p>
    <w:p w14:paraId="2E72F6A5" w14:textId="3A0F3EC0" w:rsidR="005B6A77" w:rsidRDefault="005B6A77" w:rsidP="00166AC2">
      <w:pPr>
        <w:pStyle w:val="ParaNumbering"/>
      </w:pPr>
      <w:r>
        <w:t>As has already been noted, the terms of the first MOA, the second MOA and the third M</w:t>
      </w:r>
      <w:r w:rsidR="00E44DA7">
        <w:t xml:space="preserve">OA were relevantly identical.  </w:t>
      </w:r>
      <w:r w:rsidR="00F333FD">
        <w:t>I</w:t>
      </w:r>
      <w:r w:rsidR="00765054">
        <w:t>n the following analysis of the contractual rights and obligations</w:t>
      </w:r>
      <w:r w:rsidR="006329B5">
        <w:t>,</w:t>
      </w:r>
      <w:r w:rsidR="00765054">
        <w:t xml:space="preserve"> </w:t>
      </w:r>
      <w:r w:rsidR="00E44DA7">
        <w:t xml:space="preserve">reference will </w:t>
      </w:r>
      <w:r w:rsidR="00F333FD">
        <w:t xml:space="preserve">generally </w:t>
      </w:r>
      <w:r w:rsidR="00E44DA7">
        <w:t>be made</w:t>
      </w:r>
      <w:r w:rsidR="00765054">
        <w:t xml:space="preserve"> to the clauses as</w:t>
      </w:r>
      <w:r w:rsidR="00657A3F">
        <w:t xml:space="preserve"> they appear in the first MOA and the three memoranda collectively as the </w:t>
      </w:r>
      <w:r w:rsidR="00657A3F" w:rsidRPr="00845CD1">
        <w:rPr>
          <w:b/>
        </w:rPr>
        <w:t>Memoranda</w:t>
      </w:r>
      <w:r w:rsidR="00657A3F">
        <w:t xml:space="preserve">.  </w:t>
      </w:r>
      <w:r w:rsidR="00F333FD">
        <w:t xml:space="preserve">No </w:t>
      </w:r>
      <w:r w:rsidR="00C41240">
        <w:t xml:space="preserve">distinction will generally be drawn between </w:t>
      </w:r>
      <w:r w:rsidR="00657A3F">
        <w:lastRenderedPageBreak/>
        <w:t xml:space="preserve">the contracts between Mr Harrison and JMC which were wholly recorded in the Memoranda </w:t>
      </w:r>
      <w:r w:rsidR="00C41240">
        <w:t xml:space="preserve">and the contracts </w:t>
      </w:r>
      <w:r w:rsidR="00657A3F">
        <w:t>which were entered into as a result of email exchanges between Mr</w:t>
      </w:r>
      <w:r w:rsidR="00343E6D">
        <w:t> </w:t>
      </w:r>
      <w:r w:rsidR="00657A3F">
        <w:t>Harrison and JMC</w:t>
      </w:r>
      <w:r w:rsidR="00B30392">
        <w:t xml:space="preserve">, other than </w:t>
      </w:r>
      <w:r w:rsidR="00B6785C">
        <w:t>when referring to the Commissioner’s cont</w:t>
      </w:r>
      <w:r w:rsidR="00C41240">
        <w:t xml:space="preserve">entions concerning variation, </w:t>
      </w:r>
      <w:r w:rsidR="00B6785C">
        <w:t>estoppel</w:t>
      </w:r>
      <w:r w:rsidR="00C41240">
        <w:t xml:space="preserve"> and waiver</w:t>
      </w:r>
      <w:r w:rsidR="005A5032">
        <w:t xml:space="preserve">.  </w:t>
      </w:r>
      <w:r w:rsidR="00B6785C">
        <w:t>The twenty</w:t>
      </w:r>
      <w:r w:rsidR="006329B5">
        <w:t>-</w:t>
      </w:r>
      <w:r w:rsidR="00B6785C">
        <w:t xml:space="preserve">two contracts between JMC and Mr Harrison will be referred to collectively as </w:t>
      </w:r>
      <w:r w:rsidR="00B6785C" w:rsidRPr="00F10F06">
        <w:rPr>
          <w:b/>
        </w:rPr>
        <w:t>the contracts</w:t>
      </w:r>
      <w:r w:rsidR="00B6785C">
        <w:t xml:space="preserve">.  </w:t>
      </w:r>
    </w:p>
    <w:p w14:paraId="0B6CF142" w14:textId="77777777" w:rsidR="00D42FB1" w:rsidRDefault="00D42FB1" w:rsidP="00D42FB1">
      <w:pPr>
        <w:pStyle w:val="Heading2"/>
      </w:pPr>
      <w:r>
        <w:t>Contracting parties</w:t>
      </w:r>
    </w:p>
    <w:p w14:paraId="6D70383B" w14:textId="73776989" w:rsidR="00CE78D8" w:rsidRDefault="00CB7650" w:rsidP="008158B5">
      <w:pPr>
        <w:pStyle w:val="ParaNumbering"/>
      </w:pPr>
      <w:r>
        <w:t xml:space="preserve">The nature of the contracting parties may be indicative of the nature of the relationship.  </w:t>
      </w:r>
      <w:r w:rsidR="00712B62">
        <w:t>T</w:t>
      </w:r>
      <w:r>
        <w:t>he</w:t>
      </w:r>
      <w:r w:rsidR="00712B62">
        <w:t xml:space="preserve"> fact that the</w:t>
      </w:r>
      <w:r>
        <w:t xml:space="preserve"> contracting party</w:t>
      </w:r>
      <w:r w:rsidR="00712B62">
        <w:t xml:space="preserve"> </w:t>
      </w:r>
      <w:r w:rsidR="00C41240">
        <w:t>which provides or performs</w:t>
      </w:r>
      <w:r w:rsidR="00712B62">
        <w:t xml:space="preserve"> t</w:t>
      </w:r>
      <w:r w:rsidR="00353389">
        <w:t>he work or service is a corporate</w:t>
      </w:r>
      <w:r w:rsidR="00712B62">
        <w:t xml:space="preserve"> entity or a partnership, as opposed to an individual, may indicate that the relationship is not one of employer and employee: </w:t>
      </w:r>
      <w:r w:rsidR="00712B62" w:rsidRPr="008473ED">
        <w:rPr>
          <w:i/>
        </w:rPr>
        <w:t>Personnel Contracting</w:t>
      </w:r>
      <w:r w:rsidR="00712B62">
        <w:t xml:space="preserve"> at [174] (Gordon J), citing </w:t>
      </w:r>
      <w:r w:rsidR="00712B62" w:rsidRPr="008E76DF">
        <w:rPr>
          <w:i/>
        </w:rPr>
        <w:t xml:space="preserve">Australian Mutual Provident Society v </w:t>
      </w:r>
      <w:r w:rsidR="00712B62" w:rsidRPr="008E76DF">
        <w:rPr>
          <w:b/>
          <w:i/>
        </w:rPr>
        <w:t>Chaplin</w:t>
      </w:r>
      <w:r w:rsidR="00712B62" w:rsidRPr="008E76DF">
        <w:rPr>
          <w:b/>
        </w:rPr>
        <w:t xml:space="preserve"> </w:t>
      </w:r>
      <w:r w:rsidR="00281654" w:rsidRPr="008E76DF">
        <w:t>(1978) 52 ALJR 40</w:t>
      </w:r>
      <w:r w:rsidR="00CE78D8">
        <w:t xml:space="preserve"> at 410;</w:t>
      </w:r>
      <w:r w:rsidR="00F45005">
        <w:t xml:space="preserve"> see also</w:t>
      </w:r>
      <w:r w:rsidR="00CE78D8">
        <w:t xml:space="preserve"> </w:t>
      </w:r>
      <w:r w:rsidR="00CE78D8" w:rsidRPr="00FC2861">
        <w:rPr>
          <w:i/>
        </w:rPr>
        <w:t>Hollis</w:t>
      </w:r>
      <w:r w:rsidR="00CE78D8">
        <w:t xml:space="preserve"> at [68].</w:t>
      </w:r>
    </w:p>
    <w:p w14:paraId="052A25AD" w14:textId="77777777" w:rsidR="00251D11" w:rsidRDefault="00251D11" w:rsidP="008158B5">
      <w:pPr>
        <w:pStyle w:val="ParaNumbering"/>
      </w:pPr>
      <w:r>
        <w:t xml:space="preserve">JMC </w:t>
      </w:r>
      <w:r w:rsidR="00F42A83">
        <w:t xml:space="preserve">contracted with Mr Harrison </w:t>
      </w:r>
      <w:r w:rsidR="006329B5">
        <w:t xml:space="preserve">in his capacity </w:t>
      </w:r>
      <w:r>
        <w:t>as an individual.</w:t>
      </w:r>
      <w:r w:rsidR="00F42A83">
        <w:t xml:space="preserve">  Mr Harrison wa</w:t>
      </w:r>
      <w:r w:rsidR="00E711A0">
        <w:t xml:space="preserve">s not a member of a partnership, or </w:t>
      </w:r>
      <w:r w:rsidR="00F45005">
        <w:t>otherwise associated with any company</w:t>
      </w:r>
      <w:r w:rsidR="00E711A0">
        <w:t xml:space="preserve"> which carried on any relevant business.  Nor did he have any separate business or trading name.</w:t>
      </w:r>
    </w:p>
    <w:p w14:paraId="3CF4033D" w14:textId="3A80FE3E" w:rsidR="009A7661" w:rsidRDefault="00F45005" w:rsidP="008158B5">
      <w:pPr>
        <w:pStyle w:val="ParaNumbering"/>
      </w:pPr>
      <w:r>
        <w:t xml:space="preserve">The Memoranda </w:t>
      </w:r>
      <w:r w:rsidR="009A7661">
        <w:t xml:space="preserve">identified and defined Mr </w:t>
      </w:r>
      <w:r w:rsidR="006640C6">
        <w:t>H</w:t>
      </w:r>
      <w:r w:rsidR="009A7661">
        <w:t>arrison as the “</w:t>
      </w:r>
      <w:r w:rsidR="006329B5">
        <w:t>S</w:t>
      </w:r>
      <w:r w:rsidR="009A7661">
        <w:t>ervice</w:t>
      </w:r>
      <w:r w:rsidR="006329B5">
        <w:t>s</w:t>
      </w:r>
      <w:r w:rsidR="009A7661">
        <w:t xml:space="preserve"> provider”.</w:t>
      </w:r>
      <w:r w:rsidR="00281654">
        <w:t xml:space="preserve">  </w:t>
      </w:r>
      <w:r w:rsidR="006640C6">
        <w:t xml:space="preserve">That expression is then utilised </w:t>
      </w:r>
      <w:r>
        <w:t xml:space="preserve">in most of the clauses in </w:t>
      </w:r>
      <w:r w:rsidR="006640C6">
        <w:t xml:space="preserve">the </w:t>
      </w:r>
      <w:r w:rsidR="00C53DD8">
        <w:t>Memoranda</w:t>
      </w:r>
      <w:r>
        <w:t>.  Each time the expression “</w:t>
      </w:r>
      <w:r w:rsidR="00C53DD8">
        <w:t>S</w:t>
      </w:r>
      <w:r>
        <w:t>ervice</w:t>
      </w:r>
      <w:r w:rsidR="00C53DD8">
        <w:t>s</w:t>
      </w:r>
      <w:r>
        <w:t xml:space="preserve"> provider”</w:t>
      </w:r>
      <w:r w:rsidR="006640C6">
        <w:t xml:space="preserve"> is used</w:t>
      </w:r>
      <w:r>
        <w:t xml:space="preserve"> in the Memoranda</w:t>
      </w:r>
      <w:r w:rsidR="006640C6">
        <w:t>, it should be understood as referring to Mr</w:t>
      </w:r>
      <w:r w:rsidR="005D34FA">
        <w:t xml:space="preserve"> </w:t>
      </w:r>
      <w:r w:rsidR="006640C6">
        <w:t xml:space="preserve">Harrison in his personal </w:t>
      </w:r>
      <w:r w:rsidR="00353389">
        <w:t xml:space="preserve">or individual </w:t>
      </w:r>
      <w:r w:rsidR="006640C6">
        <w:t xml:space="preserve">capacity. </w:t>
      </w:r>
      <w:r w:rsidR="009A7661">
        <w:t xml:space="preserve">  </w:t>
      </w:r>
    </w:p>
    <w:p w14:paraId="782D0722" w14:textId="7E975410" w:rsidR="00702C3D" w:rsidRDefault="00251D11" w:rsidP="008158B5">
      <w:pPr>
        <w:pStyle w:val="ParaNumbering"/>
      </w:pPr>
      <w:r>
        <w:t xml:space="preserve">JMC relied on the fact that the pro forma </w:t>
      </w:r>
      <w:r w:rsidR="003065AB">
        <w:t xml:space="preserve">parts of the Memoranda </w:t>
      </w:r>
      <w:r>
        <w:t>completed by Mr</w:t>
      </w:r>
      <w:r w:rsidR="006A341D">
        <w:t> </w:t>
      </w:r>
      <w:r>
        <w:t xml:space="preserve">Harrison </w:t>
      </w:r>
      <w:r w:rsidR="00FD50C6">
        <w:t xml:space="preserve">contained a space for the </w:t>
      </w:r>
      <w:r w:rsidR="00187298">
        <w:t xml:space="preserve">insertion </w:t>
      </w:r>
      <w:r w:rsidR="003065AB">
        <w:t>of a trading name and that c</w:t>
      </w:r>
      <w:r w:rsidR="00FD50C6">
        <w:t xml:space="preserve">lause 15 </w:t>
      </w:r>
      <w:r w:rsidR="003065AB">
        <w:t xml:space="preserve">of the Memoranda </w:t>
      </w:r>
      <w:r w:rsidR="00FD50C6">
        <w:t xml:space="preserve">provided that Mr Harrison, as </w:t>
      </w:r>
      <w:r w:rsidR="00ED7C27">
        <w:t xml:space="preserve">the </w:t>
      </w:r>
      <w:r w:rsidR="00C53DD8">
        <w:t>“S</w:t>
      </w:r>
      <w:r w:rsidR="00FD50C6">
        <w:t>ervice</w:t>
      </w:r>
      <w:r w:rsidR="00C53DD8">
        <w:t>s</w:t>
      </w:r>
      <w:r w:rsidR="00FD50C6">
        <w:t xml:space="preserve"> provider</w:t>
      </w:r>
      <w:r w:rsidR="00C53DD8">
        <w:t>”</w:t>
      </w:r>
      <w:r w:rsidR="00FD50C6">
        <w:t>, was required to use his “registered business name” when invoicing JMC.</w:t>
      </w:r>
      <w:r w:rsidR="00F50738">
        <w:t xml:space="preserve">  Mr Harrison did not, however, specify any trading </w:t>
      </w:r>
      <w:r w:rsidR="00187298">
        <w:t xml:space="preserve">name.  Nor was there any evidence that Mr Harrison had a registered business name or used any such name when invoicing JMC.  </w:t>
      </w:r>
      <w:r w:rsidR="00F50738">
        <w:t xml:space="preserve">In any event, even if Mr Harrison had a trading name or registered business </w:t>
      </w:r>
      <w:proofErr w:type="gramStart"/>
      <w:r w:rsidR="00F50738">
        <w:t>name, that</w:t>
      </w:r>
      <w:proofErr w:type="gramEnd"/>
      <w:r w:rsidR="00F50738">
        <w:t xml:space="preserve"> does not alter the fact that Mr Harrison was </w:t>
      </w:r>
      <w:r w:rsidR="00197934">
        <w:t xml:space="preserve">himself </w:t>
      </w:r>
      <w:r w:rsidR="00F50738">
        <w:t>the contracting party.</w:t>
      </w:r>
    </w:p>
    <w:p w14:paraId="7277AA98" w14:textId="6C442DFA" w:rsidR="00A40D67" w:rsidRDefault="00702C3D" w:rsidP="008158B5">
      <w:pPr>
        <w:pStyle w:val="ParaNumbering"/>
      </w:pPr>
      <w:r>
        <w:t>JMC also relied on</w:t>
      </w:r>
      <w:r w:rsidR="00197934">
        <w:t xml:space="preserve"> the fact that clause 5 of the M</w:t>
      </w:r>
      <w:r>
        <w:t>emoranda provided that Mr Harrison could sub</w:t>
      </w:r>
      <w:r w:rsidR="00C53DD8">
        <w:t>-</w:t>
      </w:r>
      <w:r>
        <w:t xml:space="preserve">contract or assign to </w:t>
      </w:r>
      <w:r w:rsidR="00C53DD8">
        <w:t>another person or</w:t>
      </w:r>
      <w:r>
        <w:t xml:space="preserve"> corporation the</w:t>
      </w:r>
      <w:r w:rsidR="00C53DD8">
        <w:t xml:space="preserve"> obligation to</w:t>
      </w:r>
      <w:r>
        <w:t xml:space="preserve"> </w:t>
      </w:r>
      <w:r w:rsidR="00C53DD8">
        <w:t>provide</w:t>
      </w:r>
      <w:r>
        <w:t xml:space="preserve"> teaching services to JMC.  JMC submitted that it followed</w:t>
      </w:r>
      <w:r w:rsidR="00C53DD8">
        <w:t xml:space="preserve"> from clause 5</w:t>
      </w:r>
      <w:r>
        <w:t xml:space="preserve"> that Mr Harrison had the ability to incorporate his own business structure </w:t>
      </w:r>
      <w:r w:rsidR="00C53DD8">
        <w:t xml:space="preserve">as a means of </w:t>
      </w:r>
      <w:r>
        <w:t>contract</w:t>
      </w:r>
      <w:r w:rsidR="00C53DD8">
        <w:t>ing</w:t>
      </w:r>
      <w:r>
        <w:t xml:space="preserve"> with JMC. </w:t>
      </w:r>
      <w:r w:rsidR="00B34791">
        <w:t xml:space="preserve"> That is not, however, a</w:t>
      </w:r>
      <w:r w:rsidR="006640C6">
        <w:t>n accurate or appropriate characterisation or</w:t>
      </w:r>
      <w:r w:rsidR="00B34791">
        <w:t xml:space="preserve"> </w:t>
      </w:r>
      <w:r w:rsidR="00197934">
        <w:t xml:space="preserve">construction </w:t>
      </w:r>
      <w:r w:rsidR="00B34791">
        <w:t xml:space="preserve">of clause 5.  </w:t>
      </w:r>
    </w:p>
    <w:p w14:paraId="73D8842C" w14:textId="618D99ED" w:rsidR="008B2D16" w:rsidRDefault="00B34791" w:rsidP="008158B5">
      <w:pPr>
        <w:pStyle w:val="ParaNumbering"/>
      </w:pPr>
      <w:r>
        <w:lastRenderedPageBreak/>
        <w:t xml:space="preserve">The effect and operation of clause 5 is addressed in more detail later in these reasons.  It suffices at this point to note that any right that Mr Harrison had to </w:t>
      </w:r>
      <w:r w:rsidR="008B2287">
        <w:t xml:space="preserve">sub-contract or assign </w:t>
      </w:r>
      <w:r>
        <w:t xml:space="preserve">was subject to </w:t>
      </w:r>
      <w:r w:rsidR="00197934">
        <w:t xml:space="preserve">him </w:t>
      </w:r>
      <w:r>
        <w:t xml:space="preserve">obtaining JMC’s written consent.  </w:t>
      </w:r>
      <w:r w:rsidR="008B2D16">
        <w:t xml:space="preserve">More importantly, clause 5 must be read and construed in the </w:t>
      </w:r>
      <w:r w:rsidR="00197934">
        <w:t xml:space="preserve">context of the </w:t>
      </w:r>
      <w:r w:rsidR="008B2287">
        <w:t xml:space="preserve">Memoranda </w:t>
      </w:r>
      <w:r w:rsidR="008B2D16">
        <w:t>as a whole.</w:t>
      </w:r>
      <w:r w:rsidR="00904250">
        <w:t xml:space="preserve">  </w:t>
      </w:r>
      <w:r w:rsidR="00197934">
        <w:t>A number of the clauses in the M</w:t>
      </w:r>
      <w:r w:rsidR="00904250">
        <w:t>emoranda make it plain that the “</w:t>
      </w:r>
      <w:r w:rsidR="008B2287">
        <w:t>S</w:t>
      </w:r>
      <w:r w:rsidR="00904250">
        <w:t>ervices provider” must be an appropriately qualified individual</w:t>
      </w:r>
      <w:r w:rsidR="008B2287">
        <w:t>,</w:t>
      </w:r>
      <w:r w:rsidR="00904250">
        <w:t xml:space="preserve"> and that the teaching services must be personally provided by that individual.  </w:t>
      </w:r>
      <w:r w:rsidR="00E96A1D">
        <w:t>The scope for any sub-contract or assignment to a corporation</w:t>
      </w:r>
      <w:r w:rsidR="00101208">
        <w:t>, or to anyone else,</w:t>
      </w:r>
      <w:r w:rsidR="005013C6">
        <w:t xml:space="preserve"> was at best very narrow.</w:t>
      </w:r>
      <w:r w:rsidR="008B2D16">
        <w:t xml:space="preserve">  </w:t>
      </w:r>
    </w:p>
    <w:p w14:paraId="54538F08" w14:textId="39113642" w:rsidR="00D42FB1" w:rsidRDefault="001D7620" w:rsidP="008158B5">
      <w:pPr>
        <w:pStyle w:val="ParaNumbering"/>
      </w:pPr>
      <w:r>
        <w:t>In any event, the fact that Mr Harrison may have been able to assign or sub</w:t>
      </w:r>
      <w:r w:rsidR="004F6E56">
        <w:t>-</w:t>
      </w:r>
      <w:r>
        <w:t xml:space="preserve">contract the provision of the teaching services, </w:t>
      </w:r>
      <w:r w:rsidR="00893759">
        <w:t>provided he</w:t>
      </w:r>
      <w:r>
        <w:t xml:space="preserve"> was able to secure JMC’s consent to that course, does not alter the fact that </w:t>
      </w:r>
      <w:r w:rsidR="00A40D67">
        <w:t>Mr Harrison</w:t>
      </w:r>
      <w:r w:rsidR="008B2287">
        <w:t xml:space="preserve"> – </w:t>
      </w:r>
      <w:r w:rsidR="00A40D67">
        <w:t>not a corporation</w:t>
      </w:r>
      <w:r w:rsidR="0047321C">
        <w:t xml:space="preserve"> or partnership</w:t>
      </w:r>
      <w:r w:rsidR="008B2287">
        <w:t xml:space="preserve"> – </w:t>
      </w:r>
      <w:r w:rsidR="00A40D67">
        <w:t>was the contracting party.</w:t>
      </w:r>
      <w:r w:rsidR="009512E8">
        <w:t xml:space="preserve">  That tends to militate toward the contr</w:t>
      </w:r>
      <w:r w:rsidR="00CA2411">
        <w:t xml:space="preserve">acts being contracts </w:t>
      </w:r>
      <w:r w:rsidR="00CA2411" w:rsidRPr="00893759">
        <w:rPr>
          <w:i/>
        </w:rPr>
        <w:t>of</w:t>
      </w:r>
      <w:r w:rsidR="00CA2411">
        <w:t xml:space="preserve"> service, </w:t>
      </w:r>
      <w:r w:rsidR="004C6C2C">
        <w:t xml:space="preserve">meaning that Mr Harrison was JMC’s employee, </w:t>
      </w:r>
      <w:r w:rsidR="00CA2411">
        <w:t xml:space="preserve">as opposed to contracts </w:t>
      </w:r>
      <w:r w:rsidR="00CA2411" w:rsidRPr="00893759">
        <w:rPr>
          <w:i/>
        </w:rPr>
        <w:t>for</w:t>
      </w:r>
      <w:r w:rsidR="004C6C2C">
        <w:t xml:space="preserve"> services.</w:t>
      </w:r>
      <w:r w:rsidR="0047321C">
        <w:t xml:space="preserve">  </w:t>
      </w:r>
      <w:r w:rsidR="00A55065">
        <w:t xml:space="preserve"> </w:t>
      </w:r>
      <w:r w:rsidR="00702C3D">
        <w:t xml:space="preserve"> </w:t>
      </w:r>
      <w:r w:rsidR="00F50738">
        <w:t xml:space="preserve"> </w:t>
      </w:r>
      <w:r w:rsidR="00FD50C6">
        <w:t xml:space="preserve"> </w:t>
      </w:r>
      <w:r w:rsidR="00251D11">
        <w:t xml:space="preserve"> </w:t>
      </w:r>
      <w:r w:rsidR="00CE78D8">
        <w:t xml:space="preserve"> </w:t>
      </w:r>
    </w:p>
    <w:p w14:paraId="24A31A46" w14:textId="77777777" w:rsidR="006E2382" w:rsidRDefault="00204BF1" w:rsidP="006E2382">
      <w:pPr>
        <w:pStyle w:val="Heading2"/>
      </w:pPr>
      <w:r>
        <w:t>Right of c</w:t>
      </w:r>
      <w:r w:rsidR="006E2382">
        <w:t xml:space="preserve">ontrol </w:t>
      </w:r>
    </w:p>
    <w:p w14:paraId="2033A648" w14:textId="67D2EB77" w:rsidR="008473ED" w:rsidRDefault="007A76DC" w:rsidP="008158B5">
      <w:pPr>
        <w:pStyle w:val="ParaNumbering"/>
      </w:pPr>
      <w:r>
        <w:t xml:space="preserve">The “existence of a right of control by a putative employer over the activities of the putative employee serves to sensitise one to the subservient and dependent nature of the work of the employee, so as to assist in </w:t>
      </w:r>
      <w:r w:rsidR="00DD01E3">
        <w:t xml:space="preserve">an </w:t>
      </w:r>
      <w:r>
        <w:t xml:space="preserve">assessment of whether a relationship is properly to be regarded as a contract of service rather than a contract for services”: </w:t>
      </w:r>
      <w:r w:rsidRPr="008473ED">
        <w:rPr>
          <w:i/>
        </w:rPr>
        <w:t>Personnel Contracting</w:t>
      </w:r>
      <w:r>
        <w:t xml:space="preserve"> at [73] (</w:t>
      </w:r>
      <w:proofErr w:type="spellStart"/>
      <w:r>
        <w:t>Kief</w:t>
      </w:r>
      <w:r w:rsidR="00D75FB2">
        <w:t>el</w:t>
      </w:r>
      <w:proofErr w:type="spellEnd"/>
      <w:r w:rsidR="00D75FB2">
        <w:t xml:space="preserve"> CJ, Keane and Edelman JJ).</w:t>
      </w:r>
      <w:r w:rsidR="008473ED">
        <w:t xml:space="preserve">  The</w:t>
      </w:r>
      <w:r w:rsidR="00971153">
        <w:t xml:space="preserve"> question is whether, having regard to the terms of the contract, the “engagement subjects the person engaged to the command of the person engaging him, not only as to what he shall do in the course of his employment but as to how he shall do it</w:t>
      </w:r>
      <w:r w:rsidR="00CA2411">
        <w:t>”</w:t>
      </w:r>
      <w:r w:rsidR="00971153">
        <w:t xml:space="preserve">: </w:t>
      </w:r>
      <w:proofErr w:type="spellStart"/>
      <w:r w:rsidR="00971153" w:rsidRPr="00971153">
        <w:rPr>
          <w:i/>
        </w:rPr>
        <w:t>Brodribb</w:t>
      </w:r>
      <w:proofErr w:type="spellEnd"/>
      <w:r w:rsidR="00971153">
        <w:t xml:space="preserve"> at 35</w:t>
      </w:r>
      <w:r w:rsidR="000747B4">
        <w:t xml:space="preserve"> (Wilson and Dawson JJ)</w:t>
      </w:r>
      <w:r w:rsidR="00971153">
        <w:t xml:space="preserve">. </w:t>
      </w:r>
      <w:r w:rsidR="00D75FB2">
        <w:t xml:space="preserve">  </w:t>
      </w:r>
    </w:p>
    <w:p w14:paraId="787ECA21" w14:textId="7DC82C41" w:rsidR="007A76DC" w:rsidRDefault="00D75FB2" w:rsidP="008158B5">
      <w:pPr>
        <w:pStyle w:val="ParaNumbering"/>
      </w:pPr>
      <w:r>
        <w:t xml:space="preserve">There </w:t>
      </w:r>
      <w:r w:rsidR="00CA2411">
        <w:t>are a number of clauses in the M</w:t>
      </w:r>
      <w:r>
        <w:t>emoranda which are relevant to a consideration of the extent to which it could be said that JMC had a right of control over Mr Harrison</w:t>
      </w:r>
      <w:r w:rsidR="00CA2411">
        <w:t xml:space="preserve">, including </w:t>
      </w:r>
      <w:r w:rsidR="008B2287">
        <w:t xml:space="preserve">the question of </w:t>
      </w:r>
      <w:r w:rsidR="00CA2411">
        <w:t>how, when and where he was required to provide the relevant teaching services</w:t>
      </w:r>
      <w:r>
        <w:t>.</w:t>
      </w:r>
    </w:p>
    <w:p w14:paraId="331D5A1C" w14:textId="77777777" w:rsidR="00D75FB2" w:rsidRDefault="00C92742" w:rsidP="005D30B9">
      <w:pPr>
        <w:pStyle w:val="Heading3"/>
      </w:pPr>
      <w:r>
        <w:t>Supervision and monitoring</w:t>
      </w:r>
      <w:r w:rsidR="008F0B4E">
        <w:t xml:space="preserve"> of how the services were to be provided</w:t>
      </w:r>
    </w:p>
    <w:p w14:paraId="0816C369" w14:textId="4219CE74" w:rsidR="005B09D8" w:rsidRDefault="00CA2411" w:rsidP="008158B5">
      <w:pPr>
        <w:pStyle w:val="ParaNumbering"/>
      </w:pPr>
      <w:r>
        <w:t>Recitals 1 and 2 in the M</w:t>
      </w:r>
      <w:r w:rsidR="005D30B9">
        <w:t xml:space="preserve">emoranda </w:t>
      </w:r>
      <w:r w:rsidR="00D84BFA">
        <w:t>directly or indirectly advert</w:t>
      </w:r>
      <w:r>
        <w:t xml:space="preserve"> to the fact that JMC wa</w:t>
      </w:r>
      <w:r w:rsidR="00D84BFA">
        <w:t>s a TEQSA registered provider of</w:t>
      </w:r>
      <w:r>
        <w:t xml:space="preserve"> higher education </w:t>
      </w:r>
      <w:r w:rsidR="00823D43">
        <w:t xml:space="preserve">programmes </w:t>
      </w:r>
      <w:r w:rsidR="004A0187">
        <w:t xml:space="preserve">that </w:t>
      </w:r>
      <w:r>
        <w:t>provided</w:t>
      </w:r>
      <w:r w:rsidR="00D84BFA">
        <w:t xml:space="preserve"> TEQSA accredited courses of study.</w:t>
      </w:r>
      <w:r w:rsidR="005B09D8">
        <w:t xml:space="preserve">  </w:t>
      </w:r>
      <w:r w:rsidR="003E33C8">
        <w:t xml:space="preserve">Recital 1 </w:t>
      </w:r>
      <w:r w:rsidR="00936CE1">
        <w:t xml:space="preserve">states </w:t>
      </w:r>
      <w:r w:rsidR="003E33C8">
        <w:t>that JMC is a “</w:t>
      </w:r>
      <w:r w:rsidR="0079523B">
        <w:t>recognised</w:t>
      </w:r>
      <w:r w:rsidR="003E33C8">
        <w:t xml:space="preserve"> provider of</w:t>
      </w:r>
      <w:r w:rsidR="00823D43">
        <w:t xml:space="preserve"> approved</w:t>
      </w:r>
      <w:r w:rsidR="003E33C8">
        <w:t xml:space="preserve"> Higher Education </w:t>
      </w:r>
      <w:r w:rsidR="00823D43">
        <w:t>p</w:t>
      </w:r>
      <w:r w:rsidR="003E33C8">
        <w:t>rogram</w:t>
      </w:r>
      <w:r w:rsidR="00823D43">
        <w:t>me</w:t>
      </w:r>
      <w:r w:rsidR="003E33C8">
        <w:t>s” and recital 2 notes that Mr Harrison had represented that he was able to provide teaching services at the “standard required”</w:t>
      </w:r>
      <w:r w:rsidR="0079523B">
        <w:t xml:space="preserve"> and was qualified, capable and suitably </w:t>
      </w:r>
      <w:r w:rsidR="00261AC6">
        <w:t xml:space="preserve">experienced </w:t>
      </w:r>
      <w:r w:rsidR="0079523B">
        <w:t>to provide learning outcomes “consistent with a</w:t>
      </w:r>
      <w:r w:rsidR="005013C6">
        <w:t>ccreditation requirements”.  Tho</w:t>
      </w:r>
      <w:r w:rsidR="0079523B">
        <w:t xml:space="preserve">se </w:t>
      </w:r>
      <w:r w:rsidR="0079523B">
        <w:lastRenderedPageBreak/>
        <w:t xml:space="preserve">recitals must be read and understood in the context of the relevant </w:t>
      </w:r>
      <w:r w:rsidR="00936CE1">
        <w:t xml:space="preserve">TEQSA </w:t>
      </w:r>
      <w:r w:rsidR="0079523B">
        <w:t xml:space="preserve">system </w:t>
      </w:r>
      <w:r w:rsidR="00936CE1">
        <w:t xml:space="preserve">of registration </w:t>
      </w:r>
      <w:r w:rsidR="0079523B">
        <w:t xml:space="preserve">and accreditation which required, among other things, that </w:t>
      </w:r>
      <w:r w:rsidR="0088220A">
        <w:t xml:space="preserve">JMC </w:t>
      </w:r>
      <w:r w:rsidR="008970B9">
        <w:t>ha</w:t>
      </w:r>
      <w:r w:rsidR="004A0187">
        <w:t>ve</w:t>
      </w:r>
      <w:r w:rsidR="008970B9">
        <w:t xml:space="preserve"> in place effective arrangements relating to performance review, quality assurance and </w:t>
      </w:r>
      <w:r w:rsidR="00FF2F6A">
        <w:t xml:space="preserve">the </w:t>
      </w:r>
      <w:r w:rsidR="008970B9">
        <w:t xml:space="preserve">systematic monitoring and review of </w:t>
      </w:r>
      <w:r w:rsidR="00FF2F6A">
        <w:t>academic and teaching staff.</w:t>
      </w:r>
      <w:r w:rsidR="005428A9">
        <w:t xml:space="preserve">  The TEQSA requirements may be taken to be objective facts known to both JMC and Mr Harrison at the time they entered into the contracts.   </w:t>
      </w:r>
      <w:r w:rsidR="00C92742">
        <w:t xml:space="preserve">  </w:t>
      </w:r>
    </w:p>
    <w:p w14:paraId="6C534173" w14:textId="6306BFBA" w:rsidR="00B74A11" w:rsidRDefault="0088220A" w:rsidP="008158B5">
      <w:pPr>
        <w:pStyle w:val="ParaNumbering"/>
      </w:pPr>
      <w:r>
        <w:t xml:space="preserve">Given the requirements imposed upon JMC by the TEQSA system of registration and accreditation, it is </w:t>
      </w:r>
      <w:r w:rsidR="00013BF2">
        <w:t xml:space="preserve">perhaps </w:t>
      </w:r>
      <w:r>
        <w:t xml:space="preserve">not surprising that a </w:t>
      </w:r>
      <w:r w:rsidR="00C92742">
        <w:t xml:space="preserve">number of clauses in the </w:t>
      </w:r>
      <w:r w:rsidR="004A0187">
        <w:t>M</w:t>
      </w:r>
      <w:r w:rsidR="00C92742">
        <w:t xml:space="preserve">emoranda </w:t>
      </w:r>
      <w:r w:rsidR="005428A9">
        <w:t xml:space="preserve">effectively </w:t>
      </w:r>
      <w:r w:rsidR="00C92742">
        <w:t>gave JMC the right to supervise</w:t>
      </w:r>
      <w:r w:rsidR="00B74A11">
        <w:t xml:space="preserve"> and monitor </w:t>
      </w:r>
      <w:r w:rsidR="004A0187">
        <w:t>the teaching services provided by Mr Harrison under the contracts</w:t>
      </w:r>
      <w:r w:rsidR="00B91871">
        <w:t>, including how they were to be provided</w:t>
      </w:r>
      <w:r w:rsidR="00B74A11">
        <w:t>.</w:t>
      </w:r>
    </w:p>
    <w:p w14:paraId="5102BC5B" w14:textId="2B81D6FE" w:rsidR="00990092" w:rsidRDefault="00711389" w:rsidP="008158B5">
      <w:pPr>
        <w:pStyle w:val="ParaNumbering"/>
      </w:pPr>
      <w:r>
        <w:t>Clause 15 provided (</w:t>
      </w:r>
      <w:r w:rsidR="004A0187">
        <w:t xml:space="preserve">as set out </w:t>
      </w:r>
      <w:r>
        <w:t>in the seventh dot point) that JMC would keep Mr Harrison informed of the</w:t>
      </w:r>
      <w:r w:rsidR="00823D43">
        <w:t xml:space="preserve"> identity of the</w:t>
      </w:r>
      <w:r>
        <w:t xml:space="preserve"> “</w:t>
      </w:r>
      <w:r w:rsidR="00823D43">
        <w:t>A</w:t>
      </w:r>
      <w:r>
        <w:t>cademic officer” who would be “responsible for managing the supplying of teaching service</w:t>
      </w:r>
      <w:r w:rsidR="00823D43">
        <w:t>[s]</w:t>
      </w:r>
      <w:r>
        <w:t xml:space="preserve">” under the agreement.  </w:t>
      </w:r>
      <w:r w:rsidR="00B74A11">
        <w:t xml:space="preserve">The schedule to the </w:t>
      </w:r>
      <w:r w:rsidR="00997277">
        <w:t xml:space="preserve">Memoranda </w:t>
      </w:r>
      <w:r w:rsidR="00B74A11">
        <w:t>identified Mr</w:t>
      </w:r>
      <w:r w:rsidR="004761F3">
        <w:t> </w:t>
      </w:r>
      <w:r w:rsidR="00B74A11">
        <w:t>Harriso</w:t>
      </w:r>
      <w:r w:rsidR="00990092">
        <w:t>n’s “managing academic officer” as being Mr Care</w:t>
      </w:r>
      <w:r w:rsidR="00997277">
        <w:t xml:space="preserve">, who was </w:t>
      </w:r>
      <w:r w:rsidR="00D429B8">
        <w:t>Head of Audio Engineering and Sound Production</w:t>
      </w:r>
      <w:r w:rsidR="00823D43">
        <w:t xml:space="preserve"> at JMC</w:t>
      </w:r>
      <w:r w:rsidR="00990092">
        <w:t>.</w:t>
      </w:r>
      <w:r w:rsidR="00D429B8">
        <w:t xml:space="preserve">  It should also be noted in this context that the Lecturer </w:t>
      </w:r>
      <w:r w:rsidR="00823D43">
        <w:t xml:space="preserve">– </w:t>
      </w:r>
      <w:r w:rsidR="00D429B8">
        <w:t>Position Description documents signed by Mr Harrison stated that Mr Harrison was to report to the “Head of Department” in respect of “academic matters”.</w:t>
      </w:r>
    </w:p>
    <w:p w14:paraId="7100D855" w14:textId="63E63539" w:rsidR="00F111E3" w:rsidRDefault="00F111E3" w:rsidP="00350CCD">
      <w:pPr>
        <w:pStyle w:val="ParaNumbering"/>
      </w:pPr>
      <w:r>
        <w:t xml:space="preserve">Clause 4 </w:t>
      </w:r>
      <w:r w:rsidR="00350CCD">
        <w:t xml:space="preserve">of the Memoranda </w:t>
      </w:r>
      <w:r w:rsidR="00350CCD" w:rsidRPr="00350CCD">
        <w:t xml:space="preserve">provided </w:t>
      </w:r>
      <w:r>
        <w:t xml:space="preserve">that Mr Harrison was required to “personally” provide the teaching services “in a manner consistent with the representations set out in Recital 2”.  As just noted, those representations included that Mr Harrison could and would provide the teaching services at the “standard required” and in a manner </w:t>
      </w:r>
      <w:r w:rsidR="00823D43">
        <w:t xml:space="preserve">necessary to produce learning outcomes </w:t>
      </w:r>
      <w:r>
        <w:t xml:space="preserve">“consistent with accreditation requirements”. </w:t>
      </w:r>
    </w:p>
    <w:p w14:paraId="48781696" w14:textId="4652EFCE" w:rsidR="00443D01" w:rsidRDefault="00A462B4" w:rsidP="008158B5">
      <w:pPr>
        <w:pStyle w:val="ParaNumbering"/>
      </w:pPr>
      <w:r>
        <w:t xml:space="preserve">Clause 8 </w:t>
      </w:r>
      <w:r w:rsidR="00350CCD">
        <w:t xml:space="preserve">of the Memoranda </w:t>
      </w:r>
      <w:r>
        <w:t>provided</w:t>
      </w:r>
      <w:r w:rsidR="00990092">
        <w:t xml:space="preserve">, in effect, that </w:t>
      </w:r>
      <w:r w:rsidR="00215E82">
        <w:t>if Mr Care</w:t>
      </w:r>
      <w:r w:rsidR="00711389">
        <w:t xml:space="preserve"> (as </w:t>
      </w:r>
      <w:r w:rsidR="002E7F08">
        <w:t>Mr Harrison’s</w:t>
      </w:r>
      <w:r w:rsidR="004A0187">
        <w:t xml:space="preserve"> </w:t>
      </w:r>
      <w:r w:rsidR="00711389">
        <w:t>managing academic officer)</w:t>
      </w:r>
      <w:r w:rsidR="00215E82">
        <w:t xml:space="preserve"> was satisfied that Mr Harrison’s provision of a “particular teaching service” was “incomplete” or did not </w:t>
      </w:r>
      <w:r>
        <w:t>“</w:t>
      </w:r>
      <w:r w:rsidR="00215E82">
        <w:t>adequately</w:t>
      </w:r>
      <w:r>
        <w:t>”</w:t>
      </w:r>
      <w:r w:rsidR="00215E82">
        <w:t xml:space="preserve"> deal with</w:t>
      </w:r>
      <w:r w:rsidR="00BE7AB2">
        <w:t xml:space="preserve"> an aspect of the “teaching requirements”, JMC </w:t>
      </w:r>
      <w:r w:rsidR="00990092">
        <w:t>had the power</w:t>
      </w:r>
      <w:r w:rsidR="004A0187">
        <w:t xml:space="preserve"> either</w:t>
      </w:r>
      <w:r w:rsidR="00B74A11">
        <w:t xml:space="preserve"> </w:t>
      </w:r>
      <w:r w:rsidR="00990092">
        <w:t xml:space="preserve">to require Mr Harrison to </w:t>
      </w:r>
      <w:r w:rsidR="00215E82">
        <w:t>“repeat provision of”</w:t>
      </w:r>
      <w:r w:rsidR="00BE7AB2">
        <w:t xml:space="preserve"> the</w:t>
      </w:r>
      <w:r w:rsidR="00215E82">
        <w:t xml:space="preserve"> particular service to Mr Care’s satisfaction</w:t>
      </w:r>
      <w:r w:rsidR="00BE7AB2">
        <w:t xml:space="preserve"> “without additional payment”, or</w:t>
      </w:r>
      <w:r w:rsidR="00350CCD">
        <w:t xml:space="preserve"> </w:t>
      </w:r>
      <w:r w:rsidR="00BE7AB2">
        <w:t>“</w:t>
      </w:r>
      <w:r w:rsidR="005E27FD">
        <w:t>withhold</w:t>
      </w:r>
      <w:r w:rsidR="00BE7AB2">
        <w:t xml:space="preserve"> payment” from Mr Harrison </w:t>
      </w:r>
      <w:r w:rsidR="005E27FD">
        <w:t xml:space="preserve">and “make </w:t>
      </w:r>
      <w:r w:rsidR="00543F94">
        <w:t xml:space="preserve">such </w:t>
      </w:r>
      <w:r w:rsidR="005E27FD">
        <w:t>other arrangements for the provision of the particular teaching service</w:t>
      </w:r>
      <w:r w:rsidR="00543F94">
        <w:t xml:space="preserve"> as it may deem appropriate</w:t>
      </w:r>
      <w:r w:rsidR="005E27FD">
        <w:t xml:space="preserve">”.  </w:t>
      </w:r>
      <w:r w:rsidR="00700583">
        <w:t xml:space="preserve">The general effect of clause 8 was </w:t>
      </w:r>
      <w:r w:rsidR="005E27FD">
        <w:t>that JMC</w:t>
      </w:r>
      <w:r w:rsidR="00700583">
        <w:t>, through the managing academic officer,</w:t>
      </w:r>
      <w:r w:rsidR="005E27FD">
        <w:t xml:space="preserve"> had the right to monitor and supervise the provision of teaching services by Mr Harrison </w:t>
      </w:r>
      <w:r w:rsidR="00B76880">
        <w:t xml:space="preserve">and, if not satisfied that the services had been </w:t>
      </w:r>
      <w:r>
        <w:t xml:space="preserve">adequately </w:t>
      </w:r>
      <w:r w:rsidR="00B76880">
        <w:t xml:space="preserve">provided to </w:t>
      </w:r>
      <w:r w:rsidR="00B76880">
        <w:lastRenderedPageBreak/>
        <w:t xml:space="preserve">the </w:t>
      </w:r>
      <w:r w:rsidR="004A0187">
        <w:t xml:space="preserve">requisite </w:t>
      </w:r>
      <w:r w:rsidR="00B76880">
        <w:t xml:space="preserve">standard, </w:t>
      </w:r>
      <w:r w:rsidR="00700583">
        <w:t xml:space="preserve">had the </w:t>
      </w:r>
      <w:r w:rsidR="004A0187">
        <w:t xml:space="preserve">contractual </w:t>
      </w:r>
      <w:r w:rsidR="00700583">
        <w:t xml:space="preserve">power to </w:t>
      </w:r>
      <w:r w:rsidR="00B76880">
        <w:t xml:space="preserve">either require Mr Harrison to provide the services again, without further payment, or withhold payment </w:t>
      </w:r>
      <w:r w:rsidR="00700583">
        <w:t xml:space="preserve">in respect of </w:t>
      </w:r>
      <w:r w:rsidR="00B76880">
        <w:t>the services</w:t>
      </w:r>
      <w:r w:rsidR="004A0187">
        <w:t xml:space="preserve"> rendered</w:t>
      </w:r>
      <w:r w:rsidR="00B76880">
        <w:t>.</w:t>
      </w:r>
    </w:p>
    <w:p w14:paraId="42074CF0" w14:textId="1BD263FC" w:rsidR="002F0C71" w:rsidRDefault="002F0C71" w:rsidP="008158B5">
      <w:pPr>
        <w:pStyle w:val="ParaNumbering"/>
      </w:pPr>
      <w:r>
        <w:t xml:space="preserve">Clause 9 </w:t>
      </w:r>
      <w:r w:rsidR="00700583">
        <w:t xml:space="preserve">of the Memoranda </w:t>
      </w:r>
      <w:r>
        <w:t>provided that it was the “essence” of the agreement that Mr</w:t>
      </w:r>
      <w:r w:rsidR="006A58DB">
        <w:t> </w:t>
      </w:r>
      <w:r>
        <w:t>Harrison at all times be “conversant with and comply with the policies and procedures which [JMC] has adopted or may adopt, from time to time</w:t>
      </w:r>
      <w:r w:rsidR="002E0D0F">
        <w:t xml:space="preserve"> … in particular those relating to teaching and assessment of the Unit or Units set out in the Schedule”.  JMC ther</w:t>
      </w:r>
      <w:r w:rsidR="004534D8">
        <w:t>efore had the right to put in place policies and procedures in relation to the teaching and assessment of the units in which Mr Harrison was to provide teaching services</w:t>
      </w:r>
      <w:r w:rsidR="00CF64F7">
        <w:t>,</w:t>
      </w:r>
      <w:r w:rsidR="004534D8">
        <w:t xml:space="preserve"> and Mr Harrison was contractually obliged to comply with those policies and procedures, </w:t>
      </w:r>
      <w:r w:rsidR="00CF64F7">
        <w:t>including those</w:t>
      </w:r>
      <w:r w:rsidR="004534D8">
        <w:t xml:space="preserve"> put in place after the contract was entered into. </w:t>
      </w:r>
      <w:r w:rsidR="002E0D0F">
        <w:t xml:space="preserve">   </w:t>
      </w:r>
    </w:p>
    <w:p w14:paraId="2D1F61DD" w14:textId="7F77EDC2" w:rsidR="001D6AE9" w:rsidRDefault="00F73077" w:rsidP="008158B5">
      <w:pPr>
        <w:pStyle w:val="ParaNumbering"/>
      </w:pPr>
      <w:r>
        <w:t>Other clauses in the M</w:t>
      </w:r>
      <w:r w:rsidR="00443D01">
        <w:t xml:space="preserve">emoranda provided </w:t>
      </w:r>
      <w:r>
        <w:t xml:space="preserve">somewhat less direct, though nevertheless significant, </w:t>
      </w:r>
      <w:r w:rsidR="00443D01">
        <w:t xml:space="preserve">means by which JMC could </w:t>
      </w:r>
      <w:r>
        <w:t xml:space="preserve">effectively </w:t>
      </w:r>
      <w:r w:rsidR="00443D01">
        <w:t xml:space="preserve">supervise, monitor and control Mr Harrison’s provision of </w:t>
      </w:r>
      <w:r>
        <w:t xml:space="preserve">the </w:t>
      </w:r>
      <w:r w:rsidR="00443D01">
        <w:t>teaching services</w:t>
      </w:r>
      <w:r>
        <w:t xml:space="preserve"> he contracted to provide</w:t>
      </w:r>
      <w:r w:rsidR="00443D01">
        <w:t xml:space="preserve">.  </w:t>
      </w:r>
    </w:p>
    <w:p w14:paraId="27FA2A7C" w14:textId="75AD4A0E" w:rsidR="00656331" w:rsidRDefault="00FC0096" w:rsidP="001D6AE9">
      <w:pPr>
        <w:pStyle w:val="ParaNumbering"/>
      </w:pPr>
      <w:r>
        <w:t xml:space="preserve">Clause 15 </w:t>
      </w:r>
      <w:r w:rsidR="00F73077">
        <w:t xml:space="preserve">of the Memoranda </w:t>
      </w:r>
      <w:r>
        <w:t>provided (</w:t>
      </w:r>
      <w:r w:rsidR="00CF64F7">
        <w:t xml:space="preserve">as set out </w:t>
      </w:r>
      <w:r>
        <w:t xml:space="preserve">in the third dot point) that the invoices that Mr Harrison was required to submit would, among other things, provide particulars of the </w:t>
      </w:r>
      <w:r w:rsidR="00C31E95">
        <w:t>teaching services provided and would be “accompanied by time sheets and signed weekly lesson plans”.</w:t>
      </w:r>
      <w:r w:rsidR="008B2135">
        <w:t xml:space="preserve">  The nature </w:t>
      </w:r>
      <w:r w:rsidR="00013BF2">
        <w:t xml:space="preserve">and content </w:t>
      </w:r>
      <w:r w:rsidR="008B2135">
        <w:t>of the lesson plans was an objective fact or circumstance which may be taken to have been know</w:t>
      </w:r>
      <w:r w:rsidR="001D6AE9">
        <w:t xml:space="preserve">n to </w:t>
      </w:r>
      <w:r w:rsidR="00F73077">
        <w:t xml:space="preserve">JMC and Mr Harrison </w:t>
      </w:r>
      <w:r w:rsidR="001D6AE9">
        <w:t>at the time they entered into the contracts during the relevant period</w:t>
      </w:r>
      <w:r w:rsidR="008B2135">
        <w:t>.</w:t>
      </w:r>
      <w:r w:rsidR="006679E1">
        <w:t xml:space="preserve">  </w:t>
      </w:r>
      <w:r w:rsidR="00D72FB1">
        <w:t xml:space="preserve">JMC provided Mr Harrison with lesson plans in respect of the courses that Mr Harrison was </w:t>
      </w:r>
      <w:r w:rsidR="00B9108B">
        <w:t xml:space="preserve">required </w:t>
      </w:r>
      <w:r w:rsidR="00D72FB1">
        <w:t xml:space="preserve">to teach.  The lesson plans </w:t>
      </w:r>
      <w:r w:rsidR="006679E1">
        <w:t xml:space="preserve">were lengthy </w:t>
      </w:r>
      <w:r w:rsidR="002534D0">
        <w:t>and detailed documents which specified</w:t>
      </w:r>
      <w:r w:rsidR="006679E1">
        <w:t xml:space="preserve"> the content of the relevant unit of the course of study, as well as the teaching methods and</w:t>
      </w:r>
      <w:r w:rsidR="009F5176">
        <w:t xml:space="preserve"> suggested delivery of the unit </w:t>
      </w:r>
      <w:r w:rsidR="006679E1">
        <w:t>content</w:t>
      </w:r>
      <w:r w:rsidR="000B38D6">
        <w:t xml:space="preserve"> relevant to each class or lesson.  The teacher who delivered the lesson </w:t>
      </w:r>
      <w:r w:rsidR="00656331">
        <w:t>was required to sign the lesson plan and declare that “the information is a true and accurate record of the course content</w:t>
      </w:r>
      <w:r w:rsidR="00271EE0">
        <w:t xml:space="preserve"> I </w:t>
      </w:r>
      <w:r w:rsidR="00656331">
        <w:t>delivered this lesson”.</w:t>
      </w:r>
    </w:p>
    <w:p w14:paraId="433CB0A9" w14:textId="2D75C905" w:rsidR="00275EF6" w:rsidRDefault="00656331" w:rsidP="008158B5">
      <w:pPr>
        <w:pStyle w:val="ParaNumbering"/>
      </w:pPr>
      <w:r>
        <w:t xml:space="preserve">The contractual requirement for Mr Harrison to attach signed lesson plans to his invoices </w:t>
      </w:r>
      <w:r w:rsidR="008329FA">
        <w:t xml:space="preserve">was a means by which JMC could </w:t>
      </w:r>
      <w:r w:rsidR="000D1EC2">
        <w:t xml:space="preserve">effectively direct Mr Harrison as to how he should deliver his lectures or lessons.  It also provided a means by which JMC could </w:t>
      </w:r>
      <w:r w:rsidR="008329FA">
        <w:t>closely monitor and supervise Mr Harrison</w:t>
      </w:r>
      <w:r w:rsidR="000D1EC2">
        <w:t>’s delivery of the lectures</w:t>
      </w:r>
      <w:r w:rsidR="002534D0">
        <w:t>, including the content and the particular way they were delivered</w:t>
      </w:r>
      <w:r w:rsidR="000D1EC2">
        <w:t xml:space="preserve">. </w:t>
      </w:r>
    </w:p>
    <w:p w14:paraId="0A522687" w14:textId="011FF160" w:rsidR="0054268E" w:rsidRDefault="00565475" w:rsidP="008158B5">
      <w:pPr>
        <w:pStyle w:val="ParaNumbering"/>
      </w:pPr>
      <w:r>
        <w:lastRenderedPageBreak/>
        <w:t>JMC submitted that</w:t>
      </w:r>
      <w:r w:rsidR="003A67E0">
        <w:t xml:space="preserve"> recital 2, cl</w:t>
      </w:r>
      <w:r w:rsidR="000D1EC2">
        <w:t>ause 4 and the schedule to the M</w:t>
      </w:r>
      <w:r w:rsidR="003A67E0">
        <w:t xml:space="preserve">emoranda </w:t>
      </w:r>
      <w:r w:rsidR="00C41B6B">
        <w:t xml:space="preserve">simply obliged Mr Harrison to teach the content of the accredited course identified in the schedule </w:t>
      </w:r>
      <w:r w:rsidR="001E6952">
        <w:t xml:space="preserve">to a </w:t>
      </w:r>
      <w:r w:rsidR="009F3A3C">
        <w:t xml:space="preserve">particular standard.  They did not, in JMC’s submission, </w:t>
      </w:r>
      <w:r w:rsidR="001E6952">
        <w:t>direct how the lectures were to be delivered</w:t>
      </w:r>
      <w:r w:rsidR="009F3A3C">
        <w:t xml:space="preserve"> by Mr Harrison.  JMC</w:t>
      </w:r>
      <w:r w:rsidR="001E6952">
        <w:t xml:space="preserve"> also submitted that the requirement </w:t>
      </w:r>
      <w:r w:rsidR="006E43F3">
        <w:t xml:space="preserve">in clause 15 </w:t>
      </w:r>
      <w:r w:rsidR="001E6952">
        <w:t xml:space="preserve">to sign and provide lessons plans when invoicing JMC for the teaching services </w:t>
      </w:r>
      <w:r w:rsidR="00CD15AE">
        <w:t xml:space="preserve">served </w:t>
      </w:r>
      <w:r w:rsidR="001E6952">
        <w:t xml:space="preserve">purely </w:t>
      </w:r>
      <w:r w:rsidR="00CD15AE">
        <w:t xml:space="preserve">an </w:t>
      </w:r>
      <w:r w:rsidR="006E43F3">
        <w:t>administrative</w:t>
      </w:r>
      <w:r w:rsidR="00CD15AE">
        <w:t xml:space="preserve"> function</w:t>
      </w:r>
      <w:r w:rsidR="00CF64F7">
        <w:t>,</w:t>
      </w:r>
      <w:r w:rsidR="006E43F3">
        <w:t xml:space="preserve"> and that the lesson plans themselves were</w:t>
      </w:r>
      <w:r w:rsidR="009F3A3C">
        <w:t xml:space="preserve"> </w:t>
      </w:r>
      <w:r w:rsidR="006E43F3">
        <w:t xml:space="preserve">merely suggestive of what was to be covered in each lecture.  </w:t>
      </w:r>
    </w:p>
    <w:p w14:paraId="0C9CC870" w14:textId="7F5C0F71" w:rsidR="00F8141A" w:rsidRDefault="006E43F3" w:rsidP="008158B5">
      <w:pPr>
        <w:pStyle w:val="ParaNumbering"/>
      </w:pPr>
      <w:r>
        <w:t>Those submissions</w:t>
      </w:r>
      <w:r w:rsidR="00CC2220">
        <w:t>,</w:t>
      </w:r>
      <w:r>
        <w:t xml:space="preserve"> </w:t>
      </w:r>
      <w:r w:rsidR="008F0B4E">
        <w:t xml:space="preserve">however, were based on an </w:t>
      </w:r>
      <w:r w:rsidR="00584C43">
        <w:t xml:space="preserve">overly </w:t>
      </w:r>
      <w:r w:rsidR="00D6581B">
        <w:t xml:space="preserve">narrow and confined </w:t>
      </w:r>
      <w:r w:rsidR="00584C43">
        <w:t xml:space="preserve">reading of recital 2, </w:t>
      </w:r>
      <w:r w:rsidR="008F0B4E">
        <w:t>clause 4</w:t>
      </w:r>
      <w:r w:rsidR="00584C43">
        <w:t xml:space="preserve"> and the requirement in clause 15 to provide signed lesson plans.</w:t>
      </w:r>
      <w:r w:rsidR="0054268E">
        <w:t xml:space="preserve">  </w:t>
      </w:r>
      <w:r w:rsidR="009F3A3C">
        <w:t>JMC’s construction of those provisions in the Memoranda</w:t>
      </w:r>
      <w:r w:rsidR="00493D79">
        <w:t xml:space="preserve"> largely ignored </w:t>
      </w:r>
      <w:r w:rsidR="00D6581B">
        <w:t xml:space="preserve">the </w:t>
      </w:r>
      <w:r w:rsidR="008442D2">
        <w:t>TEQSA registration and course accreditation requirements</w:t>
      </w:r>
      <w:r w:rsidR="005643BC">
        <w:t>, which were</w:t>
      </w:r>
      <w:r w:rsidR="008442D2">
        <w:t xml:space="preserve"> </w:t>
      </w:r>
      <w:r w:rsidR="00D726FE">
        <w:t>reflected</w:t>
      </w:r>
      <w:r w:rsidR="00950758">
        <w:t>, at least implicitly,</w:t>
      </w:r>
      <w:r w:rsidR="00D726FE">
        <w:t xml:space="preserve"> </w:t>
      </w:r>
      <w:r w:rsidR="008442D2">
        <w:t>in recital 2</w:t>
      </w:r>
      <w:r w:rsidR="005643BC">
        <w:t>.  It also</w:t>
      </w:r>
      <w:r w:rsidR="001D070C">
        <w:t xml:space="preserve"> </w:t>
      </w:r>
      <w:r w:rsidR="00D10534">
        <w:t xml:space="preserve">completely </w:t>
      </w:r>
      <w:r w:rsidR="001D070C">
        <w:t xml:space="preserve">ignored the </w:t>
      </w:r>
      <w:r w:rsidR="00D6581B">
        <w:t>terms of clause 8</w:t>
      </w:r>
      <w:r w:rsidR="00B44AFF">
        <w:t>,</w:t>
      </w:r>
      <w:r w:rsidR="005643BC">
        <w:t xml:space="preserve"> and</w:t>
      </w:r>
      <w:r w:rsidR="00D10534">
        <w:t xml:space="preserve"> downplayed the significance of the lesson plans, which were detailed and highly prescriptive</w:t>
      </w:r>
      <w:r w:rsidR="00796E66">
        <w:t>.</w:t>
      </w:r>
      <w:r w:rsidR="00D10534">
        <w:t xml:space="preserve">  </w:t>
      </w:r>
    </w:p>
    <w:p w14:paraId="75C2176C" w14:textId="02E3EA5B" w:rsidR="0018286D" w:rsidRDefault="00265302" w:rsidP="008158B5">
      <w:pPr>
        <w:pStyle w:val="ParaNumbering"/>
      </w:pPr>
      <w:r>
        <w:t>It cannot</w:t>
      </w:r>
      <w:r w:rsidR="00F8141A">
        <w:t>, in all the circumstances,</w:t>
      </w:r>
      <w:r>
        <w:t xml:space="preserve"> be accepted that the </w:t>
      </w:r>
      <w:r w:rsidR="00A0543E">
        <w:t xml:space="preserve">requirement </w:t>
      </w:r>
      <w:r w:rsidR="00B44AFF">
        <w:t xml:space="preserve">stipulated in clause 15 </w:t>
      </w:r>
      <w:r w:rsidR="00A0543E">
        <w:t xml:space="preserve">that Mr </w:t>
      </w:r>
      <w:r w:rsidR="009463BF">
        <w:t>Harrison</w:t>
      </w:r>
      <w:r>
        <w:t xml:space="preserve"> </w:t>
      </w:r>
      <w:r w:rsidR="00A0543E">
        <w:t xml:space="preserve">attach </w:t>
      </w:r>
      <w:r>
        <w:t xml:space="preserve">signed lesson plans </w:t>
      </w:r>
      <w:r w:rsidR="00A0543E">
        <w:t xml:space="preserve">to his invoices was a mere administrative requirement.  The lesson plans </w:t>
      </w:r>
      <w:r w:rsidR="00B3389E">
        <w:t>included an</w:t>
      </w:r>
      <w:r w:rsidR="0040519E">
        <w:t xml:space="preserve"> outline of the “content topics”, “teaching resources” and “lesson outcomes” relevant to the particular lesson in question.  The</w:t>
      </w:r>
      <w:r w:rsidR="00796E66">
        <w:t>y</w:t>
      </w:r>
      <w:r w:rsidR="0040519E">
        <w:t xml:space="preserve"> also included a </w:t>
      </w:r>
      <w:r w:rsidR="00B3389E">
        <w:t>lengthy section on “suggested class delivery” which addressed how the content topics should be addressed</w:t>
      </w:r>
      <w:r w:rsidR="00DE060F">
        <w:t xml:space="preserve"> and provided related “in-class activities”</w:t>
      </w:r>
      <w:r w:rsidR="00667299">
        <w:t xml:space="preserve">.  Mr Harrison, like the other </w:t>
      </w:r>
      <w:r w:rsidR="00A676B2">
        <w:t>lecturers</w:t>
      </w:r>
      <w:r w:rsidR="00667299">
        <w:t xml:space="preserve">, </w:t>
      </w:r>
      <w:r w:rsidR="00DE060F">
        <w:t>was required to sign a declaration that the lesson plan was a “true and accurate record of the course content I delivered this lesson”</w:t>
      </w:r>
      <w:r w:rsidR="00667299">
        <w:t>.</w:t>
      </w:r>
      <w:r w:rsidR="005643BC">
        <w:t xml:space="preserve">  </w:t>
      </w:r>
      <w:r w:rsidR="0018286D">
        <w:t xml:space="preserve">Mr Harrison had no right to be paid if he did not comply with the requirement to submit the </w:t>
      </w:r>
      <w:r w:rsidR="004A2D87">
        <w:t xml:space="preserve">signed </w:t>
      </w:r>
      <w:r w:rsidR="0018286D">
        <w:t xml:space="preserve">lesson plans with his invoices. </w:t>
      </w:r>
      <w:r w:rsidR="009463BF">
        <w:t xml:space="preserve"> The evident purpose of the requirement was to </w:t>
      </w:r>
      <w:r w:rsidR="00FE1228">
        <w:t xml:space="preserve">give </w:t>
      </w:r>
      <w:r w:rsidR="009463BF">
        <w:t xml:space="preserve">JMC </w:t>
      </w:r>
      <w:r w:rsidR="00FE1228">
        <w:t xml:space="preserve">a means by which </w:t>
      </w:r>
      <w:r w:rsidR="009463BF">
        <w:t xml:space="preserve">to ensure that </w:t>
      </w:r>
      <w:r w:rsidR="00FE1228">
        <w:t xml:space="preserve">Mr Harrison was delivering lectures in such a way </w:t>
      </w:r>
      <w:r w:rsidR="00B44AFF">
        <w:t xml:space="preserve">so </w:t>
      </w:r>
      <w:r w:rsidR="00FE1228">
        <w:t xml:space="preserve">as to ensure JMC met its TEQSA registration and course accreditation obligations. </w:t>
      </w:r>
      <w:r w:rsidR="009463BF">
        <w:t xml:space="preserve"> </w:t>
      </w:r>
      <w:r w:rsidR="0018286D">
        <w:t xml:space="preserve"> </w:t>
      </w:r>
    </w:p>
    <w:p w14:paraId="320986EB" w14:textId="48828100" w:rsidR="00B91871" w:rsidRDefault="0054268E" w:rsidP="008158B5">
      <w:pPr>
        <w:pStyle w:val="ParaNumbering"/>
      </w:pPr>
      <w:r>
        <w:t xml:space="preserve">There is, in any event, a very fine and blurry line between the right to control and direct the </w:t>
      </w:r>
      <w:r w:rsidR="001D070C">
        <w:t xml:space="preserve">content and standard of each lecture given by Mr Harrison and the right to control </w:t>
      </w:r>
      <w:r w:rsidR="002704F4">
        <w:t>how Mr</w:t>
      </w:r>
      <w:r w:rsidR="00B12AA4">
        <w:t> </w:t>
      </w:r>
      <w:r w:rsidR="002704F4">
        <w:t>Harrison was to deliver the teaching services</w:t>
      </w:r>
      <w:r w:rsidR="00ED4FC3">
        <w:t xml:space="preserve"> he was contracted to provide</w:t>
      </w:r>
      <w:r w:rsidR="002704F4">
        <w:t>.</w:t>
      </w:r>
      <w:r w:rsidR="00FE1228">
        <w:t xml:space="preserve">  While Mr</w:t>
      </w:r>
      <w:r w:rsidR="004E45D1">
        <w:t> </w:t>
      </w:r>
      <w:r w:rsidR="00FE1228">
        <w:t>Harrison may well have been free to employ his own unique teaching style</w:t>
      </w:r>
      <w:r w:rsidR="00636608">
        <w:t xml:space="preserve"> when delivering the lectures</w:t>
      </w:r>
      <w:r w:rsidR="00FF58C4">
        <w:t xml:space="preserve">, he was nonetheless </w:t>
      </w:r>
      <w:r w:rsidR="00ED4FC3">
        <w:t xml:space="preserve">effectively </w:t>
      </w:r>
      <w:r w:rsidR="004A2D87">
        <w:t xml:space="preserve">contractually </w:t>
      </w:r>
      <w:r w:rsidR="00FF58C4">
        <w:t xml:space="preserve">required to </w:t>
      </w:r>
      <w:r w:rsidR="00636608">
        <w:t>provide the lectures in accordance with the highly prescriptive terms of the lesson plans.  JMC also had the contractual right</w:t>
      </w:r>
      <w:r w:rsidR="00ED4FC3">
        <w:t>, conferred in particular by clause 8 of the Memoranda,</w:t>
      </w:r>
      <w:r w:rsidR="00636608">
        <w:t xml:space="preserve"> to monitor and supervise Mr </w:t>
      </w:r>
      <w:r w:rsidR="00636608">
        <w:lastRenderedPageBreak/>
        <w:t>Harrison to ensure that he delivered the lectures in that way.</w:t>
      </w:r>
      <w:r w:rsidR="003E72D7">
        <w:t xml:space="preserve">  </w:t>
      </w:r>
      <w:r w:rsidR="009A2BBC">
        <w:t>T</w:t>
      </w:r>
      <w:r w:rsidR="003E72D7">
        <w:t xml:space="preserve">he </w:t>
      </w:r>
      <w:r w:rsidR="00540481">
        <w:t xml:space="preserve">managing academic officer who was responsible for managing Mr Harrison’s provision of teaching services had the right to effectively sanction Mr Harrison if </w:t>
      </w:r>
      <w:r w:rsidR="004A2D87">
        <w:t xml:space="preserve">he was </w:t>
      </w:r>
      <w:r w:rsidR="00540481">
        <w:t xml:space="preserve">satisfied that </w:t>
      </w:r>
      <w:r w:rsidR="00B13392">
        <w:t>the teaching services provided by Mr Harrison were incomplete or had no</w:t>
      </w:r>
      <w:r w:rsidR="009A2BBC">
        <w:t>t</w:t>
      </w:r>
      <w:r w:rsidR="00B13392">
        <w:t xml:space="preserve"> adequately dealt with an aspect of the teaching requirements.</w:t>
      </w:r>
      <w:r w:rsidR="00773A5B">
        <w:t xml:space="preserve">  That contractual right gave the managing academic officer, and</w:t>
      </w:r>
      <w:r w:rsidR="00B44AFF">
        <w:t>,</w:t>
      </w:r>
      <w:r w:rsidR="00773A5B">
        <w:t xml:space="preserve"> in turn</w:t>
      </w:r>
      <w:r w:rsidR="00B44AFF">
        <w:t>,</w:t>
      </w:r>
      <w:r w:rsidR="00773A5B">
        <w:t xml:space="preserve"> JMC, a significant degree of control over how Mr Harrison was to provide the relevant teaching services. </w:t>
      </w:r>
    </w:p>
    <w:p w14:paraId="3289A270" w14:textId="16F9B04C" w:rsidR="006516E5" w:rsidRDefault="0058435D" w:rsidP="009A678A">
      <w:pPr>
        <w:pStyle w:val="ParaNumbering"/>
      </w:pPr>
      <w:r>
        <w:t>The combined operation of recitals 1 and 2 and</w:t>
      </w:r>
      <w:r w:rsidR="00D64A81">
        <w:t xml:space="preserve"> clauses 4, 8, 9 and 15 of the M</w:t>
      </w:r>
      <w:r>
        <w:t>emoranda gave JMC a considerable degree of control over Mr Harrison</w:t>
      </w:r>
      <w:r w:rsidR="00766779">
        <w:t xml:space="preserve"> and his provision of the teaching services he had agreed to provide, including </w:t>
      </w:r>
      <w:r w:rsidR="00D970B7">
        <w:t xml:space="preserve">control </w:t>
      </w:r>
      <w:r w:rsidR="00B44AFF">
        <w:t xml:space="preserve">in relation to </w:t>
      </w:r>
      <w:r w:rsidR="00766779">
        <w:t xml:space="preserve">how those services were to be provided. </w:t>
      </w:r>
      <w:r w:rsidR="009A678A">
        <w:t xml:space="preserve"> They reveal </w:t>
      </w:r>
      <w:r w:rsidR="009A678A" w:rsidRPr="009A678A">
        <w:t xml:space="preserve">the subservient and dependent nature of the work </w:t>
      </w:r>
      <w:r w:rsidR="009A678A">
        <w:t>that Mr</w:t>
      </w:r>
      <w:r w:rsidR="00672B21">
        <w:t xml:space="preserve"> Harrison was to provide under the terms of the contracts. </w:t>
      </w:r>
      <w:r w:rsidR="00B13392">
        <w:t xml:space="preserve">  </w:t>
      </w:r>
      <w:r w:rsidR="00636608">
        <w:t xml:space="preserve">  </w:t>
      </w:r>
      <w:r w:rsidR="002704F4">
        <w:t xml:space="preserve">  </w:t>
      </w:r>
    </w:p>
    <w:p w14:paraId="65297DF3" w14:textId="15C4F8A2" w:rsidR="006516E5" w:rsidRDefault="00204BF1" w:rsidP="006516E5">
      <w:pPr>
        <w:pStyle w:val="Heading3"/>
      </w:pPr>
      <w:r>
        <w:t>Control over w</w:t>
      </w:r>
      <w:r w:rsidR="006516E5">
        <w:t>hen and where the services were to be provided</w:t>
      </w:r>
    </w:p>
    <w:p w14:paraId="03D1B643" w14:textId="43876038" w:rsidR="00DE394E" w:rsidRDefault="00DE394E" w:rsidP="008158B5">
      <w:pPr>
        <w:pStyle w:val="ParaNumbering"/>
      </w:pPr>
      <w:r>
        <w:t>JMC effectively directed and controlled when, how and where Mr Harrison was required to perform the relevant teaching services.</w:t>
      </w:r>
    </w:p>
    <w:p w14:paraId="1F49D9CB" w14:textId="2CC8EB50" w:rsidR="003F617A" w:rsidRDefault="00597CD6" w:rsidP="00597CD6">
      <w:pPr>
        <w:pStyle w:val="ParaNumbering"/>
      </w:pPr>
      <w:r>
        <w:t>T</w:t>
      </w:r>
      <w:r w:rsidRPr="00597CD6">
        <w:t xml:space="preserve">he unit or units </w:t>
      </w:r>
      <w:r>
        <w:t xml:space="preserve">in which </w:t>
      </w:r>
      <w:r w:rsidRPr="00597CD6">
        <w:t>Mr Harrison would</w:t>
      </w:r>
      <w:r>
        <w:t xml:space="preserve"> deliver lectures and mark assessments</w:t>
      </w:r>
      <w:r w:rsidR="007A31BB">
        <w:t>,</w:t>
      </w:r>
      <w:r>
        <w:t xml:space="preserve"> and the particular trimester in which Mr Harrison was to provide those services</w:t>
      </w:r>
      <w:r w:rsidR="007A31BB">
        <w:t>,</w:t>
      </w:r>
      <w:r>
        <w:t xml:space="preserve"> were stipulated in</w:t>
      </w:r>
      <w:r w:rsidRPr="00597CD6">
        <w:t xml:space="preserve"> the </w:t>
      </w:r>
      <w:r w:rsidR="00D64A81">
        <w:t>M</w:t>
      </w:r>
      <w:r w:rsidR="00DE394E">
        <w:t xml:space="preserve">emoranda, or </w:t>
      </w:r>
      <w:r w:rsidR="007A31BB">
        <w:t xml:space="preserve">otherwise in </w:t>
      </w:r>
      <w:r w:rsidR="00DE394E">
        <w:t xml:space="preserve">the emails that JMC sent to Mr Harrison </w:t>
      </w:r>
      <w:r w:rsidR="00E81333">
        <w:t>offering to retain his services.  In some cases</w:t>
      </w:r>
      <w:r w:rsidR="007A31BB">
        <w:t>,</w:t>
      </w:r>
      <w:r w:rsidR="00E81333">
        <w:t xml:space="preserve"> the </w:t>
      </w:r>
      <w:r w:rsidR="005D2E06">
        <w:t>timetable</w:t>
      </w:r>
      <w:r w:rsidR="007A31BB">
        <w:t xml:space="preserve"> of classes</w:t>
      </w:r>
      <w:r w:rsidR="00E81333">
        <w:t xml:space="preserve"> for the relevant units for the trimester in question </w:t>
      </w:r>
      <w:r w:rsidR="007A31BB">
        <w:t xml:space="preserve">was </w:t>
      </w:r>
      <w:r w:rsidR="00E81333">
        <w:t>annexed</w:t>
      </w:r>
      <w:r w:rsidR="005D2E06">
        <w:t>.  While some of the emails suggested that there may have been some scope for Mr Harrison to rearrange some of the classes</w:t>
      </w:r>
      <w:r w:rsidR="00E81333">
        <w:t xml:space="preserve"> </w:t>
      </w:r>
      <w:r w:rsidR="00B5668E">
        <w:t xml:space="preserve">specified </w:t>
      </w:r>
      <w:r w:rsidR="00E81333">
        <w:t>in the timetable</w:t>
      </w:r>
      <w:r w:rsidR="005D2E06">
        <w:t xml:space="preserve">, even those minor rearrangements </w:t>
      </w:r>
      <w:r w:rsidR="007F1DF8">
        <w:t xml:space="preserve">of the timetable </w:t>
      </w:r>
      <w:r w:rsidR="005D2E06">
        <w:t>required JMC’s approval.</w:t>
      </w:r>
      <w:r w:rsidR="00415E99">
        <w:t xml:space="preserve">  More significantly, Mr Harrison did not have the contractual right to vary the timetables.</w:t>
      </w:r>
    </w:p>
    <w:p w14:paraId="6F351616" w14:textId="36E09674" w:rsidR="00897A30" w:rsidRDefault="003F617A" w:rsidP="008158B5">
      <w:pPr>
        <w:pStyle w:val="ParaNumbering"/>
      </w:pPr>
      <w:r>
        <w:t>Once the contract in respect of a particular trimester was entered</w:t>
      </w:r>
      <w:r w:rsidR="009B2061">
        <w:t xml:space="preserve"> into, Mr Harrison was contractually obliged to provide the </w:t>
      </w:r>
      <w:r w:rsidR="00E81333">
        <w:t xml:space="preserve">relevant </w:t>
      </w:r>
      <w:r w:rsidR="009B2061">
        <w:t xml:space="preserve">teaching services, including giving lectures at the </w:t>
      </w:r>
      <w:r w:rsidR="007A31BB">
        <w:t xml:space="preserve">timetabled </w:t>
      </w:r>
      <w:r w:rsidR="009B2061">
        <w:t>times</w:t>
      </w:r>
      <w:r w:rsidR="00DA56F1">
        <w:t xml:space="preserve">.  Indeed, he was subject to potential financial penalty if he did not do so.  Clause 6 of the </w:t>
      </w:r>
      <w:r w:rsidR="007A31BB">
        <w:t xml:space="preserve">Memoranda </w:t>
      </w:r>
      <w:r w:rsidR="00DA56F1">
        <w:t xml:space="preserve">provided that if Mr Harrison </w:t>
      </w:r>
      <w:r w:rsidR="007A31BB">
        <w:t>failed to</w:t>
      </w:r>
      <w:r w:rsidR="00DA56F1">
        <w:t xml:space="preserve"> provide the </w:t>
      </w:r>
      <w:r w:rsidR="00783BD6">
        <w:t xml:space="preserve">specified </w:t>
      </w:r>
      <w:r w:rsidR="00DA56F1">
        <w:t>teaching services to JMC with</w:t>
      </w:r>
      <w:r w:rsidR="00B5668E">
        <w:t>out</w:t>
      </w:r>
      <w:r w:rsidR="00DA56F1">
        <w:t xml:space="preserve"> reasonable notice, JMC could “at its absolute discretion, deduct </w:t>
      </w:r>
      <w:r w:rsidR="00B5668E">
        <w:t xml:space="preserve">from </w:t>
      </w:r>
      <w:r w:rsidR="00DA56F1">
        <w:t>any monies payable to [Mr Harrison]</w:t>
      </w:r>
      <w:r w:rsidR="005C487E">
        <w:t xml:space="preserve"> under [the terms of the </w:t>
      </w:r>
      <w:r w:rsidR="001A79AE">
        <w:t>Memoranda</w:t>
      </w:r>
      <w:r w:rsidR="005C487E">
        <w:t>]</w:t>
      </w:r>
      <w:r w:rsidR="00415E99">
        <w:t xml:space="preserve"> </w:t>
      </w:r>
      <w:r w:rsidR="005C487E">
        <w:t xml:space="preserve">any costs reasonably incurred in securing teaching services for the particular occasion”.  </w:t>
      </w:r>
      <w:r w:rsidR="005D2E06">
        <w:t xml:space="preserve"> </w:t>
      </w:r>
    </w:p>
    <w:p w14:paraId="629D45EC" w14:textId="49DF74D4" w:rsidR="001F1812" w:rsidRDefault="004D72C9" w:rsidP="008158B5">
      <w:pPr>
        <w:pStyle w:val="ParaNumbering"/>
      </w:pPr>
      <w:r>
        <w:lastRenderedPageBreak/>
        <w:t>C</w:t>
      </w:r>
      <w:r w:rsidR="00897A30">
        <w:t xml:space="preserve">lause 4 </w:t>
      </w:r>
      <w:r w:rsidR="00030A3F">
        <w:t xml:space="preserve">of the Memoranda </w:t>
      </w:r>
      <w:r>
        <w:t xml:space="preserve">required </w:t>
      </w:r>
      <w:r w:rsidR="00897A30">
        <w:t>Mr</w:t>
      </w:r>
      <w:r w:rsidR="00767016">
        <w:t> </w:t>
      </w:r>
      <w:r w:rsidR="00897A30">
        <w:t>Harrison</w:t>
      </w:r>
      <w:r w:rsidR="00997C31">
        <w:t xml:space="preserve"> to</w:t>
      </w:r>
      <w:r w:rsidR="00897A30">
        <w:t xml:space="preserve"> “personally provide</w:t>
      </w:r>
      <w:r>
        <w:t>”</w:t>
      </w:r>
      <w:r w:rsidR="00897A30">
        <w:t xml:space="preserve"> </w:t>
      </w:r>
      <w:r>
        <w:t xml:space="preserve">the specified </w:t>
      </w:r>
      <w:r w:rsidR="00535A4C">
        <w:t>teaching services</w:t>
      </w:r>
      <w:r w:rsidR="00897A30">
        <w:t xml:space="preserve"> to JMC</w:t>
      </w:r>
      <w:r w:rsidR="00997C31">
        <w:t>.  I</w:t>
      </w:r>
      <w:r>
        <w:t>t was at least implicit in the terms of the Memoranda that Mr Harrison would</w:t>
      </w:r>
      <w:r w:rsidR="00997C31">
        <w:t xml:space="preserve"> </w:t>
      </w:r>
      <w:r w:rsidR="00897A30">
        <w:t xml:space="preserve">provide those services – principally lectures – at </w:t>
      </w:r>
      <w:r w:rsidR="005C5EC3">
        <w:t xml:space="preserve">the relevant JMC campus.  </w:t>
      </w:r>
      <w:r w:rsidR="007F1DF8">
        <w:t xml:space="preserve">JMC did not contend otherwise.  </w:t>
      </w:r>
      <w:r w:rsidR="001F1812">
        <w:t xml:space="preserve">In Mr Harrison’s case, that campus was the </w:t>
      </w:r>
      <w:r w:rsidR="001A79AE">
        <w:t xml:space="preserve">one </w:t>
      </w:r>
      <w:r w:rsidR="001F1812">
        <w:t xml:space="preserve">in Melbourne.  Mr Harrison certainly did not have the contractual right to provide lectures anywhere other than at JMC’s campus.  </w:t>
      </w:r>
    </w:p>
    <w:p w14:paraId="4690595B" w14:textId="4C0EBE18" w:rsidR="00A60627" w:rsidRDefault="005C5EC3" w:rsidP="008158B5">
      <w:pPr>
        <w:pStyle w:val="ParaNumbering"/>
      </w:pPr>
      <w:r>
        <w:t>It is tr</w:t>
      </w:r>
      <w:r w:rsidR="00030A3F">
        <w:t>ue, as JMC submitted, that the M</w:t>
      </w:r>
      <w:r>
        <w:t xml:space="preserve">emoranda did not stipulate </w:t>
      </w:r>
      <w:r w:rsidR="00655C17">
        <w:t xml:space="preserve">when, how or where Mr Harrison was to </w:t>
      </w:r>
      <w:r w:rsidR="00655C17" w:rsidRPr="00942E36">
        <w:rPr>
          <w:i/>
        </w:rPr>
        <w:t>prepare</w:t>
      </w:r>
      <w:r w:rsidR="00655C17">
        <w:t xml:space="preserve"> for the lectures he gave.  That said, while it </w:t>
      </w:r>
      <w:r w:rsidR="00030A3F">
        <w:t xml:space="preserve">might </w:t>
      </w:r>
      <w:r w:rsidR="00655C17">
        <w:t xml:space="preserve">be accepted that Mr Harrison </w:t>
      </w:r>
      <w:r w:rsidR="00942E36">
        <w:t xml:space="preserve">would generally be expected </w:t>
      </w:r>
      <w:r w:rsidR="00655C17">
        <w:t xml:space="preserve">to do </w:t>
      </w:r>
      <w:r w:rsidR="00FE3ADD">
        <w:t xml:space="preserve">at least </w:t>
      </w:r>
      <w:r w:rsidR="00655C17">
        <w:t>some pre</w:t>
      </w:r>
      <w:r w:rsidR="00030A3F">
        <w:t xml:space="preserve">paration for his lectures, the </w:t>
      </w:r>
      <w:r w:rsidR="001A79AE">
        <w:t xml:space="preserve">Memoranda </w:t>
      </w:r>
      <w:r w:rsidR="00655C17">
        <w:t xml:space="preserve">did not </w:t>
      </w:r>
      <w:r w:rsidR="00030A3F">
        <w:t xml:space="preserve">expressly </w:t>
      </w:r>
      <w:r w:rsidR="00655C17">
        <w:t xml:space="preserve">require him to do so.  </w:t>
      </w:r>
      <w:r w:rsidR="00030A3F">
        <w:t>Indeed, the M</w:t>
      </w:r>
      <w:r w:rsidR="00A60627">
        <w:t xml:space="preserve">emoranda made no mention of </w:t>
      </w:r>
      <w:r w:rsidR="00C0263A">
        <w:t xml:space="preserve">preparation.  The teaching services for which Mr Harrison was to be remunerated were </w:t>
      </w:r>
      <w:r w:rsidR="00030A3F">
        <w:t xml:space="preserve">expressly </w:t>
      </w:r>
      <w:r w:rsidR="00C0263A">
        <w:t>identified in clause 7 as being</w:t>
      </w:r>
      <w:r w:rsidR="00936960">
        <w:t>, in effect, delivering lectures and marking</w:t>
      </w:r>
      <w:r w:rsidR="00A676B2">
        <w:t xml:space="preserve"> in the units identified in the schedule to the Memoranda</w:t>
      </w:r>
      <w:r w:rsidR="00936960">
        <w:t xml:space="preserve">. </w:t>
      </w:r>
      <w:r w:rsidR="00655C17">
        <w:t xml:space="preserve">  </w:t>
      </w:r>
    </w:p>
    <w:p w14:paraId="2AC0E41B" w14:textId="52B89F2E" w:rsidR="00C95619" w:rsidRDefault="00936960" w:rsidP="00A153B9">
      <w:pPr>
        <w:pStyle w:val="ParaNumbering"/>
      </w:pPr>
      <w:r>
        <w:t xml:space="preserve">JMC also relied on the fact </w:t>
      </w:r>
      <w:r w:rsidR="00030A3F">
        <w:t>that the Memoranda</w:t>
      </w:r>
      <w:r w:rsidR="00655C17">
        <w:t xml:space="preserve"> did not specify when, how or where Mr</w:t>
      </w:r>
      <w:r w:rsidR="00E67A82">
        <w:t> </w:t>
      </w:r>
      <w:r w:rsidR="00655C17">
        <w:t>Harrison was to provide the marking services he contracted to provide.</w:t>
      </w:r>
      <w:r w:rsidR="006E5232">
        <w:t xml:space="preserve">  </w:t>
      </w:r>
      <w:r w:rsidR="00844BA2">
        <w:t xml:space="preserve">It is, however, at least implicit from the terms of the Memoranda that marking was only a small component of the teaching services that Mr Harrison </w:t>
      </w:r>
      <w:r w:rsidR="007F1DF8">
        <w:t xml:space="preserve">was </w:t>
      </w:r>
      <w:r w:rsidR="00844BA2">
        <w:t xml:space="preserve">contracted to provide.  </w:t>
      </w:r>
      <w:r w:rsidR="001D608F">
        <w:t xml:space="preserve">The major component was lecturing or teaching.  </w:t>
      </w:r>
      <w:r w:rsidR="001E096B">
        <w:t xml:space="preserve">Indeed, the Memoranda barely refers to </w:t>
      </w:r>
      <w:r w:rsidR="00A676B2">
        <w:t xml:space="preserve">marking, other than specifying in clause 7 </w:t>
      </w:r>
      <w:r w:rsidR="001E096B">
        <w:t xml:space="preserve">the hourly rate that JMC would pay Mr Harrison in respect of marking, which was half the hourly rate that JMC paid for the provision of a lecture. </w:t>
      </w:r>
      <w:r w:rsidR="008B0573">
        <w:t xml:space="preserve"> In contrast, Mr Harrison was described as a “Casual Lecturer” (clause 14) and was required to provide signed weekly lesson plans with his invoices (clause 15</w:t>
      </w:r>
      <w:r w:rsidR="005D4728">
        <w:t xml:space="preserve">, </w:t>
      </w:r>
      <w:r w:rsidR="00281654">
        <w:t xml:space="preserve">as set out in the </w:t>
      </w:r>
      <w:r w:rsidR="005D4728">
        <w:t>fourth dot point).</w:t>
      </w:r>
    </w:p>
    <w:p w14:paraId="44FBB6CD" w14:textId="77777777" w:rsidR="00C95619" w:rsidRDefault="00C95619" w:rsidP="00C95619">
      <w:pPr>
        <w:pStyle w:val="Heading3"/>
      </w:pPr>
      <w:r>
        <w:t>Who provided the services –</w:t>
      </w:r>
      <w:r w:rsidR="000A5302">
        <w:t xml:space="preserve"> the right to sub-contract or assign</w:t>
      </w:r>
    </w:p>
    <w:p w14:paraId="07A0ABE5" w14:textId="7E1C2383" w:rsidR="00F70C29" w:rsidRDefault="00B71C15" w:rsidP="00A153B9">
      <w:pPr>
        <w:pStyle w:val="ParaNumbering"/>
      </w:pPr>
      <w:r>
        <w:t>JMC placed considerab</w:t>
      </w:r>
      <w:r w:rsidR="000A5302">
        <w:t>le reliance on clause 5 of the M</w:t>
      </w:r>
      <w:r>
        <w:t>emoranda which, as already noted, provided that Mr Harrison “may sub-contract or assign to another person or corporation the provision to [JMC] of the teaching services required of [</w:t>
      </w:r>
      <w:r w:rsidR="008149DF">
        <w:t>Mr Harrison</w:t>
      </w:r>
      <w:r>
        <w:t xml:space="preserve">] … but must do so with the written consent of [JMC’s] </w:t>
      </w:r>
      <w:r w:rsidR="00F70C29">
        <w:t xml:space="preserve">representative”. </w:t>
      </w:r>
    </w:p>
    <w:p w14:paraId="39EF265E" w14:textId="60B1DCD1" w:rsidR="000F68BD" w:rsidRDefault="00F5263A" w:rsidP="00103AB0">
      <w:pPr>
        <w:pStyle w:val="ParaNumbering"/>
      </w:pPr>
      <w:r>
        <w:t xml:space="preserve">There could be no doubt that if clause 5 </w:t>
      </w:r>
      <w:r w:rsidR="00807210">
        <w:t xml:space="preserve">gave </w:t>
      </w:r>
      <w:r>
        <w:t>Mr Harrison an unlimited</w:t>
      </w:r>
      <w:r w:rsidR="008051A9">
        <w:t xml:space="preserve">, </w:t>
      </w:r>
      <w:r w:rsidR="000A5302">
        <w:t xml:space="preserve">unrestricted </w:t>
      </w:r>
      <w:r w:rsidR="008051A9">
        <w:t xml:space="preserve">or unilateral </w:t>
      </w:r>
      <w:r>
        <w:t>power to delegate</w:t>
      </w:r>
      <w:r w:rsidR="00736AC7">
        <w:t xml:space="preserve"> the contracted teaching services to someone else, that would be a powerful indication that he was an independent contractor, not an employee of JMC</w:t>
      </w:r>
      <w:r w:rsidR="0044035A">
        <w:t>:</w:t>
      </w:r>
      <w:r w:rsidR="000A5302">
        <w:t xml:space="preserve"> see</w:t>
      </w:r>
      <w:r w:rsidR="00736AC7">
        <w:t xml:space="preserve"> </w:t>
      </w:r>
      <w:proofErr w:type="spellStart"/>
      <w:r w:rsidR="00736AC7" w:rsidRPr="00FD0581">
        <w:rPr>
          <w:i/>
        </w:rPr>
        <w:t>Brodribb</w:t>
      </w:r>
      <w:proofErr w:type="spellEnd"/>
      <w:r w:rsidR="00736AC7">
        <w:t xml:space="preserve"> at 2</w:t>
      </w:r>
      <w:r w:rsidR="002E6BE2">
        <w:t>6 (Mason J)</w:t>
      </w:r>
      <w:r w:rsidR="00736AC7">
        <w:t xml:space="preserve">; </w:t>
      </w:r>
      <w:r w:rsidR="002E6BE2">
        <w:rPr>
          <w:i/>
        </w:rPr>
        <w:t xml:space="preserve">Chaplin </w:t>
      </w:r>
      <w:r w:rsidR="002E6BE2">
        <w:t>at 391 (</w:t>
      </w:r>
      <w:r w:rsidR="00103AB0">
        <w:t xml:space="preserve">Lord Fraser of </w:t>
      </w:r>
      <w:proofErr w:type="spellStart"/>
      <w:r w:rsidR="00103AB0">
        <w:t>Tullybelton</w:t>
      </w:r>
      <w:proofErr w:type="spellEnd"/>
      <w:r w:rsidR="00103AB0">
        <w:t xml:space="preserve">); </w:t>
      </w:r>
      <w:r w:rsidR="00A924E0" w:rsidRPr="00243E06">
        <w:rPr>
          <w:i/>
        </w:rPr>
        <w:t>ACE Insurance</w:t>
      </w:r>
      <w:r w:rsidR="00A924E0" w:rsidRPr="00103AB0">
        <w:rPr>
          <w:i/>
        </w:rPr>
        <w:t xml:space="preserve"> </w:t>
      </w:r>
      <w:r w:rsidR="00A924E0">
        <w:t>at</w:t>
      </w:r>
      <w:r w:rsidR="000F68BD">
        <w:t xml:space="preserve"> </w:t>
      </w:r>
      <w:r w:rsidR="00A924E0">
        <w:t>[25</w:t>
      </w:r>
      <w:r w:rsidR="000F68BD">
        <w:t>]</w:t>
      </w:r>
      <w:r w:rsidR="00A924E0">
        <w:t xml:space="preserve"> </w:t>
      </w:r>
      <w:r w:rsidR="00A924E0">
        <w:lastRenderedPageBreak/>
        <w:t xml:space="preserve">(Buchanan J, with </w:t>
      </w:r>
      <w:r w:rsidR="00FD0581">
        <w:t>whom Lander and Robertson JJ agreed).</w:t>
      </w:r>
      <w:r w:rsidR="009E1586">
        <w:t xml:space="preserve">  In contrast, a</w:t>
      </w:r>
      <w:r w:rsidR="000F68BD">
        <w:t xml:space="preserve"> “limited or occasional” power of delegation may not be inconsistent with an employment relationship: </w:t>
      </w:r>
      <w:r w:rsidR="00034D4F" w:rsidRPr="008E76DF">
        <w:rPr>
          <w:i/>
        </w:rPr>
        <w:t>Rea</w:t>
      </w:r>
      <w:r w:rsidR="009E1586" w:rsidRPr="008E76DF">
        <w:rPr>
          <w:i/>
        </w:rPr>
        <w:t>dy Mixed C</w:t>
      </w:r>
      <w:r w:rsidR="00034D4F" w:rsidRPr="008E76DF">
        <w:rPr>
          <w:i/>
        </w:rPr>
        <w:t>oncrete (South East) Ltd v Minister of Pensions and National Insurance</w:t>
      </w:r>
      <w:r w:rsidR="00034D4F" w:rsidRPr="008E76DF">
        <w:t xml:space="preserve"> [1968] 2 QB 497</w:t>
      </w:r>
      <w:r w:rsidR="00034D4F">
        <w:t xml:space="preserve"> at 515</w:t>
      </w:r>
      <w:r w:rsidR="00103AB0">
        <w:t xml:space="preserve"> (McKenna J)</w:t>
      </w:r>
      <w:r w:rsidR="008149DF">
        <w:t>,</w:t>
      </w:r>
      <w:r w:rsidR="00034D4F">
        <w:t xml:space="preserve"> cited </w:t>
      </w:r>
      <w:r w:rsidR="009E1586">
        <w:t xml:space="preserve">with approval </w:t>
      </w:r>
      <w:r w:rsidR="00034D4F">
        <w:t xml:space="preserve">in </w:t>
      </w:r>
      <w:r w:rsidR="00034D4F" w:rsidRPr="008E76DF">
        <w:rPr>
          <w:b/>
          <w:i/>
        </w:rPr>
        <w:t>On-Call</w:t>
      </w:r>
      <w:r w:rsidR="00034D4F" w:rsidRPr="008E76DF">
        <w:rPr>
          <w:i/>
        </w:rPr>
        <w:t xml:space="preserve"> Interpreters &amp; Translators Agency Pty Ltd v Federal </w:t>
      </w:r>
      <w:r w:rsidR="0020205F" w:rsidRPr="008E76DF">
        <w:rPr>
          <w:i/>
        </w:rPr>
        <w:t>Commissioner</w:t>
      </w:r>
      <w:r w:rsidR="00034D4F" w:rsidRPr="008E76DF">
        <w:rPr>
          <w:i/>
        </w:rPr>
        <w:t xml:space="preserve"> of Taxation (No 3)</w:t>
      </w:r>
      <w:r w:rsidR="00034D4F" w:rsidRPr="008E76DF">
        <w:t xml:space="preserve"> </w:t>
      </w:r>
      <w:r w:rsidR="005C02D2" w:rsidRPr="008E76DF">
        <w:t xml:space="preserve">(2011) 214 FCR 82; </w:t>
      </w:r>
      <w:r w:rsidR="00034D4F" w:rsidRPr="008E76DF">
        <w:t>[2011] FCA 366</w:t>
      </w:r>
      <w:r w:rsidR="005C02D2">
        <w:t xml:space="preserve"> at [283] </w:t>
      </w:r>
      <w:r w:rsidR="009E1586">
        <w:t>(Bromberg J)</w:t>
      </w:r>
      <w:r w:rsidR="00A536C9">
        <w:t>.</w:t>
      </w:r>
      <w:r w:rsidR="000F68BD">
        <w:t xml:space="preserve">  </w:t>
      </w:r>
      <w:r w:rsidR="00416DCE">
        <w:t xml:space="preserve">  </w:t>
      </w:r>
    </w:p>
    <w:p w14:paraId="269FA424" w14:textId="12D18128" w:rsidR="00F12B15" w:rsidRDefault="00416DCE" w:rsidP="00A153B9">
      <w:pPr>
        <w:pStyle w:val="ParaNumbering"/>
      </w:pPr>
      <w:r>
        <w:t xml:space="preserve">When </w:t>
      </w:r>
      <w:r w:rsidR="000F68BD">
        <w:t xml:space="preserve">clause 5 </w:t>
      </w:r>
      <w:r w:rsidR="009E1586">
        <w:t xml:space="preserve">of the Memoranda </w:t>
      </w:r>
      <w:r w:rsidR="000F68BD">
        <w:t xml:space="preserve">is </w:t>
      </w:r>
      <w:r>
        <w:t>rea</w:t>
      </w:r>
      <w:r w:rsidR="000F68BD">
        <w:t xml:space="preserve">d in context, </w:t>
      </w:r>
      <w:r>
        <w:t xml:space="preserve">it is tolerably clear that </w:t>
      </w:r>
      <w:r w:rsidR="000F68BD">
        <w:t xml:space="preserve">Mr Harrison’s right </w:t>
      </w:r>
      <w:r>
        <w:t xml:space="preserve">to sub-contract or assign </w:t>
      </w:r>
      <w:r w:rsidR="00496CD7">
        <w:t xml:space="preserve">the provision of his teaching services </w:t>
      </w:r>
      <w:r>
        <w:t>in clause 5 of the contract was far from unlimited.  Indeed, its scope</w:t>
      </w:r>
      <w:r w:rsidR="00F12B15">
        <w:t xml:space="preserve"> and potential operation was very limited.</w:t>
      </w:r>
      <w:r w:rsidR="009B1FF3">
        <w:t xml:space="preserve">  Critically, Mr Harrison could o</w:t>
      </w:r>
      <w:r w:rsidR="006B7AA1">
        <w:t xml:space="preserve">nly sub-contract or assign the </w:t>
      </w:r>
      <w:r w:rsidR="009B1FF3">
        <w:t>services if he obtained the written consent of JMC’s representative.</w:t>
      </w:r>
      <w:r w:rsidR="00550B1F">
        <w:t xml:space="preserve"> He could not unilaterally </w:t>
      </w:r>
      <w:r w:rsidR="000B4280">
        <w:t xml:space="preserve">decide to </w:t>
      </w:r>
      <w:r w:rsidR="00550B1F">
        <w:t xml:space="preserve">sub-contract or assign the services. </w:t>
      </w:r>
      <w:r w:rsidR="009B1FF3">
        <w:t xml:space="preserve"> </w:t>
      </w:r>
    </w:p>
    <w:p w14:paraId="5568B133" w14:textId="398EF480" w:rsidR="00A4201D" w:rsidRDefault="00F12B15" w:rsidP="003C7B92">
      <w:pPr>
        <w:pStyle w:val="ParaNumbering"/>
      </w:pPr>
      <w:r>
        <w:t>A number of the recitals a</w:t>
      </w:r>
      <w:r w:rsidR="009E1586">
        <w:t xml:space="preserve">nd operative </w:t>
      </w:r>
      <w:r w:rsidR="00496CD7">
        <w:t xml:space="preserve">clauses </w:t>
      </w:r>
      <w:r w:rsidR="009E1586">
        <w:t>of the M</w:t>
      </w:r>
      <w:r>
        <w:t>emoranda make it abundantly clear that the default or expected position was that Mr Harrison would himself personally provide the teaching services which he had been retained to provide.</w:t>
      </w:r>
      <w:r w:rsidR="000B6DDC">
        <w:t xml:space="preserve">  Recitals 2 and 3 make it clear that JMC had retained Mr Harrison to provide the relevant teaching services on the basis of representations made by him concerning his </w:t>
      </w:r>
      <w:r w:rsidR="00E34F09">
        <w:t xml:space="preserve">own </w:t>
      </w:r>
      <w:r w:rsidR="000B6DDC">
        <w:t>qualifications, experience, skills and capacity to provide the teaching services in accordance with JMC’s TEQSA registration and course accreditation</w:t>
      </w:r>
      <w:r w:rsidR="00496CD7">
        <w:t xml:space="preserve"> </w:t>
      </w:r>
      <w:r w:rsidR="00A676B2">
        <w:t>obligations</w:t>
      </w:r>
      <w:r w:rsidR="000B6DDC">
        <w:t>.</w:t>
      </w:r>
      <w:r w:rsidR="00A536C9">
        <w:t xml:space="preserve">  </w:t>
      </w:r>
      <w:r w:rsidR="00226D01">
        <w:t xml:space="preserve">Clause 1 obliged Mr Harrison to provide JMC with documentary evidence establishing that there was no </w:t>
      </w:r>
      <w:r w:rsidR="00C26797">
        <w:t xml:space="preserve">legislative </w:t>
      </w:r>
      <w:r w:rsidR="00226D01">
        <w:t>impediment to him providing the teaching service</w:t>
      </w:r>
      <w:r w:rsidR="00496CD7">
        <w:t>s</w:t>
      </w:r>
      <w:r w:rsidR="00095CB0">
        <w:t xml:space="preserve"> to children or young persons</w:t>
      </w:r>
      <w:r w:rsidR="00226D01">
        <w:t xml:space="preserve">.  </w:t>
      </w:r>
      <w:r w:rsidR="002F6043">
        <w:t>Claus</w:t>
      </w:r>
      <w:r w:rsidR="00226D01">
        <w:t>e 3 obliged</w:t>
      </w:r>
      <w:r w:rsidR="00E904ED">
        <w:t xml:space="preserve"> Mr</w:t>
      </w:r>
      <w:r w:rsidR="002F6043">
        <w:t xml:space="preserve"> </w:t>
      </w:r>
      <w:r w:rsidR="00E904ED">
        <w:t>Harrison</w:t>
      </w:r>
      <w:r w:rsidR="002F6043">
        <w:t xml:space="preserve"> to provide JMC with “original documents” </w:t>
      </w:r>
      <w:r w:rsidR="00E904ED">
        <w:t xml:space="preserve">which established that he was “qualified, </w:t>
      </w:r>
      <w:r w:rsidR="00A4201D">
        <w:t xml:space="preserve">capable </w:t>
      </w:r>
      <w:r w:rsidR="00E904ED">
        <w:t xml:space="preserve">and suitably experienced to provide the services”.  </w:t>
      </w:r>
      <w:r w:rsidR="00A536C9">
        <w:t xml:space="preserve">Clause 4 expressly provided that Mr Harrison was required to “personally” provide the teaching services to JMC “in a manner consistent with the representations </w:t>
      </w:r>
      <w:r w:rsidR="00996CC9">
        <w:t xml:space="preserve">set out </w:t>
      </w:r>
      <w:r w:rsidR="00A536C9">
        <w:t>in Recital 2”.</w:t>
      </w:r>
      <w:r w:rsidR="003C7B92" w:rsidRPr="003C7B92">
        <w:t xml:space="preserve"> </w:t>
      </w:r>
      <w:r w:rsidR="003C7B92">
        <w:t xml:space="preserve"> </w:t>
      </w:r>
      <w:r w:rsidR="003C7B92" w:rsidRPr="003C7B92">
        <w:t>While</w:t>
      </w:r>
      <w:r w:rsidR="00496CD7">
        <w:t>,</w:t>
      </w:r>
      <w:r w:rsidR="003C7B92" w:rsidRPr="003C7B92">
        <w:t xml:space="preserve"> strictly speaking</w:t>
      </w:r>
      <w:r w:rsidR="00496CD7">
        <w:t>,</w:t>
      </w:r>
      <w:r w:rsidR="003C7B92" w:rsidRPr="003C7B92">
        <w:t xml:space="preserve"> Mr Harrison could</w:t>
      </w:r>
      <w:r w:rsidR="003F2508">
        <w:t>, with JMC’s written consent,</w:t>
      </w:r>
      <w:r w:rsidR="003C7B92" w:rsidRPr="003C7B92">
        <w:t xml:space="preserve"> sub-contract or assign to a </w:t>
      </w:r>
      <w:r w:rsidR="00496CD7" w:rsidRPr="003C7B92">
        <w:t>co</w:t>
      </w:r>
      <w:r w:rsidR="00496CD7">
        <w:t>rporation</w:t>
      </w:r>
      <w:r w:rsidR="003C7B92" w:rsidRPr="003C7B92">
        <w:t xml:space="preserve">, ultimately there had to be an individual who would </w:t>
      </w:r>
      <w:r w:rsidR="003C7B92">
        <w:t xml:space="preserve">personally </w:t>
      </w:r>
      <w:r w:rsidR="003C7B92" w:rsidRPr="003C7B92">
        <w:t>deliver the lectures and mark the assessments.</w:t>
      </w:r>
      <w:r w:rsidR="00E26D53">
        <w:t xml:space="preserve"> A corporation cannot deliver a lecture</w:t>
      </w:r>
      <w:r w:rsidR="00781BCF">
        <w:t xml:space="preserve"> other than through an individual officer, servant or agent</w:t>
      </w:r>
      <w:r w:rsidR="00E26D53">
        <w:t>.</w:t>
      </w:r>
      <w:r w:rsidR="003C7B92" w:rsidRPr="003C7B92">
        <w:t xml:space="preserve">  </w:t>
      </w:r>
      <w:r w:rsidR="00A536C9">
        <w:t xml:space="preserve"> </w:t>
      </w:r>
      <w:r w:rsidR="00A4201D">
        <w:t xml:space="preserve">  </w:t>
      </w:r>
    </w:p>
    <w:p w14:paraId="2C62CD3E" w14:textId="6B5BF144" w:rsidR="00C17F8D" w:rsidRDefault="00A4201D" w:rsidP="00E26D53">
      <w:pPr>
        <w:pStyle w:val="ParaNumbering"/>
      </w:pPr>
      <w:r>
        <w:t xml:space="preserve">It is abundantly clear from those recitals and operative </w:t>
      </w:r>
      <w:r w:rsidR="00501266">
        <w:t>clauses</w:t>
      </w:r>
      <w:r>
        <w:t xml:space="preserve"> that Mr Harrison could </w:t>
      </w:r>
      <w:r w:rsidR="007E7F8E">
        <w:t xml:space="preserve">or would </w:t>
      </w:r>
      <w:r>
        <w:t xml:space="preserve">only be permitted to sub-contract or assign the services to </w:t>
      </w:r>
      <w:r w:rsidR="0068021C">
        <w:t>another person</w:t>
      </w:r>
      <w:r w:rsidR="00496CD7">
        <w:t xml:space="preserve"> or corporation</w:t>
      </w:r>
      <w:r w:rsidR="0068021C">
        <w:t xml:space="preserve"> </w:t>
      </w:r>
      <w:r w:rsidR="003041F8">
        <w:t xml:space="preserve">if </w:t>
      </w:r>
      <w:r w:rsidR="00C26797">
        <w:t>th</w:t>
      </w:r>
      <w:r w:rsidR="00F30D68">
        <w:t>e</w:t>
      </w:r>
      <w:r w:rsidR="00C26797">
        <w:t xml:space="preserve"> person </w:t>
      </w:r>
      <w:r w:rsidR="00F30D68" w:rsidRPr="00F30D68">
        <w:t xml:space="preserve">who was to personally provide the sub-contracted or assigned teaching services </w:t>
      </w:r>
      <w:r w:rsidR="00B104D1">
        <w:t>was not prevented by legislation from providing those services to children and young persons</w:t>
      </w:r>
      <w:r w:rsidR="00781BCF">
        <w:t>,</w:t>
      </w:r>
      <w:r w:rsidR="00C26797">
        <w:t xml:space="preserve"> and </w:t>
      </w:r>
      <w:r w:rsidR="003041F8">
        <w:t xml:space="preserve">that </w:t>
      </w:r>
      <w:r w:rsidR="00A676B2">
        <w:t xml:space="preserve">the </w:t>
      </w:r>
      <w:r w:rsidR="003041F8">
        <w:t xml:space="preserve">person had the </w:t>
      </w:r>
      <w:r w:rsidR="00496CD7">
        <w:t xml:space="preserve">requisite </w:t>
      </w:r>
      <w:r w:rsidR="003041F8" w:rsidRPr="003041F8">
        <w:t xml:space="preserve">qualifications, experience, skills and capacity to provide the </w:t>
      </w:r>
      <w:r w:rsidR="003041F8">
        <w:lastRenderedPageBreak/>
        <w:t xml:space="preserve">relevant </w:t>
      </w:r>
      <w:r w:rsidR="003041F8" w:rsidRPr="003041F8">
        <w:t>teaching services in accordance with JMC’s TEQSA registration and course accreditation</w:t>
      </w:r>
      <w:r w:rsidR="00496CD7">
        <w:t xml:space="preserve"> obligations</w:t>
      </w:r>
      <w:r w:rsidR="003041F8">
        <w:t xml:space="preserve">.  </w:t>
      </w:r>
      <w:r w:rsidR="001F3C87">
        <w:t>Mr Harrison, or the</w:t>
      </w:r>
      <w:r w:rsidR="003041F8">
        <w:t xml:space="preserve"> person</w:t>
      </w:r>
      <w:r w:rsidR="001F3C87">
        <w:t xml:space="preserve"> </w:t>
      </w:r>
      <w:r w:rsidR="00916F63" w:rsidRPr="00916F63">
        <w:t>who was to personally provide the sub-contracted or assigned teaching services</w:t>
      </w:r>
      <w:r w:rsidR="003041F8">
        <w:t>, would also have to be able to provide JMC with original documents that demonstrated that to be the case.</w:t>
      </w:r>
      <w:r w:rsidR="00BC05E5">
        <w:t xml:space="preserve">  JMC </w:t>
      </w:r>
      <w:r w:rsidR="003C7B92">
        <w:t xml:space="preserve">was </w:t>
      </w:r>
      <w:r w:rsidR="00BC05E5">
        <w:t>able to, and would</w:t>
      </w:r>
      <w:r w:rsidR="00FA4A23">
        <w:t xml:space="preserve"> in all the circumstances effectively be required to</w:t>
      </w:r>
      <w:r w:rsidR="00BC05E5">
        <w:t xml:space="preserve">, refuse to consent to </w:t>
      </w:r>
      <w:r w:rsidR="003C7B92">
        <w:t xml:space="preserve">any proposed sub-contract or assignment </w:t>
      </w:r>
      <w:r w:rsidR="00FA4A23">
        <w:t xml:space="preserve">if </w:t>
      </w:r>
      <w:r w:rsidR="00C17F8D">
        <w:t xml:space="preserve">Mr Harrison, or the person </w:t>
      </w:r>
      <w:r w:rsidR="00E26D53" w:rsidRPr="00E26D53">
        <w:t>who was to personally provide the sub-contracted or assigned teaching services</w:t>
      </w:r>
      <w:r w:rsidR="00C17F8D">
        <w:t xml:space="preserve">, was </w:t>
      </w:r>
      <w:r w:rsidR="00FA4A23">
        <w:t>un</w:t>
      </w:r>
      <w:r w:rsidR="00C17F8D">
        <w:t xml:space="preserve">able to demonstrate that </w:t>
      </w:r>
      <w:r w:rsidR="00A676B2">
        <w:t>they</w:t>
      </w:r>
      <w:r w:rsidR="00C17F8D">
        <w:t xml:space="preserve"> had the necessary qualifications, skills</w:t>
      </w:r>
      <w:r w:rsidR="0059642F">
        <w:t xml:space="preserve">, </w:t>
      </w:r>
      <w:r w:rsidR="00C17F8D">
        <w:t>experience</w:t>
      </w:r>
      <w:r w:rsidR="0059642F">
        <w:t xml:space="preserve"> and capacity</w:t>
      </w:r>
      <w:r w:rsidR="00FA4A23">
        <w:t xml:space="preserve"> to meet JMC’s TEQSA registration and accreditation obligations</w:t>
      </w:r>
      <w:r w:rsidR="00C17F8D">
        <w:t>.</w:t>
      </w:r>
    </w:p>
    <w:p w14:paraId="65688396" w14:textId="2BCE2ED7" w:rsidR="00D72689" w:rsidRDefault="001B3AE2" w:rsidP="0078564D">
      <w:pPr>
        <w:pStyle w:val="ParaNumbering"/>
      </w:pPr>
      <w:r>
        <w:t xml:space="preserve">That </w:t>
      </w:r>
      <w:r w:rsidR="00E44E94">
        <w:t xml:space="preserve">effective </w:t>
      </w:r>
      <w:r>
        <w:t>precondition to any sub-contracting or assignment of the teaching service</w:t>
      </w:r>
      <w:r w:rsidR="0059642F">
        <w:t>s</w:t>
      </w:r>
      <w:r>
        <w:t xml:space="preserve"> was effectively confirmed by the terms of the emails </w:t>
      </w:r>
      <w:r w:rsidR="007E7F8E">
        <w:t xml:space="preserve">that </w:t>
      </w:r>
      <w:r>
        <w:t xml:space="preserve">JMC </w:t>
      </w:r>
      <w:r w:rsidR="007E7F8E">
        <w:t xml:space="preserve">sent to Mr Harrison when it </w:t>
      </w:r>
      <w:r>
        <w:t xml:space="preserve">offered to retain </w:t>
      </w:r>
      <w:r w:rsidR="007E7F8E">
        <w:t>his services</w:t>
      </w:r>
      <w:r>
        <w:t xml:space="preserve"> during </w:t>
      </w:r>
      <w:r w:rsidR="003319B5">
        <w:t xml:space="preserve">the </w:t>
      </w:r>
      <w:r>
        <w:t xml:space="preserve">trimesters </w:t>
      </w:r>
      <w:r w:rsidR="003319B5">
        <w:t xml:space="preserve">that were </w:t>
      </w:r>
      <w:r>
        <w:t xml:space="preserve">not </w:t>
      </w:r>
      <w:r w:rsidR="003319B5">
        <w:t xml:space="preserve">specifically </w:t>
      </w:r>
      <w:r>
        <w:t>covered by the terms of the</w:t>
      </w:r>
      <w:r w:rsidR="00AC5F83">
        <w:t xml:space="preserve"> Memoranda</w:t>
      </w:r>
      <w:r>
        <w:t xml:space="preserve">.  Those emails </w:t>
      </w:r>
      <w:r w:rsidR="00EE3A33">
        <w:t xml:space="preserve">invariably </w:t>
      </w:r>
      <w:r>
        <w:t xml:space="preserve">contained a request, or demand, by JMC that Mr Harrison </w:t>
      </w:r>
      <w:r w:rsidR="00DB433E">
        <w:t xml:space="preserve">tell </w:t>
      </w:r>
      <w:r w:rsidR="0078564D">
        <w:t xml:space="preserve">JMC </w:t>
      </w:r>
      <w:r w:rsidR="00DB433E">
        <w:t xml:space="preserve">if he proposed to sub-contract the services to another so </w:t>
      </w:r>
      <w:r w:rsidR="0059642F">
        <w:t xml:space="preserve">that </w:t>
      </w:r>
      <w:r w:rsidR="00DB433E">
        <w:t>JMC was able to assess the “</w:t>
      </w:r>
      <w:r w:rsidR="0078564D" w:rsidRPr="0078564D">
        <w:t>credentials</w:t>
      </w:r>
      <w:r w:rsidR="00DB433E">
        <w:t>”</w:t>
      </w:r>
      <w:r w:rsidR="0078564D" w:rsidRPr="0078564D">
        <w:t xml:space="preserve"> </w:t>
      </w:r>
      <w:r w:rsidR="00DB433E">
        <w:t xml:space="preserve">of that person </w:t>
      </w:r>
      <w:r w:rsidR="0078564D" w:rsidRPr="0078564D">
        <w:t>p</w:t>
      </w:r>
      <w:r w:rsidR="00BB2310">
        <w:t>rior to the</w:t>
      </w:r>
      <w:r w:rsidR="0059642F">
        <w:t xml:space="preserve"> commencement of the</w:t>
      </w:r>
      <w:r w:rsidR="00BB2310">
        <w:t xml:space="preserve"> </w:t>
      </w:r>
      <w:r w:rsidR="00AC5F83">
        <w:t xml:space="preserve">relevant </w:t>
      </w:r>
      <w:r w:rsidR="00BB2310">
        <w:t xml:space="preserve">trimester.  </w:t>
      </w:r>
    </w:p>
    <w:p w14:paraId="758CF6F1" w14:textId="5DBD4006" w:rsidR="00CF6552" w:rsidRDefault="00996CC9" w:rsidP="0078564D">
      <w:pPr>
        <w:pStyle w:val="ParaNumbering"/>
      </w:pPr>
      <w:r>
        <w:t>The Commissioner</w:t>
      </w:r>
      <w:r w:rsidR="00BB2310">
        <w:t xml:space="preserve"> </w:t>
      </w:r>
      <w:r w:rsidR="007E4F9E">
        <w:t xml:space="preserve">contended </w:t>
      </w:r>
      <w:r w:rsidR="00BB2310">
        <w:t xml:space="preserve">that the </w:t>
      </w:r>
      <w:r w:rsidR="00D16F67">
        <w:t xml:space="preserve">effect of the relevant </w:t>
      </w:r>
      <w:r w:rsidR="00BB2310">
        <w:t>email</w:t>
      </w:r>
      <w:r w:rsidR="00D16F67">
        <w:t xml:space="preserve"> exchanges between JMC and Mr Harrison was to </w:t>
      </w:r>
      <w:r w:rsidR="003D11B7">
        <w:t xml:space="preserve">vary, or </w:t>
      </w:r>
      <w:r w:rsidR="00D16F67">
        <w:t>add an additional term to</w:t>
      </w:r>
      <w:r w:rsidR="003D11B7">
        <w:t xml:space="preserve">, the contracts in relation to Mr Harrison’s ability to </w:t>
      </w:r>
      <w:r w:rsidR="001C4AA8">
        <w:t xml:space="preserve">sub-contract or assign the provision of the teaching services </w:t>
      </w:r>
      <w:r w:rsidR="006D12B9">
        <w:t xml:space="preserve">otherwise </w:t>
      </w:r>
      <w:r w:rsidR="001C4AA8">
        <w:t>required of him</w:t>
      </w:r>
      <w:r w:rsidR="00AC5F83">
        <w:t xml:space="preserve">.  The general effect of the </w:t>
      </w:r>
      <w:r w:rsidR="006D12B9">
        <w:t xml:space="preserve">alleged </w:t>
      </w:r>
      <w:r w:rsidR="00AC5F83">
        <w:t>variation</w:t>
      </w:r>
      <w:r w:rsidR="0059642F">
        <w:t xml:space="preserve"> </w:t>
      </w:r>
      <w:r w:rsidR="003D11B7">
        <w:t xml:space="preserve">or additional term </w:t>
      </w:r>
      <w:r w:rsidR="00AC5F83">
        <w:t xml:space="preserve">was </w:t>
      </w:r>
      <w:r w:rsidR="00BB2310">
        <w:t>that</w:t>
      </w:r>
      <w:r w:rsidR="006D12B9">
        <w:t>,</w:t>
      </w:r>
      <w:r w:rsidR="00BB2310">
        <w:t xml:space="preserve"> </w:t>
      </w:r>
      <w:r w:rsidR="005022EA">
        <w:t xml:space="preserve">if </w:t>
      </w:r>
      <w:r w:rsidR="00BB2310">
        <w:t xml:space="preserve">Mr Harrison </w:t>
      </w:r>
      <w:r w:rsidR="005022EA">
        <w:t xml:space="preserve">wanted to </w:t>
      </w:r>
      <w:r w:rsidR="00BB2310">
        <w:t>sub-contract or assign the teaching services to another person</w:t>
      </w:r>
      <w:r w:rsidR="005022EA">
        <w:t>, he was required to give</w:t>
      </w:r>
      <w:r w:rsidR="00BB2310">
        <w:t xml:space="preserve"> </w:t>
      </w:r>
      <w:r w:rsidR="006C20CD">
        <w:t xml:space="preserve">JMC </w:t>
      </w:r>
      <w:r w:rsidR="00BB2310">
        <w:t xml:space="preserve">notice </w:t>
      </w:r>
      <w:r w:rsidR="006C20CD">
        <w:t xml:space="preserve">of his intention to sub-contract or assign </w:t>
      </w:r>
      <w:r w:rsidR="00BB2310">
        <w:t xml:space="preserve">prior to the </w:t>
      </w:r>
      <w:r w:rsidR="006C20CD">
        <w:t xml:space="preserve">commencement of the relevant </w:t>
      </w:r>
      <w:r w:rsidR="00BB2310">
        <w:t>trimester</w:t>
      </w:r>
      <w:r w:rsidR="00D72689">
        <w:t>.</w:t>
      </w:r>
      <w:r w:rsidR="00C649AA">
        <w:t xml:space="preserve">  The Commissioner also contended, in the alternative, that the effect of the relevant email exchanges was such that</w:t>
      </w:r>
      <w:r w:rsidR="002C4805">
        <w:t xml:space="preserve"> Mr Harrison would have been estopped </w:t>
      </w:r>
      <w:r w:rsidR="00D72689">
        <w:t xml:space="preserve">from </w:t>
      </w:r>
      <w:r w:rsidR="008323FF">
        <w:t>seeking to sub-contract or assign the te</w:t>
      </w:r>
      <w:r w:rsidR="00A676B2">
        <w:t>aching services to another person</w:t>
      </w:r>
      <w:r w:rsidR="002C4805">
        <w:t>, or would have been regarded as having waived the right to sub-contract or assign the teaching services,</w:t>
      </w:r>
      <w:r w:rsidR="008323FF">
        <w:t xml:space="preserve"> if he had not given JMC notice of </w:t>
      </w:r>
      <w:r w:rsidR="00CF6552">
        <w:t xml:space="preserve">his intention to do </w:t>
      </w:r>
      <w:r w:rsidR="0059642F">
        <w:t xml:space="preserve">so </w:t>
      </w:r>
      <w:r w:rsidR="008323FF">
        <w:t xml:space="preserve">prior to the commencement of the </w:t>
      </w:r>
      <w:r w:rsidR="00CF6552">
        <w:t xml:space="preserve">relevant </w:t>
      </w:r>
      <w:r w:rsidR="008323FF">
        <w:t>trimester.</w:t>
      </w:r>
      <w:r w:rsidR="007E4F9E">
        <w:t xml:space="preserve"> </w:t>
      </w:r>
    </w:p>
    <w:p w14:paraId="3BEA7981" w14:textId="4BCB24ED" w:rsidR="00F450A0" w:rsidRDefault="007E4F9E" w:rsidP="001010EE">
      <w:pPr>
        <w:pStyle w:val="ParaNumbering"/>
      </w:pPr>
      <w:r>
        <w:t xml:space="preserve">In </w:t>
      </w:r>
      <w:r w:rsidR="00C25B40">
        <w:t>the Commissioner’s</w:t>
      </w:r>
      <w:r>
        <w:t xml:space="preserve"> submission, the evidence adduced at trial supported his contention that the contracts had been </w:t>
      </w:r>
      <w:r w:rsidR="00984D46">
        <w:t xml:space="preserve">added to or </w:t>
      </w:r>
      <w:r>
        <w:t xml:space="preserve">varied, or that </w:t>
      </w:r>
      <w:r w:rsidR="00F20905">
        <w:t xml:space="preserve">he was effectively estopped </w:t>
      </w:r>
      <w:r w:rsidR="00016809">
        <w:t xml:space="preserve">or otherwise prevented </w:t>
      </w:r>
      <w:r w:rsidR="00F20905">
        <w:t>from sub-contract</w:t>
      </w:r>
      <w:r w:rsidR="00CF6552">
        <w:t>ing</w:t>
      </w:r>
      <w:r w:rsidR="00F20905">
        <w:t xml:space="preserve"> or assign</w:t>
      </w:r>
      <w:r w:rsidR="00CF6552">
        <w:t>ing</w:t>
      </w:r>
      <w:r w:rsidR="00F20905">
        <w:t xml:space="preserve"> the teaching services if </w:t>
      </w:r>
      <w:r w:rsidR="00CF6552">
        <w:t xml:space="preserve">he had not given </w:t>
      </w:r>
      <w:r w:rsidR="0059642F">
        <w:t xml:space="preserve">JMC </w:t>
      </w:r>
      <w:r w:rsidR="00CF6552">
        <w:t xml:space="preserve">notice of his intention to sub-contract or assign prior to the commencement of the trimester.  </w:t>
      </w:r>
      <w:r w:rsidR="00EE3A33">
        <w:t>T</w:t>
      </w:r>
      <w:r w:rsidR="00C26797">
        <w:t>he</w:t>
      </w:r>
      <w:r w:rsidR="00EE3A33">
        <w:t xml:space="preserve"> evidence </w:t>
      </w:r>
      <w:r w:rsidR="00C26797">
        <w:t xml:space="preserve">relied on by </w:t>
      </w:r>
      <w:r w:rsidR="00C25B40">
        <w:t>the Commissioner</w:t>
      </w:r>
      <w:r w:rsidR="00C26797">
        <w:t xml:space="preserve"> in that regard </w:t>
      </w:r>
      <w:r w:rsidR="00EE3A33">
        <w:t xml:space="preserve">established, in summary, that </w:t>
      </w:r>
      <w:r w:rsidR="006F1E64">
        <w:t>Mr Harrison had never sought to sub</w:t>
      </w:r>
      <w:r w:rsidR="004F6E56">
        <w:t>-</w:t>
      </w:r>
      <w:r w:rsidR="006F1E64">
        <w:t xml:space="preserve">contract or assign the teaching of a </w:t>
      </w:r>
      <w:r w:rsidR="0059642F">
        <w:t xml:space="preserve">unit </w:t>
      </w:r>
      <w:r w:rsidR="00983B38">
        <w:t>pursuant to clause 5</w:t>
      </w:r>
      <w:r w:rsidR="00F421D6">
        <w:t xml:space="preserve"> </w:t>
      </w:r>
      <w:r w:rsidR="00F421D6">
        <w:lastRenderedPageBreak/>
        <w:t>of the Memoranda</w:t>
      </w:r>
      <w:r w:rsidR="00983B38">
        <w:t>.  It necessarily followed that JMC had never consented to any sub-contracting or assignment by Mr Harrison</w:t>
      </w:r>
      <w:r w:rsidR="0057426A">
        <w:t xml:space="preserve">.  There </w:t>
      </w:r>
      <w:r w:rsidR="00613D4F">
        <w:t xml:space="preserve">were only </w:t>
      </w:r>
      <w:r w:rsidR="00F421D6">
        <w:t xml:space="preserve">a few </w:t>
      </w:r>
      <w:r w:rsidR="00613D4F">
        <w:t xml:space="preserve">disparate </w:t>
      </w:r>
      <w:r w:rsidR="00F421D6">
        <w:t>occasions where</w:t>
      </w:r>
      <w:r w:rsidR="0057426A">
        <w:t xml:space="preserve"> a substitute lecturer </w:t>
      </w:r>
      <w:r w:rsidR="00F421D6">
        <w:t xml:space="preserve">had </w:t>
      </w:r>
      <w:r w:rsidR="0057426A">
        <w:t>filled in for Mr</w:t>
      </w:r>
      <w:r w:rsidR="00BB2E60">
        <w:t> </w:t>
      </w:r>
      <w:r w:rsidR="0057426A">
        <w:t xml:space="preserve">Harrison.  That </w:t>
      </w:r>
      <w:r w:rsidR="00613D4F">
        <w:t xml:space="preserve">generally </w:t>
      </w:r>
      <w:r w:rsidR="0057426A">
        <w:t>occurred when</w:t>
      </w:r>
      <w:r w:rsidR="00781C08">
        <w:t xml:space="preserve"> Mr Harrison was unable t</w:t>
      </w:r>
      <w:r w:rsidR="00F421D6">
        <w:t xml:space="preserve">o work on </w:t>
      </w:r>
      <w:r w:rsidR="0059642F">
        <w:t xml:space="preserve">a </w:t>
      </w:r>
      <w:r w:rsidR="00781C08">
        <w:t>day</w:t>
      </w:r>
      <w:r w:rsidR="00F421D6">
        <w:t xml:space="preserve"> </w:t>
      </w:r>
      <w:r w:rsidR="00A676B2">
        <w:t xml:space="preserve">that </w:t>
      </w:r>
      <w:r w:rsidR="00F421D6">
        <w:t>he would otherwise have been required to deliver a lecture</w:t>
      </w:r>
      <w:r w:rsidR="00781C08">
        <w:t xml:space="preserve">.  </w:t>
      </w:r>
      <w:r w:rsidR="00984D46">
        <w:t>O</w:t>
      </w:r>
      <w:r w:rsidR="00F421D6">
        <w:t>n</w:t>
      </w:r>
      <w:r w:rsidR="00613D4F">
        <w:t xml:space="preserve"> all but one of those occasions</w:t>
      </w:r>
      <w:r w:rsidR="00F421D6">
        <w:t xml:space="preserve">, </w:t>
      </w:r>
      <w:r w:rsidR="00781C08">
        <w:t>JMC arranged for and paid the substitute lecturer</w:t>
      </w:r>
      <w:r w:rsidR="00A676B2">
        <w:t xml:space="preserve"> directly</w:t>
      </w:r>
      <w:r w:rsidR="00781C08">
        <w:t xml:space="preserve">.  </w:t>
      </w:r>
      <w:r w:rsidR="00E44E94">
        <w:t>Those isolated substitutions</w:t>
      </w:r>
      <w:r w:rsidR="00FB0493">
        <w:t xml:space="preserve"> </w:t>
      </w:r>
      <w:r w:rsidR="00781C08">
        <w:t>did not</w:t>
      </w:r>
      <w:r w:rsidR="00FB0493">
        <w:t>, in all the circumstances,</w:t>
      </w:r>
      <w:r w:rsidR="00781C08">
        <w:t xml:space="preserve"> constitute sub-contracting or assignment under clause 5.  </w:t>
      </w:r>
      <w:r w:rsidR="0001308F">
        <w:t>The Commissioner</w:t>
      </w:r>
      <w:r w:rsidR="00F450A0">
        <w:t xml:space="preserve"> also relied on evidence in relation to JMC’s </w:t>
      </w:r>
      <w:r w:rsidR="00FB0493">
        <w:t xml:space="preserve">general </w:t>
      </w:r>
      <w:r w:rsidR="00F450A0">
        <w:t xml:space="preserve">practices and experience in relation to </w:t>
      </w:r>
      <w:r w:rsidR="007B1918">
        <w:t xml:space="preserve">substitution of </w:t>
      </w:r>
      <w:r w:rsidR="00F450A0">
        <w:t>casual or sessional lecturers</w:t>
      </w:r>
      <w:r w:rsidR="007B1918">
        <w:t xml:space="preserve"> other than Mr Harrison</w:t>
      </w:r>
      <w:r w:rsidR="00F450A0">
        <w:t>.</w:t>
      </w:r>
    </w:p>
    <w:p w14:paraId="2D4430BE" w14:textId="490419FC" w:rsidR="00A33091" w:rsidRDefault="00F450A0" w:rsidP="00FE2AB5">
      <w:pPr>
        <w:pStyle w:val="ParaNumbering"/>
      </w:pPr>
      <w:r>
        <w:t xml:space="preserve">It is at best doubtful that the evidence relied on by </w:t>
      </w:r>
      <w:r w:rsidR="007D1704">
        <w:t>the Commissioner</w:t>
      </w:r>
      <w:r>
        <w:t xml:space="preserve"> was capable of supporting his argument concerning the variation of his contracts with JMC insofar as the operation of clause 5 of the </w:t>
      </w:r>
      <w:r w:rsidR="00D85F6A">
        <w:t>M</w:t>
      </w:r>
      <w:r>
        <w:t xml:space="preserve">emoranda was concerned.  It is even more doubtful that the evidence supported </w:t>
      </w:r>
      <w:r w:rsidR="007D1704">
        <w:t>the Commissioner</w:t>
      </w:r>
      <w:r>
        <w:t xml:space="preserve">’s estoppel </w:t>
      </w:r>
      <w:r w:rsidR="007B1918">
        <w:t xml:space="preserve">and waiver </w:t>
      </w:r>
      <w:r>
        <w:t>argument</w:t>
      </w:r>
      <w:r w:rsidR="007B1918">
        <w:t>s</w:t>
      </w:r>
      <w:r>
        <w:t xml:space="preserve">. </w:t>
      </w:r>
      <w:r w:rsidR="00D85F6A">
        <w:t>The evidence</w:t>
      </w:r>
      <w:r w:rsidR="002D609F">
        <w:t xml:space="preserve"> really </w:t>
      </w:r>
      <w:r w:rsidR="00FE2AB5" w:rsidRPr="00FE2AB5">
        <w:t xml:space="preserve">only </w:t>
      </w:r>
      <w:r w:rsidR="00C34EC2">
        <w:t xml:space="preserve">established </w:t>
      </w:r>
      <w:r w:rsidR="002D609F">
        <w:t>that</w:t>
      </w:r>
      <w:r w:rsidR="009438C0">
        <w:t xml:space="preserve"> </w:t>
      </w:r>
      <w:r w:rsidR="002D609F">
        <w:t>Mr H</w:t>
      </w:r>
      <w:r w:rsidR="00CF7302">
        <w:t>arrison had</w:t>
      </w:r>
      <w:r w:rsidR="002D609F">
        <w:t xml:space="preserve"> never </w:t>
      </w:r>
      <w:r w:rsidR="00CF7302">
        <w:t xml:space="preserve">sought </w:t>
      </w:r>
      <w:r w:rsidR="0020000C">
        <w:t xml:space="preserve">JMC’s consent to </w:t>
      </w:r>
      <w:r w:rsidR="00FE2AB5">
        <w:t xml:space="preserve">him </w:t>
      </w:r>
      <w:r w:rsidR="0020000C">
        <w:t>sub-contracting or assigning the teaching services he had otherwise</w:t>
      </w:r>
      <w:r w:rsidR="00D85F6A">
        <w:t xml:space="preserve"> been</w:t>
      </w:r>
      <w:r w:rsidR="0020000C">
        <w:t xml:space="preserve"> contracted to personally provide.</w:t>
      </w:r>
      <w:r w:rsidR="009438C0">
        <w:t xml:space="preserve">  </w:t>
      </w:r>
    </w:p>
    <w:p w14:paraId="2C0EAB90" w14:textId="6DB019D5" w:rsidR="0020000C" w:rsidRDefault="009438C0" w:rsidP="00A33091">
      <w:pPr>
        <w:pStyle w:val="ParaNumbering"/>
      </w:pPr>
      <w:r>
        <w:t xml:space="preserve">It is not at all surprising that Mr Harrison never sought to sub-contract or assign the teaching services he had contracted to provide.  It is not readily apparent why, having </w:t>
      </w:r>
      <w:r w:rsidR="007B1918">
        <w:t xml:space="preserve">agreed </w:t>
      </w:r>
      <w:r>
        <w:t xml:space="preserve">to </w:t>
      </w:r>
      <w:r w:rsidR="000F54E8">
        <w:t xml:space="preserve">personally </w:t>
      </w:r>
      <w:r>
        <w:t>provide the teaching services</w:t>
      </w:r>
      <w:r w:rsidR="000F54E8">
        <w:t xml:space="preserve"> to JMC</w:t>
      </w:r>
      <w:r>
        <w:t xml:space="preserve">, </w:t>
      </w:r>
      <w:r w:rsidR="00FA2FDB">
        <w:t>Mr Harrison would want to sub-contract or assign the provision of those services</w:t>
      </w:r>
      <w:r w:rsidR="00994FE4">
        <w:t xml:space="preserve"> to someone else</w:t>
      </w:r>
      <w:r w:rsidR="00D85F6A">
        <w:t xml:space="preserve">. </w:t>
      </w:r>
      <w:r w:rsidR="00DD6931">
        <w:t xml:space="preserve"> Why would Mr Harrison bother </w:t>
      </w:r>
      <w:r w:rsidR="000F54E8">
        <w:t xml:space="preserve">agreeing </w:t>
      </w:r>
      <w:r w:rsidR="00DD6931">
        <w:t>to provide the services to JMC</w:t>
      </w:r>
      <w:r w:rsidR="00A676B2">
        <w:t>,</w:t>
      </w:r>
      <w:r w:rsidR="00DD6931">
        <w:t xml:space="preserve"> only to </w:t>
      </w:r>
      <w:r w:rsidR="0022522A">
        <w:t xml:space="preserve">seek to </w:t>
      </w:r>
      <w:r w:rsidR="00DD6931">
        <w:t xml:space="preserve">sub-contract or assign those services to someone else, </w:t>
      </w:r>
      <w:r w:rsidR="00E04071">
        <w:t xml:space="preserve">particularly in circumstances where </w:t>
      </w:r>
      <w:r w:rsidR="001D1499">
        <w:t xml:space="preserve">there was at least a risk that </w:t>
      </w:r>
      <w:r w:rsidR="00E04071">
        <w:t xml:space="preserve">Mr Harrison might </w:t>
      </w:r>
      <w:r w:rsidR="001D1499">
        <w:t xml:space="preserve">be exposed to some liability if the person to whom the services were sub-contracted or assigned </w:t>
      </w:r>
      <w:r w:rsidR="00994FE4">
        <w:t xml:space="preserve">subsequently </w:t>
      </w:r>
      <w:r w:rsidR="001D1499">
        <w:t>failed to provide</w:t>
      </w:r>
      <w:r w:rsidR="00113876">
        <w:t>, or failed to adequately provide</w:t>
      </w:r>
      <w:r w:rsidR="004808E2">
        <w:t>,</w:t>
      </w:r>
      <w:r w:rsidR="00113876">
        <w:t xml:space="preserve"> the services that Mr </w:t>
      </w:r>
      <w:r w:rsidR="004808E2">
        <w:t>Harrison</w:t>
      </w:r>
      <w:r w:rsidR="00113876">
        <w:t xml:space="preserve"> had </w:t>
      </w:r>
      <w:r w:rsidR="004808E2">
        <w:t xml:space="preserve">agreed </w:t>
      </w:r>
      <w:r w:rsidR="00113876">
        <w:t>to provide</w:t>
      </w:r>
      <w:r w:rsidR="004808E2">
        <w:t xml:space="preserve"> to JMC</w:t>
      </w:r>
      <w:r w:rsidR="00113876">
        <w:t xml:space="preserve">? </w:t>
      </w:r>
      <w:r w:rsidR="00E04071">
        <w:t xml:space="preserve"> </w:t>
      </w:r>
      <w:r w:rsidR="00113876">
        <w:t xml:space="preserve">The likelihood of Mr Harrison </w:t>
      </w:r>
      <w:r w:rsidR="00CC240F">
        <w:t xml:space="preserve">actually </w:t>
      </w:r>
      <w:r w:rsidR="004808E2">
        <w:t xml:space="preserve">seeking </w:t>
      </w:r>
      <w:r w:rsidR="00CC240F">
        <w:t xml:space="preserve">to </w:t>
      </w:r>
      <w:r w:rsidR="00113876">
        <w:t xml:space="preserve">sub-contract or assign the </w:t>
      </w:r>
      <w:r w:rsidR="0029147C">
        <w:t>teaching</w:t>
      </w:r>
      <w:r w:rsidR="00113876">
        <w:t xml:space="preserve"> services </w:t>
      </w:r>
      <w:r w:rsidR="00CC240F">
        <w:t>was made all the more remote by the fact that he was required to secure JMC’s written consent to the sub-contracting or assignment</w:t>
      </w:r>
      <w:r w:rsidR="004808E2">
        <w:t>,</w:t>
      </w:r>
      <w:r w:rsidR="00CC240F">
        <w:t xml:space="preserve"> </w:t>
      </w:r>
      <w:r w:rsidR="00A676B2">
        <w:t>and the fact that, in order t</w:t>
      </w:r>
      <w:r w:rsidR="0029147C">
        <w:t xml:space="preserve">o secure that consent, Mr Harrison would almost certainly </w:t>
      </w:r>
      <w:r w:rsidR="004808E2">
        <w:t xml:space="preserve">have </w:t>
      </w:r>
      <w:r w:rsidR="0029147C">
        <w:t>be</w:t>
      </w:r>
      <w:r w:rsidR="004808E2">
        <w:t>en</w:t>
      </w:r>
      <w:r w:rsidR="0029147C">
        <w:t xml:space="preserve"> required to </w:t>
      </w:r>
      <w:r w:rsidR="00E431A0">
        <w:t>satisfy JMC that the person to whom the services were to b</w:t>
      </w:r>
      <w:r w:rsidR="00A33091">
        <w:t xml:space="preserve">e sub-contracted or assigned </w:t>
      </w:r>
      <w:r w:rsidR="00A33091" w:rsidRPr="00A33091">
        <w:t>had the necessary qualifications, skills</w:t>
      </w:r>
      <w:r w:rsidR="00D85F6A">
        <w:t xml:space="preserve">, </w:t>
      </w:r>
      <w:r w:rsidR="00A33091" w:rsidRPr="00A33091">
        <w:t>experience</w:t>
      </w:r>
      <w:r w:rsidR="00D85F6A">
        <w:t xml:space="preserve"> and capacity</w:t>
      </w:r>
      <w:r w:rsidR="00A33091" w:rsidRPr="00A33091">
        <w:t xml:space="preserve"> to meet JMC’s TEQSA registration and accreditation obligations.</w:t>
      </w:r>
      <w:r w:rsidR="00415731">
        <w:t xml:space="preserve">  </w:t>
      </w:r>
      <w:r w:rsidR="00E431A0">
        <w:t xml:space="preserve"> </w:t>
      </w:r>
      <w:r w:rsidR="00FA2FDB">
        <w:t xml:space="preserve"> </w:t>
      </w:r>
      <w:r w:rsidR="0020000C">
        <w:t xml:space="preserve"> </w:t>
      </w:r>
    </w:p>
    <w:p w14:paraId="49D8722D" w14:textId="3733AD92" w:rsidR="00084CDF" w:rsidRDefault="002C27C2" w:rsidP="00F27F1A">
      <w:pPr>
        <w:pStyle w:val="ParaNumbering"/>
      </w:pPr>
      <w:r>
        <w:t xml:space="preserve">Did the </w:t>
      </w:r>
      <w:r w:rsidR="000F54E8">
        <w:t xml:space="preserve">terms of the </w:t>
      </w:r>
      <w:r>
        <w:t xml:space="preserve">emails themselves </w:t>
      </w:r>
      <w:r w:rsidR="009F51F9">
        <w:t xml:space="preserve">have the effect of </w:t>
      </w:r>
      <w:r>
        <w:t>add</w:t>
      </w:r>
      <w:r w:rsidR="009F51F9">
        <w:t>ing</w:t>
      </w:r>
      <w:r>
        <w:t xml:space="preserve"> to or vary</w:t>
      </w:r>
      <w:r w:rsidR="009F51F9">
        <w:t>ing</w:t>
      </w:r>
      <w:r>
        <w:t xml:space="preserve"> the </w:t>
      </w:r>
      <w:r w:rsidR="000F54E8">
        <w:t xml:space="preserve">contractual </w:t>
      </w:r>
      <w:r w:rsidR="009F51F9">
        <w:t xml:space="preserve">terms otherwise contained in the Memoranda?  </w:t>
      </w:r>
      <w:r w:rsidR="00BB29AC">
        <w:t xml:space="preserve">JMC submitted that the emails were incapable </w:t>
      </w:r>
      <w:r w:rsidR="00BB29AC">
        <w:lastRenderedPageBreak/>
        <w:t>of supporting a</w:t>
      </w:r>
      <w:r w:rsidR="00D42401">
        <w:t xml:space="preserve"> variation of the terms of the M</w:t>
      </w:r>
      <w:r w:rsidR="00BB29AC">
        <w:t>emoranda for a number of reasons, including</w:t>
      </w:r>
      <w:r w:rsidR="001739B1">
        <w:t>: first,</w:t>
      </w:r>
      <w:r w:rsidR="00BB29AC">
        <w:t xml:space="preserve"> that some of the</w:t>
      </w:r>
      <w:r w:rsidR="00742AD4">
        <w:t xml:space="preserve"> emails only requested</w:t>
      </w:r>
      <w:r w:rsidR="001739B1">
        <w:t>, rather than required,</w:t>
      </w:r>
      <w:r w:rsidR="00742AD4">
        <w:t xml:space="preserve"> Mr Harrison to notify JMC prior to the trimester commencing</w:t>
      </w:r>
      <w:r w:rsidR="001739B1">
        <w:t>;</w:t>
      </w:r>
      <w:r w:rsidR="00F27F1A">
        <w:t xml:space="preserve"> </w:t>
      </w:r>
      <w:r w:rsidR="001739B1">
        <w:t xml:space="preserve">second, </w:t>
      </w:r>
      <w:r w:rsidR="00742AD4">
        <w:t xml:space="preserve">that the language of the emails </w:t>
      </w:r>
      <w:r w:rsidR="001739B1">
        <w:t xml:space="preserve">was not contractual </w:t>
      </w:r>
      <w:r w:rsidR="002171AE">
        <w:t xml:space="preserve">in nature </w:t>
      </w:r>
      <w:r w:rsidR="001739B1">
        <w:t xml:space="preserve">and </w:t>
      </w:r>
      <w:r w:rsidR="00742AD4">
        <w:t>generally did not suggest any inte</w:t>
      </w:r>
      <w:r w:rsidR="00D42401">
        <w:t>ntion to vary the terms of the M</w:t>
      </w:r>
      <w:r w:rsidR="00742AD4">
        <w:t>emoranda</w:t>
      </w:r>
      <w:r w:rsidR="001739B1">
        <w:t>; and third,</w:t>
      </w:r>
      <w:r w:rsidR="00742AD4">
        <w:t xml:space="preserve"> </w:t>
      </w:r>
      <w:r w:rsidR="00F27F1A">
        <w:t xml:space="preserve">that there was no indication that </w:t>
      </w:r>
      <w:r w:rsidR="00FD2D68">
        <w:t xml:space="preserve">Mr Care and Mr George, who sent the relevant emails to Mr Harrison, </w:t>
      </w:r>
      <w:r w:rsidR="00F27F1A">
        <w:t xml:space="preserve">had JMC’s authority to vary the terms of the </w:t>
      </w:r>
      <w:r w:rsidR="00D85F6A">
        <w:t>M</w:t>
      </w:r>
      <w:r w:rsidR="00F27F1A">
        <w:t xml:space="preserve">emoranda.  </w:t>
      </w:r>
    </w:p>
    <w:p w14:paraId="0FA11167" w14:textId="55C88818" w:rsidR="00F926CD" w:rsidRDefault="006D1937" w:rsidP="00333190">
      <w:pPr>
        <w:pStyle w:val="ParaNumbering"/>
      </w:pPr>
      <w:r>
        <w:t>While there is perhaps some force in JMC’s submissions concerning the emails, t</w:t>
      </w:r>
      <w:r w:rsidR="00333190" w:rsidRPr="00333190">
        <w:t>here is</w:t>
      </w:r>
      <w:r w:rsidR="00962D5A">
        <w:t xml:space="preserve"> </w:t>
      </w:r>
      <w:r>
        <w:t xml:space="preserve">equally </w:t>
      </w:r>
      <w:r w:rsidR="00333190" w:rsidRPr="00333190">
        <w:t xml:space="preserve">some merit in </w:t>
      </w:r>
      <w:r w:rsidR="007D1704">
        <w:t>the Commissioner</w:t>
      </w:r>
      <w:r w:rsidR="00333190" w:rsidRPr="00333190">
        <w:t>’s contention that</w:t>
      </w:r>
      <w:r w:rsidR="00962D5A">
        <w:t xml:space="preserve"> the </w:t>
      </w:r>
      <w:r w:rsidR="005E5BBE">
        <w:t xml:space="preserve">relevant </w:t>
      </w:r>
      <w:r w:rsidR="00962D5A">
        <w:t xml:space="preserve">emails </w:t>
      </w:r>
      <w:r w:rsidR="00333190" w:rsidRPr="00333190">
        <w:t xml:space="preserve">added to or varied </w:t>
      </w:r>
      <w:r w:rsidR="005E5BBE">
        <w:t xml:space="preserve">the terms of </w:t>
      </w:r>
      <w:r w:rsidR="00F00D85">
        <w:t>the relevant contracts</w:t>
      </w:r>
      <w:r w:rsidR="00333190" w:rsidRPr="00333190">
        <w:t xml:space="preserve">.  </w:t>
      </w:r>
      <w:r w:rsidR="005E5BBE">
        <w:t>W</w:t>
      </w:r>
      <w:r w:rsidR="00F27F1A">
        <w:t>hile expressed in fairly informal</w:t>
      </w:r>
      <w:r w:rsidR="00E719BF">
        <w:t xml:space="preserve"> terms,</w:t>
      </w:r>
      <w:r w:rsidR="00F27F1A">
        <w:t xml:space="preserve"> the emails</w:t>
      </w:r>
      <w:r w:rsidR="00084CDF">
        <w:t xml:space="preserve"> were </w:t>
      </w:r>
      <w:r w:rsidR="005E5BBE">
        <w:t xml:space="preserve">clearly </w:t>
      </w:r>
      <w:r w:rsidR="000A5198">
        <w:t xml:space="preserve">intended to be </w:t>
      </w:r>
      <w:r w:rsidR="005E5BBE">
        <w:t>contractual in nature.  The M</w:t>
      </w:r>
      <w:r w:rsidR="00084CDF">
        <w:t xml:space="preserve">emoranda </w:t>
      </w:r>
      <w:r w:rsidR="000A5198">
        <w:t xml:space="preserve">themselves </w:t>
      </w:r>
      <w:r w:rsidR="003F4B20">
        <w:t>only applied</w:t>
      </w:r>
      <w:r w:rsidR="005E5BBE">
        <w:t xml:space="preserve"> </w:t>
      </w:r>
      <w:r w:rsidR="00084CDF">
        <w:t xml:space="preserve">to the teaching services </w:t>
      </w:r>
      <w:r w:rsidR="005E5BBE">
        <w:t xml:space="preserve">in </w:t>
      </w:r>
      <w:r w:rsidR="00084CDF">
        <w:t xml:space="preserve">the </w:t>
      </w:r>
      <w:r w:rsidR="00310325">
        <w:t xml:space="preserve">specific </w:t>
      </w:r>
      <w:r w:rsidR="00C377F5">
        <w:t xml:space="preserve">units </w:t>
      </w:r>
      <w:r w:rsidR="00210E73">
        <w:t xml:space="preserve">and trimesters </w:t>
      </w:r>
      <w:r w:rsidR="00310325">
        <w:t xml:space="preserve">identified </w:t>
      </w:r>
      <w:r w:rsidR="00210E73">
        <w:t xml:space="preserve">in the </w:t>
      </w:r>
      <w:r w:rsidR="00084CDF">
        <w:t>schedule</w:t>
      </w:r>
      <w:r w:rsidR="005E5BBE">
        <w:t>s to the Memoranda</w:t>
      </w:r>
      <w:r w:rsidR="00084CDF">
        <w:t>.  The emails were necessarily contractual in nature</w:t>
      </w:r>
      <w:r w:rsidR="00210E73">
        <w:t xml:space="preserve"> insofar as they gave rise to </w:t>
      </w:r>
      <w:r w:rsidR="000A5198">
        <w:t xml:space="preserve">new </w:t>
      </w:r>
      <w:r w:rsidR="00210E73">
        <w:t xml:space="preserve">contracts which applied to different </w:t>
      </w:r>
      <w:r w:rsidR="00C377F5">
        <w:t xml:space="preserve">units </w:t>
      </w:r>
      <w:r w:rsidR="00210E73">
        <w:t>in different trimesters</w:t>
      </w:r>
      <w:r w:rsidR="00B91FDA">
        <w:t>, albeit contracts which otherwise incorporated the terms and conditions in the Memoranda</w:t>
      </w:r>
      <w:r w:rsidR="00084CDF">
        <w:t xml:space="preserve">.  </w:t>
      </w:r>
      <w:r w:rsidR="004126DD">
        <w:t xml:space="preserve">In those circumstances there is no real reason to doubt that </w:t>
      </w:r>
      <w:r w:rsidR="002426A8">
        <w:t xml:space="preserve">the emails </w:t>
      </w:r>
      <w:r w:rsidR="00C63C6D">
        <w:t xml:space="preserve">in their entirety </w:t>
      </w:r>
      <w:r w:rsidR="002426A8">
        <w:t xml:space="preserve">were intended to </w:t>
      </w:r>
      <w:r w:rsidR="002F1DE0">
        <w:t xml:space="preserve">record </w:t>
      </w:r>
      <w:r w:rsidR="00FB065A">
        <w:t>the terms of the new contract</w:t>
      </w:r>
      <w:r w:rsidR="00C63C6D">
        <w:t>s</w:t>
      </w:r>
      <w:r w:rsidR="002426A8">
        <w:t xml:space="preserve">, including the </w:t>
      </w:r>
      <w:r w:rsidR="002F1DE0">
        <w:t xml:space="preserve">effective </w:t>
      </w:r>
      <w:r w:rsidR="004126DD">
        <w:t xml:space="preserve">requirement </w:t>
      </w:r>
      <w:r w:rsidR="005C4D97">
        <w:t xml:space="preserve">that Mr Harrison notify JMC prior to the commencement of the trimester if he proposed to sub-contract or assign the teaching services.  </w:t>
      </w:r>
      <w:r w:rsidR="00C63C6D">
        <w:t>Whether that amounted to a variation of clause 5 of the M</w:t>
      </w:r>
      <w:r w:rsidR="005C4D97">
        <w:t>emoranda</w:t>
      </w:r>
      <w:r w:rsidR="00724246">
        <w:t>,</w:t>
      </w:r>
      <w:r w:rsidR="00C63C6D">
        <w:t xml:space="preserve"> or an additional term</w:t>
      </w:r>
      <w:r w:rsidR="002F1DE0">
        <w:t>,</w:t>
      </w:r>
      <w:r w:rsidR="00C63C6D">
        <w:t xml:space="preserve"> is of no real moment</w:t>
      </w:r>
      <w:r w:rsidR="00F926CD">
        <w:t xml:space="preserve">.  </w:t>
      </w:r>
      <w:r w:rsidR="00A646F9">
        <w:t xml:space="preserve">Either way, the effect was that, if Mr Harrison wanted to exercise the right to sub-contract or assign, he was </w:t>
      </w:r>
      <w:r w:rsidR="003F4B20">
        <w:t xml:space="preserve">contractually </w:t>
      </w:r>
      <w:r w:rsidR="00A646F9">
        <w:t xml:space="preserve">required to give JMC notice </w:t>
      </w:r>
      <w:r w:rsidR="003F4B20">
        <w:t xml:space="preserve">of that intention </w:t>
      </w:r>
      <w:r w:rsidR="00A646F9">
        <w:t xml:space="preserve">prior to the commencement of the relevant trimester.  </w:t>
      </w:r>
      <w:r w:rsidR="00F926CD">
        <w:t>Mr Harrison’s replies to the emails amounted to an accept</w:t>
      </w:r>
      <w:r w:rsidR="00E43B39">
        <w:t>ance of that</w:t>
      </w:r>
      <w:r w:rsidR="00F926CD">
        <w:t xml:space="preserve"> </w:t>
      </w:r>
      <w:r w:rsidR="00A646F9">
        <w:t>variation</w:t>
      </w:r>
      <w:r w:rsidR="00E43B39">
        <w:t xml:space="preserve"> to,</w:t>
      </w:r>
      <w:r w:rsidR="00A646F9">
        <w:t xml:space="preserve"> or </w:t>
      </w:r>
      <w:r w:rsidR="00F926CD">
        <w:t>additional term</w:t>
      </w:r>
      <w:r w:rsidR="00E43B39">
        <w:t xml:space="preserve"> in, the contracts</w:t>
      </w:r>
      <w:r w:rsidR="00F926CD">
        <w:t>.</w:t>
      </w:r>
    </w:p>
    <w:p w14:paraId="312542DB" w14:textId="200EEC44" w:rsidR="00445921" w:rsidRDefault="00F926CD" w:rsidP="00445921">
      <w:pPr>
        <w:pStyle w:val="ParaNumbering"/>
      </w:pPr>
      <w:r>
        <w:t xml:space="preserve">Even if the emails did not constitute </w:t>
      </w:r>
      <w:r w:rsidR="00310325">
        <w:t xml:space="preserve">or effect </w:t>
      </w:r>
      <w:r>
        <w:t xml:space="preserve">a variation, or impose an additional </w:t>
      </w:r>
      <w:r w:rsidR="00590D5E">
        <w:t>term to those contained in the M</w:t>
      </w:r>
      <w:r>
        <w:t xml:space="preserve">emoranda, </w:t>
      </w:r>
      <w:r w:rsidR="009A5089">
        <w:t>it remains the case that the scope and operation of clause 5 was limited.  The critical limitation was that Mr Harrison was unable to sub-contract or assign the teaching services unless he obtain</w:t>
      </w:r>
      <w:r w:rsidR="00590D5E">
        <w:t>ed</w:t>
      </w:r>
      <w:r w:rsidR="009A5089">
        <w:t xml:space="preserve"> the written consent of JMC.  JMC </w:t>
      </w:r>
      <w:r w:rsidR="00FD59C0">
        <w:t xml:space="preserve">effectively </w:t>
      </w:r>
      <w:r w:rsidR="009A5089">
        <w:t>had an</w:t>
      </w:r>
      <w:r w:rsidR="00920A58">
        <w:t xml:space="preserve"> </w:t>
      </w:r>
      <w:r w:rsidR="009A5089">
        <w:t xml:space="preserve">unfettered </w:t>
      </w:r>
      <w:r w:rsidR="00920A58">
        <w:t>power or discretion to refuse to consent to Mr Harrison sub-contracting or assigning the teaching services</w:t>
      </w:r>
      <w:r w:rsidR="00415BEF">
        <w:t>.  I</w:t>
      </w:r>
      <w:r w:rsidR="00920A58">
        <w:t xml:space="preserve">t may perhaps be accepted that JMC was required to exercise that power or discretion in good faith.  </w:t>
      </w:r>
      <w:r w:rsidR="00415BEF">
        <w:t xml:space="preserve">Even if that </w:t>
      </w:r>
      <w:r w:rsidR="005E63CD">
        <w:t xml:space="preserve">be </w:t>
      </w:r>
      <w:r w:rsidR="00415BEF">
        <w:t>so, t</w:t>
      </w:r>
      <w:r w:rsidR="00A950EB">
        <w:t xml:space="preserve">here could be little or no doubt that it would </w:t>
      </w:r>
      <w:r w:rsidR="00E62822">
        <w:t xml:space="preserve">have </w:t>
      </w:r>
      <w:r w:rsidR="00A950EB">
        <w:t>be</w:t>
      </w:r>
      <w:r w:rsidR="00E62822">
        <w:t>en</w:t>
      </w:r>
      <w:r w:rsidR="00A950EB">
        <w:t xml:space="preserve"> contractually open to JMC to refuse </w:t>
      </w:r>
      <w:r w:rsidR="00E62822">
        <w:t xml:space="preserve">to </w:t>
      </w:r>
      <w:r w:rsidR="00A950EB">
        <w:t xml:space="preserve">consent </w:t>
      </w:r>
      <w:r w:rsidR="00E62822">
        <w:t xml:space="preserve">to any proposal to sub-contract or assign </w:t>
      </w:r>
      <w:r w:rsidR="00A950EB">
        <w:t>if</w:t>
      </w:r>
      <w:r w:rsidR="00E62822">
        <w:t xml:space="preserve"> </w:t>
      </w:r>
      <w:r w:rsidR="00A950EB">
        <w:t xml:space="preserve">Mr Harrison did not give notice of his </w:t>
      </w:r>
      <w:r w:rsidR="00590D5E">
        <w:t xml:space="preserve">intention </w:t>
      </w:r>
      <w:r w:rsidR="00A950EB">
        <w:t xml:space="preserve">to </w:t>
      </w:r>
      <w:r w:rsidR="0078006E">
        <w:t xml:space="preserve">do so </w:t>
      </w:r>
      <w:r w:rsidR="00A950EB">
        <w:t xml:space="preserve">prior to the commencement of </w:t>
      </w:r>
      <w:r w:rsidR="002426C7">
        <w:t xml:space="preserve">the trimester, </w:t>
      </w:r>
      <w:r w:rsidR="00415BEF">
        <w:t xml:space="preserve">particularly given the terms of the relevant emails.  </w:t>
      </w:r>
      <w:r w:rsidR="00AC59AB">
        <w:t xml:space="preserve">Equally, JMC could no </w:t>
      </w:r>
      <w:r w:rsidR="00AC59AB">
        <w:lastRenderedPageBreak/>
        <w:t xml:space="preserve">doubt refuse consent </w:t>
      </w:r>
      <w:r w:rsidR="002426C7">
        <w:t xml:space="preserve">if </w:t>
      </w:r>
      <w:r w:rsidR="0078006E">
        <w:t>it</w:t>
      </w:r>
      <w:r w:rsidR="00A950EB">
        <w:t xml:space="preserve"> did not accept that the person to whom Mr Harrison proposed to sub-contract or assign the services </w:t>
      </w:r>
      <w:r w:rsidR="0078006E">
        <w:t xml:space="preserve">to </w:t>
      </w:r>
      <w:proofErr w:type="gramStart"/>
      <w:r w:rsidR="002426C7">
        <w:t>did</w:t>
      </w:r>
      <w:proofErr w:type="gramEnd"/>
      <w:r w:rsidR="002426C7">
        <w:t xml:space="preserve"> not have the</w:t>
      </w:r>
      <w:r w:rsidR="00A950EB">
        <w:t xml:space="preserve"> </w:t>
      </w:r>
      <w:r w:rsidR="002426C7">
        <w:t xml:space="preserve">appropriate </w:t>
      </w:r>
      <w:r w:rsidR="002426C7" w:rsidRPr="002426C7">
        <w:t>qualifications, experience, skills and capacity to provide the relevant teaching</w:t>
      </w:r>
      <w:r w:rsidR="002426C7">
        <w:t xml:space="preserve"> services in accordance with </w:t>
      </w:r>
      <w:r w:rsidR="0078006E">
        <w:t>JMC’s</w:t>
      </w:r>
      <w:r w:rsidR="002426C7" w:rsidRPr="002426C7">
        <w:t xml:space="preserve"> TEQSA registration and course accreditation</w:t>
      </w:r>
      <w:r w:rsidR="00FD59C0">
        <w:t xml:space="preserve"> obligations</w:t>
      </w:r>
      <w:r w:rsidR="002426C7" w:rsidRPr="002426C7">
        <w:t>.</w:t>
      </w:r>
      <w:r w:rsidR="00AC59AB">
        <w:t xml:space="preserve">  Indeed, JMC could refuse consent simply because it wanted</w:t>
      </w:r>
      <w:r w:rsidR="00E62822">
        <w:t>, in good faith,</w:t>
      </w:r>
      <w:r w:rsidR="00AC59AB">
        <w:t xml:space="preserve"> </w:t>
      </w:r>
      <w:r w:rsidR="00E62822">
        <w:t xml:space="preserve">to have </w:t>
      </w:r>
      <w:r w:rsidR="00AC59AB">
        <w:t>Mr Harrison perform the services himself.</w:t>
      </w:r>
      <w:r w:rsidR="002426C7" w:rsidRPr="002426C7">
        <w:t xml:space="preserve"> </w:t>
      </w:r>
    </w:p>
    <w:p w14:paraId="71DCA07A" w14:textId="201D8FD8" w:rsidR="00AC59AB" w:rsidRDefault="00590D5E" w:rsidP="00445921">
      <w:pPr>
        <w:pStyle w:val="ParaNumbering"/>
      </w:pPr>
      <w:r>
        <w:t>In those circumstances</w:t>
      </w:r>
      <w:r w:rsidR="00445921">
        <w:t xml:space="preserve">, JMC effectively retained the </w:t>
      </w:r>
      <w:r w:rsidR="00724246">
        <w:t xml:space="preserve">unfettered </w:t>
      </w:r>
      <w:r w:rsidR="00445921">
        <w:t>right to control who provided the relevant teaching services</w:t>
      </w:r>
      <w:r w:rsidR="0078006E">
        <w:t xml:space="preserve"> under the contract</w:t>
      </w:r>
      <w:r w:rsidR="00445921">
        <w:t xml:space="preserve">.  If </w:t>
      </w:r>
      <w:r w:rsidR="00FD59C0">
        <w:t>JMC</w:t>
      </w:r>
      <w:r w:rsidR="00445921">
        <w:t xml:space="preserve"> wanted Mr Harrison to provide those services, as he had agreed to do, it could insist on him doing so.</w:t>
      </w:r>
      <w:r w:rsidR="00E62822">
        <w:t xml:space="preserve">  Mr Harrison had no right to unilaterally </w:t>
      </w:r>
      <w:r w:rsidR="000B4280">
        <w:t xml:space="preserve">decide to </w:t>
      </w:r>
      <w:r w:rsidR="00E62822">
        <w:t xml:space="preserve">sub-contract or assign the services. </w:t>
      </w:r>
    </w:p>
    <w:p w14:paraId="7D82AC5D" w14:textId="07907A56" w:rsidR="0078311E" w:rsidRDefault="00AC59AB" w:rsidP="00445921">
      <w:pPr>
        <w:pStyle w:val="ParaNumbering"/>
      </w:pPr>
      <w:r>
        <w:t>It is</w:t>
      </w:r>
      <w:r w:rsidR="00D91688">
        <w:t>, in those circumstances,</w:t>
      </w:r>
      <w:r>
        <w:t xml:space="preserve"> unnecessary to specifically address the Commissioner’s arguments concerning estoppel and waiver.  It suffices to no</w:t>
      </w:r>
      <w:r w:rsidR="00D91688">
        <w:t>te that it is difficult to imagine</w:t>
      </w:r>
      <w:r>
        <w:t xml:space="preserve"> how any issue of estoppel or waiver could ever arise.  That is because it would, in any event, be open to JMC to refuse to consent to Mr Harrison sub-contracting or assigning the teaching services if he did not give JMC notice of that intention prior to the commencement of the relevant trimester.  </w:t>
      </w:r>
      <w:r w:rsidR="0025393B">
        <w:t xml:space="preserve">In those circumstances, JMC would never have </w:t>
      </w:r>
      <w:r w:rsidR="00B3038A">
        <w:t>occasion</w:t>
      </w:r>
      <w:r w:rsidR="0078006E">
        <w:t>,</w:t>
      </w:r>
      <w:r w:rsidR="00B3038A">
        <w:t xml:space="preserve"> </w:t>
      </w:r>
      <w:r w:rsidR="00D91688">
        <w:t xml:space="preserve">or the need </w:t>
      </w:r>
      <w:r w:rsidR="0025393B">
        <w:t>to</w:t>
      </w:r>
      <w:r w:rsidR="0078006E">
        <w:t>,</w:t>
      </w:r>
      <w:r w:rsidR="0025393B">
        <w:t xml:space="preserve"> rely on any alleged estoppel or waiver to prevent Mr Harrison from sub-contracting or assigning. </w:t>
      </w:r>
      <w:r w:rsidR="00445921">
        <w:t xml:space="preserve"> </w:t>
      </w:r>
    </w:p>
    <w:p w14:paraId="69DBDD3B" w14:textId="5E488A7E" w:rsidR="00E62FAA" w:rsidRDefault="0078311E" w:rsidP="003C737A">
      <w:pPr>
        <w:pStyle w:val="ParaNumbering"/>
      </w:pPr>
      <w:r>
        <w:t xml:space="preserve">JMC </w:t>
      </w:r>
      <w:r w:rsidR="00A402BA">
        <w:t xml:space="preserve">contended that Mr Harrison’s right to sub-contract or assign the teaching services he had otherwise contracted to provide to JMC was </w:t>
      </w:r>
      <w:r w:rsidR="005F7B8D">
        <w:t>a powerful, indeed almost conclusive, indication that Mr Harrison was an independent contract</w:t>
      </w:r>
      <w:r w:rsidR="007C7EAE">
        <w:t>or</w:t>
      </w:r>
      <w:r w:rsidR="005F7B8D">
        <w:t xml:space="preserve">, not an employee.  </w:t>
      </w:r>
      <w:r w:rsidR="009E1BF8">
        <w:t>JMC relied, in support of that contention, on</w:t>
      </w:r>
      <w:r w:rsidR="007C7EAE">
        <w:t xml:space="preserve"> the statement by Wilson and Dawson JJ in </w:t>
      </w:r>
      <w:proofErr w:type="spellStart"/>
      <w:r w:rsidR="007C7EAE" w:rsidRPr="003D5ADA">
        <w:rPr>
          <w:i/>
        </w:rPr>
        <w:t>Brodribb</w:t>
      </w:r>
      <w:proofErr w:type="spellEnd"/>
      <w:r w:rsidR="007C7EAE">
        <w:t xml:space="preserve"> (at 38) that “[a]n</w:t>
      </w:r>
      <w:r w:rsidR="007C7EAE" w:rsidRPr="007C7EAE">
        <w:t xml:space="preserve"> </w:t>
      </w:r>
      <w:r w:rsidR="007C7EAE">
        <w:t>unlimited power of delegation of this kind was vi</w:t>
      </w:r>
      <w:r w:rsidR="003C737A">
        <w:t xml:space="preserve">ewed as being almost conclusive </w:t>
      </w:r>
      <w:r w:rsidR="007C7EAE">
        <w:t>against the contract being a contract of service</w:t>
      </w:r>
      <w:r w:rsidR="003C737A">
        <w:t>”</w:t>
      </w:r>
      <w:r w:rsidR="007C7EAE">
        <w:t xml:space="preserve"> </w:t>
      </w:r>
      <w:r w:rsidR="00D5486A">
        <w:t>in</w:t>
      </w:r>
      <w:r w:rsidR="007C7EAE">
        <w:t xml:space="preserve"> </w:t>
      </w:r>
      <w:r w:rsidR="007C7EAE" w:rsidRPr="003D5ADA">
        <w:rPr>
          <w:i/>
        </w:rPr>
        <w:t>Chaplin</w:t>
      </w:r>
      <w:r w:rsidR="007C7EAE">
        <w:t xml:space="preserve"> </w:t>
      </w:r>
      <w:r w:rsidR="0078006E">
        <w:t>(</w:t>
      </w:r>
      <w:r w:rsidR="007C7EAE">
        <w:t>at 391</w:t>
      </w:r>
      <w:r w:rsidR="0078006E">
        <w:t>)</w:t>
      </w:r>
      <w:r w:rsidR="003C737A">
        <w:t xml:space="preserve">.  </w:t>
      </w:r>
      <w:r w:rsidR="008650CD">
        <w:t>In JMC’s submission</w:t>
      </w:r>
      <w:r w:rsidR="007C7EAE">
        <w:t xml:space="preserve">, </w:t>
      </w:r>
      <w:r w:rsidR="008650CD">
        <w:t>the reference by Wilson and Dawson JJ to an “unlimited power of delegation” was a reference to the power to delegate the entirety of the work, no</w:t>
      </w:r>
      <w:r w:rsidR="00BC225E">
        <w:t xml:space="preserve">t a reference to whether or not the power was limited in some other way, such as </w:t>
      </w:r>
      <w:r w:rsidR="009E1BF8">
        <w:t>by a</w:t>
      </w:r>
      <w:r w:rsidR="00BC225E">
        <w:t xml:space="preserve"> requirement to obtain the putative employer’s consent.  It follow</w:t>
      </w:r>
      <w:r w:rsidR="00A83742">
        <w:t>ed</w:t>
      </w:r>
      <w:r w:rsidR="00BC225E">
        <w:t xml:space="preserve">, so JMC submitted, that </w:t>
      </w:r>
      <w:r w:rsidR="00E62FAA">
        <w:t xml:space="preserve">Mr Harrison’s right to sub-contract or assign was </w:t>
      </w:r>
      <w:r w:rsidR="0078006E">
        <w:t>“</w:t>
      </w:r>
      <w:r w:rsidR="00E62FAA">
        <w:t>unlimited</w:t>
      </w:r>
      <w:r w:rsidR="0078006E">
        <w:t>”</w:t>
      </w:r>
      <w:r w:rsidR="005A0FCC">
        <w:t xml:space="preserve">, in the requisite </w:t>
      </w:r>
      <w:r w:rsidR="00D91688">
        <w:t xml:space="preserve">or relevant </w:t>
      </w:r>
      <w:r w:rsidR="005A0FCC">
        <w:t>sense,</w:t>
      </w:r>
      <w:r w:rsidR="00A83742">
        <w:t xml:space="preserve"> because he was able to sub-contract or assign the entirety of the t</w:t>
      </w:r>
      <w:r w:rsidR="0078006E">
        <w:t>eaching</w:t>
      </w:r>
      <w:r w:rsidR="00A83742">
        <w:t xml:space="preserve"> services he had contracted to provide</w:t>
      </w:r>
      <w:r w:rsidR="00E62FAA">
        <w:t>.</w:t>
      </w:r>
    </w:p>
    <w:p w14:paraId="0ED889D0" w14:textId="77777777" w:rsidR="00AB5686" w:rsidRDefault="00E62FAA" w:rsidP="003D5ADA">
      <w:pPr>
        <w:pStyle w:val="ParaNumbering"/>
      </w:pPr>
      <w:r>
        <w:t xml:space="preserve">That submission cannot be accepted for a number of reasons.  </w:t>
      </w:r>
    </w:p>
    <w:p w14:paraId="2CBBEDFD" w14:textId="563DD094" w:rsidR="004B1C47" w:rsidRDefault="00E62FAA" w:rsidP="00F84619">
      <w:pPr>
        <w:pStyle w:val="ParaNumbering"/>
      </w:pPr>
      <w:r>
        <w:t xml:space="preserve">First, </w:t>
      </w:r>
      <w:r w:rsidR="002C2531">
        <w:t xml:space="preserve">in </w:t>
      </w:r>
      <w:proofErr w:type="spellStart"/>
      <w:r w:rsidR="002C2531" w:rsidRPr="003D5ADA">
        <w:rPr>
          <w:i/>
        </w:rPr>
        <w:t>Brodribb</w:t>
      </w:r>
      <w:proofErr w:type="spellEnd"/>
      <w:r w:rsidR="002C2531">
        <w:t>, the</w:t>
      </w:r>
      <w:r w:rsidR="00F84619">
        <w:t xml:space="preserve"> contractor</w:t>
      </w:r>
      <w:r w:rsidR="002C2531">
        <w:t xml:space="preserve">, Mr </w:t>
      </w:r>
      <w:proofErr w:type="spellStart"/>
      <w:r w:rsidR="002C2531">
        <w:t>Gray</w:t>
      </w:r>
      <w:proofErr w:type="spellEnd"/>
      <w:r w:rsidR="002C2531">
        <w:t>, did not need to obtain</w:t>
      </w:r>
      <w:r w:rsidR="00F84619">
        <w:t xml:space="preserve"> the principal</w:t>
      </w:r>
      <w:r w:rsidR="002C2531">
        <w:t xml:space="preserve">’s consent before delegating </w:t>
      </w:r>
      <w:r w:rsidR="00F84619" w:rsidRPr="00F84619">
        <w:t xml:space="preserve">to his son </w:t>
      </w:r>
      <w:r w:rsidR="00F84619">
        <w:t xml:space="preserve">some of </w:t>
      </w:r>
      <w:r w:rsidR="005A0FCC">
        <w:t xml:space="preserve">the </w:t>
      </w:r>
      <w:r w:rsidR="002C2531">
        <w:t xml:space="preserve">work </w:t>
      </w:r>
      <w:r w:rsidR="005A0FCC">
        <w:t>he had been contracted to provide</w:t>
      </w:r>
      <w:r w:rsidR="002C2531">
        <w:t xml:space="preserve">.  The reference by </w:t>
      </w:r>
      <w:r w:rsidR="002C2531">
        <w:lastRenderedPageBreak/>
        <w:t xml:space="preserve">Wilson and Dawson JJ to </w:t>
      </w:r>
      <w:r w:rsidR="00434B49">
        <w:t xml:space="preserve">an “unlimited power of delegation of this kind” would therefore appear to be a reference to a power of delegation which was not limited by any requirement to obtain the consent of the </w:t>
      </w:r>
      <w:r w:rsidR="00F84619">
        <w:t xml:space="preserve">principal or </w:t>
      </w:r>
      <w:r w:rsidR="00434B49">
        <w:t xml:space="preserve">putative employer.  </w:t>
      </w:r>
    </w:p>
    <w:p w14:paraId="4996341A" w14:textId="132B67DD" w:rsidR="001908BB" w:rsidRDefault="00434B49" w:rsidP="003D5ADA">
      <w:pPr>
        <w:pStyle w:val="ParaNumbering"/>
      </w:pPr>
      <w:r>
        <w:t xml:space="preserve">Second, </w:t>
      </w:r>
      <w:r w:rsidR="00501266">
        <w:t>it may be accepted that</w:t>
      </w:r>
      <w:r w:rsidR="009E4402">
        <w:t xml:space="preserve"> </w:t>
      </w:r>
      <w:r w:rsidR="00CB1EE8">
        <w:t xml:space="preserve">when </w:t>
      </w:r>
      <w:r w:rsidR="009E4402">
        <w:t>Lord Fraser</w:t>
      </w:r>
      <w:r w:rsidR="00CB1EE8">
        <w:t xml:space="preserve"> referred </w:t>
      </w:r>
      <w:r w:rsidR="00A57D56">
        <w:t xml:space="preserve">(at 391) </w:t>
      </w:r>
      <w:r w:rsidR="009E4402">
        <w:t xml:space="preserve">to </w:t>
      </w:r>
      <w:r w:rsidR="00CB1EE8">
        <w:t xml:space="preserve">the “power of unlimited delegation” in </w:t>
      </w:r>
      <w:r w:rsidR="00CB1EE8" w:rsidRPr="003D5ADA">
        <w:rPr>
          <w:i/>
        </w:rPr>
        <w:t>Chaplin</w:t>
      </w:r>
      <w:r w:rsidR="00A57D56">
        <w:t>, he</w:t>
      </w:r>
      <w:r w:rsidR="00CB1EE8">
        <w:t xml:space="preserve"> was referring to the</w:t>
      </w:r>
      <w:r w:rsidR="00683FC3">
        <w:t xml:space="preserve"> fact that the </w:t>
      </w:r>
      <w:r w:rsidR="00FC093E">
        <w:t xml:space="preserve">agent </w:t>
      </w:r>
      <w:r w:rsidR="00CB1EE8">
        <w:t>in question in that case</w:t>
      </w:r>
      <w:r w:rsidR="00F43DD0">
        <w:t xml:space="preserve"> could, at least according to his Lordship, </w:t>
      </w:r>
      <w:r w:rsidR="00A57D56">
        <w:t>delegate “the whole performance of his work to one or more sub-agents”.</w:t>
      </w:r>
      <w:r w:rsidR="00683FC3">
        <w:t xml:space="preserve">  There is</w:t>
      </w:r>
      <w:r w:rsidR="004F4F25">
        <w:t>, however,</w:t>
      </w:r>
      <w:r w:rsidR="00683FC3">
        <w:t xml:space="preserve"> no reference in the judgment </w:t>
      </w:r>
      <w:r w:rsidR="00304066">
        <w:t xml:space="preserve">of Lord Fraser </w:t>
      </w:r>
      <w:r w:rsidR="00683FC3">
        <w:t xml:space="preserve">to the </w:t>
      </w:r>
      <w:r w:rsidR="0076447D">
        <w:t xml:space="preserve">question </w:t>
      </w:r>
      <w:r w:rsidR="001908BB">
        <w:t xml:space="preserve">of </w:t>
      </w:r>
      <w:r w:rsidR="00683FC3">
        <w:t xml:space="preserve">whether or not the </w:t>
      </w:r>
      <w:r w:rsidR="00FC093E">
        <w:t xml:space="preserve">agent </w:t>
      </w:r>
      <w:r w:rsidR="00683FC3">
        <w:t xml:space="preserve">was required to obtain the </w:t>
      </w:r>
      <w:r w:rsidR="00FC093E">
        <w:t xml:space="preserve">principal’s </w:t>
      </w:r>
      <w:r w:rsidR="00683FC3">
        <w:t xml:space="preserve">consent before appointing sub-agents.  </w:t>
      </w:r>
      <w:r w:rsidR="001E2FFF">
        <w:t>It would appear from the judgment under appeal</w:t>
      </w:r>
      <w:r w:rsidR="004F4F25">
        <w:t xml:space="preserve"> in</w:t>
      </w:r>
      <w:r w:rsidR="00304066">
        <w:t xml:space="preserve"> </w:t>
      </w:r>
      <w:r w:rsidR="00304066" w:rsidRPr="00304066">
        <w:rPr>
          <w:i/>
        </w:rPr>
        <w:t>Chaplin</w:t>
      </w:r>
      <w:r w:rsidR="001E2FFF">
        <w:t xml:space="preserve">, the </w:t>
      </w:r>
      <w:r w:rsidR="00490169">
        <w:t xml:space="preserve">judgment of the Full Court of the South Australian Supreme Court in </w:t>
      </w:r>
      <w:r w:rsidR="00A25B85" w:rsidRPr="008E76DF">
        <w:rPr>
          <w:i/>
        </w:rPr>
        <w:t>The Queen v Alla</w:t>
      </w:r>
      <w:r w:rsidR="00490169" w:rsidRPr="008E76DF">
        <w:rPr>
          <w:i/>
        </w:rPr>
        <w:t>n; Ex parte Australian Mutual Provident Society</w:t>
      </w:r>
      <w:r w:rsidR="007A4116" w:rsidRPr="008E76DF">
        <w:t xml:space="preserve"> (1977) 16 SASR 237</w:t>
      </w:r>
      <w:r w:rsidR="00490169">
        <w:t xml:space="preserve">, </w:t>
      </w:r>
      <w:r w:rsidR="007A4116">
        <w:t xml:space="preserve">that the agreement in issue </w:t>
      </w:r>
      <w:r w:rsidR="00C5645D">
        <w:t xml:space="preserve">in fact </w:t>
      </w:r>
      <w:r w:rsidR="007A4116">
        <w:t xml:space="preserve">provided that the </w:t>
      </w:r>
      <w:r w:rsidR="00FC093E">
        <w:t xml:space="preserve">agent </w:t>
      </w:r>
      <w:r w:rsidR="007A4116">
        <w:t xml:space="preserve">“should” obtain the </w:t>
      </w:r>
      <w:r w:rsidR="00FC093E">
        <w:t xml:space="preserve">principal’s </w:t>
      </w:r>
      <w:r w:rsidR="007A4116">
        <w:t>approval</w:t>
      </w:r>
      <w:r w:rsidR="00A25B85">
        <w:t xml:space="preserve"> should he “wish” to appo</w:t>
      </w:r>
      <w:r w:rsidR="0076447D">
        <w:t>int a sub-agent.  That provision in the agreement</w:t>
      </w:r>
      <w:r w:rsidR="00A25B85">
        <w:t>, however, was not adverted to by Lord Fraser</w:t>
      </w:r>
      <w:r w:rsidR="00304066">
        <w:t xml:space="preserve"> and does not </w:t>
      </w:r>
      <w:r w:rsidR="00A25B85">
        <w:t xml:space="preserve">feature at all in his Lordship’s reasoning.  </w:t>
      </w:r>
      <w:r w:rsidR="00A36B0C">
        <w:t>It cannot</w:t>
      </w:r>
      <w:r w:rsidR="00C5645D">
        <w:t>,</w:t>
      </w:r>
      <w:r w:rsidR="00A36B0C">
        <w:t xml:space="preserve"> </w:t>
      </w:r>
      <w:r w:rsidR="001908BB">
        <w:t>in those circumstances</w:t>
      </w:r>
      <w:r w:rsidR="00C5645D">
        <w:t>,</w:t>
      </w:r>
      <w:r w:rsidR="001908BB">
        <w:t xml:space="preserve"> </w:t>
      </w:r>
      <w:r w:rsidR="00566D5F">
        <w:t xml:space="preserve">be said that </w:t>
      </w:r>
      <w:r w:rsidR="00566D5F" w:rsidRPr="00B02313">
        <w:rPr>
          <w:i/>
        </w:rPr>
        <w:t>Chaplin</w:t>
      </w:r>
      <w:r w:rsidR="00566D5F">
        <w:t xml:space="preserve"> is </w:t>
      </w:r>
      <w:r w:rsidR="00C5645D">
        <w:t xml:space="preserve">binding, or even persuasive, </w:t>
      </w:r>
      <w:r w:rsidR="00566D5F">
        <w:t xml:space="preserve">authority for the proposition that </w:t>
      </w:r>
      <w:r w:rsidR="00A10FD2">
        <w:t xml:space="preserve">a delegation clause which requires the consent of the other party to the contract nevertheless </w:t>
      </w:r>
      <w:r w:rsidR="001908BB">
        <w:t xml:space="preserve">confers </w:t>
      </w:r>
      <w:r w:rsidR="00A10FD2">
        <w:t>an unlimited power</w:t>
      </w:r>
      <w:r w:rsidR="001908BB">
        <w:t xml:space="preserve"> to delegate.</w:t>
      </w:r>
    </w:p>
    <w:p w14:paraId="7A1A798E" w14:textId="7A3B4F3E" w:rsidR="004B1C47" w:rsidRDefault="002507C7" w:rsidP="003D5ADA">
      <w:pPr>
        <w:pStyle w:val="ParaNumbering"/>
      </w:pPr>
      <w:r>
        <w:t xml:space="preserve">Third, the facts and circumstances of </w:t>
      </w:r>
      <w:r w:rsidRPr="00B02313">
        <w:rPr>
          <w:i/>
        </w:rPr>
        <w:t>Chaplin</w:t>
      </w:r>
      <w:r>
        <w:t xml:space="preserve"> are, in any event, relevantly distinguishable </w:t>
      </w:r>
      <w:r w:rsidR="00597A4A">
        <w:t>from</w:t>
      </w:r>
      <w:r>
        <w:t xml:space="preserve"> the facts and circumstances of this case.  </w:t>
      </w:r>
      <w:r w:rsidR="001974EE">
        <w:t xml:space="preserve">A requirement </w:t>
      </w:r>
      <w:r w:rsidR="00B02313">
        <w:t xml:space="preserve">for an agent </w:t>
      </w:r>
      <w:r w:rsidR="001974EE">
        <w:t xml:space="preserve">to </w:t>
      </w:r>
      <w:r w:rsidR="00B02313">
        <w:t xml:space="preserve">seek </w:t>
      </w:r>
      <w:r w:rsidR="001974EE">
        <w:t xml:space="preserve">the principal’s approval of </w:t>
      </w:r>
      <w:r w:rsidR="00597A4A">
        <w:t xml:space="preserve">the appointment of </w:t>
      </w:r>
      <w:r w:rsidR="001974EE">
        <w:t xml:space="preserve">a </w:t>
      </w:r>
      <w:r w:rsidR="00B02313">
        <w:t xml:space="preserve">particular </w:t>
      </w:r>
      <w:r w:rsidR="001974EE">
        <w:t xml:space="preserve">sub-agent is </w:t>
      </w:r>
      <w:r w:rsidR="007103F2">
        <w:t xml:space="preserve">somewhat </w:t>
      </w:r>
      <w:r w:rsidR="001974EE">
        <w:t xml:space="preserve">distinguishable from a requirement </w:t>
      </w:r>
      <w:r w:rsidR="00717895">
        <w:t xml:space="preserve">that a putative employee </w:t>
      </w:r>
      <w:r w:rsidR="001974EE">
        <w:t xml:space="preserve">obtain </w:t>
      </w:r>
      <w:r w:rsidR="00132309">
        <w:t xml:space="preserve">the written consent </w:t>
      </w:r>
      <w:r w:rsidR="00717895">
        <w:t xml:space="preserve">of his putative employer </w:t>
      </w:r>
      <w:r w:rsidR="00132309">
        <w:t xml:space="preserve">to </w:t>
      </w:r>
      <w:r w:rsidR="00B02313">
        <w:t xml:space="preserve">any </w:t>
      </w:r>
      <w:r w:rsidR="00132309">
        <w:t>sub-contracting or assignment of the services</w:t>
      </w:r>
      <w:r w:rsidR="00717895">
        <w:t xml:space="preserve"> to be provided under the contract</w:t>
      </w:r>
      <w:r w:rsidR="00132309">
        <w:t xml:space="preserve">.  </w:t>
      </w:r>
    </w:p>
    <w:p w14:paraId="6EFE082D" w14:textId="732E3438" w:rsidR="00AD19E9" w:rsidRDefault="00B02313" w:rsidP="003D5ADA">
      <w:pPr>
        <w:pStyle w:val="ParaNumbering"/>
      </w:pPr>
      <w:r>
        <w:t>Fourth</w:t>
      </w:r>
      <w:r w:rsidR="00A25B85">
        <w:t xml:space="preserve">, it is, with respect, </w:t>
      </w:r>
      <w:r w:rsidR="00FB02C4">
        <w:t xml:space="preserve">rather </w:t>
      </w:r>
      <w:r w:rsidR="00A25B85">
        <w:t xml:space="preserve">nonsensical to suggest that a </w:t>
      </w:r>
      <w:r w:rsidR="009F6796">
        <w:t xml:space="preserve">power </w:t>
      </w:r>
      <w:r w:rsidR="00A25B85">
        <w:t xml:space="preserve">to delegate which is conditional on </w:t>
      </w:r>
      <w:r w:rsidR="004B1C47">
        <w:t xml:space="preserve">obtaining </w:t>
      </w:r>
      <w:r w:rsidR="00A25B85">
        <w:t xml:space="preserve">the </w:t>
      </w:r>
      <w:r w:rsidR="00EB19EF">
        <w:t xml:space="preserve">written </w:t>
      </w:r>
      <w:r w:rsidR="00A25B85">
        <w:t xml:space="preserve">consent of </w:t>
      </w:r>
      <w:r w:rsidR="004B1C47">
        <w:t xml:space="preserve">the putative employer </w:t>
      </w:r>
      <w:r w:rsidR="00A25B85">
        <w:t xml:space="preserve">is </w:t>
      </w:r>
      <w:r w:rsidR="00FB02C4">
        <w:t xml:space="preserve">relevantly </w:t>
      </w:r>
      <w:r w:rsidR="0078006E">
        <w:t>“</w:t>
      </w:r>
      <w:r w:rsidR="00A25B85">
        <w:t>unlimited</w:t>
      </w:r>
      <w:r w:rsidR="0078006E">
        <w:t>”</w:t>
      </w:r>
      <w:r w:rsidR="00A25B85">
        <w:t xml:space="preserve">.    </w:t>
      </w:r>
      <w:r w:rsidR="007A4116">
        <w:t xml:space="preserve"> </w:t>
      </w:r>
      <w:r w:rsidR="00683FC3">
        <w:t xml:space="preserve"> </w:t>
      </w:r>
      <w:r w:rsidR="00A57D56">
        <w:t xml:space="preserve">  </w:t>
      </w:r>
      <w:r w:rsidR="00CB1EE8">
        <w:t xml:space="preserve">  </w:t>
      </w:r>
      <w:r w:rsidR="00434B49">
        <w:t xml:space="preserve"> </w:t>
      </w:r>
      <w:r w:rsidR="002C2531">
        <w:t xml:space="preserve"> </w:t>
      </w:r>
    </w:p>
    <w:p w14:paraId="228C9AF0" w14:textId="492F5248" w:rsidR="005147E0" w:rsidRDefault="0038763B" w:rsidP="00C53509">
      <w:pPr>
        <w:pStyle w:val="ParaNumbering"/>
      </w:pPr>
      <w:r>
        <w:t>C</w:t>
      </w:r>
      <w:r w:rsidR="003F7314">
        <w:t xml:space="preserve">lause 5 </w:t>
      </w:r>
      <w:r>
        <w:t>of the Memoranda cannot</w:t>
      </w:r>
      <w:r w:rsidR="009F6796">
        <w:t>, in all the circumstances,</w:t>
      </w:r>
      <w:r>
        <w:t xml:space="preserve"> </w:t>
      </w:r>
      <w:r w:rsidR="00373793">
        <w:t xml:space="preserve">reasonably or </w:t>
      </w:r>
      <w:r w:rsidR="006A2C7E">
        <w:t xml:space="preserve">accurately </w:t>
      </w:r>
      <w:r>
        <w:t xml:space="preserve">be </w:t>
      </w:r>
      <w:r w:rsidR="006A2C7E">
        <w:t xml:space="preserve">characterised as giving Mr Harrison an </w:t>
      </w:r>
      <w:r w:rsidR="00973C38">
        <w:t>“</w:t>
      </w:r>
      <w:r w:rsidR="006A2C7E">
        <w:t>unlimited power</w:t>
      </w:r>
      <w:r w:rsidR="00973C38">
        <w:t>”</w:t>
      </w:r>
      <w:r w:rsidR="006A2C7E">
        <w:t xml:space="preserve"> to sub-contract or </w:t>
      </w:r>
      <w:r w:rsidR="00C22278">
        <w:t>assign</w:t>
      </w:r>
      <w:r w:rsidR="006A2C7E">
        <w:t xml:space="preserve">.  </w:t>
      </w:r>
      <w:r w:rsidR="00BF07CB">
        <w:t xml:space="preserve">Mr Harrison was required to obtain JMC’s written consent in respect of any sub-contract or assignment and JMC </w:t>
      </w:r>
      <w:r w:rsidR="0078006E">
        <w:t xml:space="preserve">effectively </w:t>
      </w:r>
      <w:r w:rsidR="00BF07CB">
        <w:t xml:space="preserve">had an unfettered discretion to refuse to grant its consent.  </w:t>
      </w:r>
      <w:r w:rsidR="00BC2A67">
        <w:t xml:space="preserve">He could not unilaterally </w:t>
      </w:r>
      <w:r w:rsidR="000B4280">
        <w:t xml:space="preserve">decide to </w:t>
      </w:r>
      <w:r w:rsidR="00BC2A67">
        <w:t xml:space="preserve">sub-contract or assign the services to somebody else: </w:t>
      </w:r>
      <w:proofErr w:type="spellStart"/>
      <w:r w:rsidR="00BC2A67">
        <w:t>cf</w:t>
      </w:r>
      <w:proofErr w:type="spellEnd"/>
      <w:r w:rsidR="00BC2A67">
        <w:t xml:space="preserve"> </w:t>
      </w:r>
      <w:r w:rsidR="008051A9" w:rsidRPr="008051A9">
        <w:rPr>
          <w:i/>
        </w:rPr>
        <w:t>ACE Insurance</w:t>
      </w:r>
      <w:r w:rsidR="008051A9">
        <w:t xml:space="preserve"> at [25] (Buchanan J,</w:t>
      </w:r>
      <w:r w:rsidR="0078006E">
        <w:t xml:space="preserve"> with whom</w:t>
      </w:r>
      <w:r w:rsidR="008051A9">
        <w:t xml:space="preserve"> </w:t>
      </w:r>
      <w:r w:rsidR="0078006E">
        <w:t>Lander and Robertson JJ agreed</w:t>
      </w:r>
      <w:r w:rsidR="008051A9">
        <w:t xml:space="preserve">).  </w:t>
      </w:r>
      <w:r w:rsidR="004E05A3">
        <w:t xml:space="preserve">Mr Harrison </w:t>
      </w:r>
      <w:r w:rsidR="00C23084">
        <w:t xml:space="preserve">also </w:t>
      </w:r>
      <w:r w:rsidR="004E05A3">
        <w:t xml:space="preserve">had a very narrow window of opportunity to seek and obtain JMC’s consent.  The effect of the </w:t>
      </w:r>
      <w:r w:rsidR="004E05A3">
        <w:lastRenderedPageBreak/>
        <w:t xml:space="preserve">email exchanges that gave rise to many of the contracts was that Mr Harrison was required to seek JMC’s consent before the commencement of the trimester in question.  </w:t>
      </w:r>
      <w:r w:rsidR="00145D96">
        <w:t>Mr</w:t>
      </w:r>
      <w:r w:rsidR="009367AC">
        <w:t xml:space="preserve"> Harrison’s ability to obtain JMC’s written consent was also relevantly constrained by other contractual provisions</w:t>
      </w:r>
      <w:r w:rsidR="004615BA">
        <w:t xml:space="preserve"> the effect of which was that the range of people to whom the services could be sub-contracted or assigned was limited.  </w:t>
      </w:r>
      <w:r w:rsidR="00C53509">
        <w:t xml:space="preserve">At the very least, he effectively could only </w:t>
      </w:r>
      <w:r w:rsidR="00C53509" w:rsidRPr="00C53509">
        <w:t xml:space="preserve">sub-contract or assign the services if the person who was to </w:t>
      </w:r>
      <w:r w:rsidR="00EB19EF">
        <w:t xml:space="preserve">personally </w:t>
      </w:r>
      <w:r w:rsidR="00C53509" w:rsidRPr="00C53509">
        <w:t xml:space="preserve">provide the sub-contracted or assigned teaching services had the requisite qualifications, experience, skills and capacity to provide the teaching services in accordance with JMC’s TEQSA registration and course accreditation obligations.  </w:t>
      </w:r>
    </w:p>
    <w:p w14:paraId="0720B4F2" w14:textId="5A7EF454" w:rsidR="00587BD1" w:rsidRDefault="003D0356" w:rsidP="00445921">
      <w:pPr>
        <w:pStyle w:val="ParaNumbering"/>
      </w:pPr>
      <w:r>
        <w:t xml:space="preserve">It may be accepted that </w:t>
      </w:r>
      <w:r w:rsidR="005147E0">
        <w:t>the existence of the limited right to sub-contract or assign the teaching services</w:t>
      </w:r>
      <w:r w:rsidR="00C23084">
        <w:t>, with JMC’s consent,</w:t>
      </w:r>
      <w:r w:rsidR="005147E0">
        <w:t xml:space="preserve"> </w:t>
      </w:r>
      <w:r w:rsidR="00C23084">
        <w:t xml:space="preserve">as provided </w:t>
      </w:r>
      <w:r>
        <w:t xml:space="preserve">in clause 5 of the </w:t>
      </w:r>
      <w:r w:rsidR="00C22278">
        <w:t xml:space="preserve">Memoranda </w:t>
      </w:r>
      <w:r w:rsidR="005147E0">
        <w:t xml:space="preserve">is a </w:t>
      </w:r>
      <w:r>
        <w:t xml:space="preserve">contractual right </w:t>
      </w:r>
      <w:r w:rsidR="005147E0">
        <w:t xml:space="preserve">which </w:t>
      </w:r>
      <w:r w:rsidR="00AD19E9">
        <w:t xml:space="preserve">to some extent </w:t>
      </w:r>
      <w:r w:rsidR="005147E0">
        <w:t xml:space="preserve">militates </w:t>
      </w:r>
      <w:r>
        <w:t xml:space="preserve">against </w:t>
      </w:r>
      <w:r w:rsidR="005147E0">
        <w:t>characterising the relationship as one of employer and employee.  I</w:t>
      </w:r>
      <w:r w:rsidR="00931D3D">
        <w:t>t cannot, however, be said that the presence of that clause</w:t>
      </w:r>
      <w:r w:rsidR="005147E0">
        <w:t xml:space="preserve"> is </w:t>
      </w:r>
      <w:r w:rsidR="00C75960">
        <w:t>“almost conclusive”, let alone determinative</w:t>
      </w:r>
      <w:r>
        <w:t>, that the relationship was not one of employer and employee</w:t>
      </w:r>
      <w:r w:rsidR="00C75960">
        <w:t>.</w:t>
      </w:r>
      <w:r w:rsidR="00AD19E9">
        <w:t xml:space="preserve">  It is but </w:t>
      </w:r>
      <w:r w:rsidR="00683995">
        <w:t>one of the contractual rights and</w:t>
      </w:r>
      <w:r w:rsidR="00AD19E9">
        <w:t xml:space="preserve"> obligations which must be considered in determining the nature of the legal relationship established by the contracts. </w:t>
      </w:r>
    </w:p>
    <w:p w14:paraId="0CCA4D88" w14:textId="77777777" w:rsidR="00587BD1" w:rsidRDefault="00587BD1" w:rsidP="00587BD1">
      <w:pPr>
        <w:pStyle w:val="Heading3"/>
      </w:pPr>
      <w:r>
        <w:t>Conclusions in relation to control</w:t>
      </w:r>
    </w:p>
    <w:p w14:paraId="480D14ED" w14:textId="614240F7" w:rsidR="006B0979" w:rsidRDefault="00626CFD" w:rsidP="00445921">
      <w:pPr>
        <w:pStyle w:val="ParaNumbering"/>
      </w:pPr>
      <w:r>
        <w:t>JMC had significant contractual rights to supervise and control Mr Harrison in respect of his delivery of teaching services under the relevant contracts.</w:t>
      </w:r>
      <w:r w:rsidR="00F56A43">
        <w:t xml:space="preserve">  JMC had the right to dictate when and where Mr Harrison was to deliver lectures.  </w:t>
      </w:r>
      <w:r w:rsidR="006B0979">
        <w:t>Once Mr Harrison entered into a contract in respect of a particular trimester, he was obliged to deliver lectures at J</w:t>
      </w:r>
      <w:r w:rsidR="006536AF">
        <w:t>M</w:t>
      </w:r>
      <w:r w:rsidR="006B0979">
        <w:t xml:space="preserve">C’s campus </w:t>
      </w:r>
      <w:r w:rsidR="006536AF">
        <w:t xml:space="preserve">on the days and </w:t>
      </w:r>
      <w:r w:rsidR="006B0979">
        <w:t>at the times</w:t>
      </w:r>
      <w:r w:rsidR="006536AF">
        <w:t xml:space="preserve"> determined by JMC</w:t>
      </w:r>
      <w:r w:rsidR="006B0979">
        <w:t xml:space="preserve">.  </w:t>
      </w:r>
      <w:r w:rsidR="00F56A43">
        <w:t xml:space="preserve">The delivery of lectures was the most significant component of the teaching services provided by Mr Harrison.   </w:t>
      </w:r>
    </w:p>
    <w:p w14:paraId="38E89C9E" w14:textId="0B8DC057" w:rsidR="00AD6EE6" w:rsidRDefault="00CE59C3" w:rsidP="00572FE6">
      <w:pPr>
        <w:pStyle w:val="ParaNumbering"/>
      </w:pPr>
      <w:r>
        <w:t xml:space="preserve">Perhaps more significantly, </w:t>
      </w:r>
      <w:r w:rsidR="00F56A43">
        <w:t>JMC also had significant rights of supervision and control in respect of how Mr Harrison</w:t>
      </w:r>
      <w:r w:rsidR="00F418BF">
        <w:t xml:space="preserve"> </w:t>
      </w:r>
      <w:r w:rsidR="00C22278">
        <w:t xml:space="preserve">was </w:t>
      </w:r>
      <w:r w:rsidR="00F418BF">
        <w:t xml:space="preserve">to deliver lectures, including not only the content of the lectures, but also, at least to a certain extent, the </w:t>
      </w:r>
      <w:r w:rsidR="006536AF">
        <w:t xml:space="preserve">way </w:t>
      </w:r>
      <w:r w:rsidR="00F418BF">
        <w:t>he delivered the lectures.  JMC had the effective righ</w:t>
      </w:r>
      <w:r w:rsidR="00D96CAF">
        <w:t xml:space="preserve">t to sanction, or even penalise, </w:t>
      </w:r>
      <w:r w:rsidR="00F418BF">
        <w:t xml:space="preserve">Mr Harrison if his managing academic officer </w:t>
      </w:r>
      <w:r w:rsidR="00AD6EE6">
        <w:t>was satisfied that his delivery of the relevant teaching services was incomplete</w:t>
      </w:r>
      <w:r w:rsidR="00C22278">
        <w:t>,</w:t>
      </w:r>
      <w:r w:rsidR="00AD6EE6">
        <w:t xml:space="preserve"> or that he had not adequately dealt with an aspect or aspects of</w:t>
      </w:r>
      <w:r w:rsidR="00682F16">
        <w:t xml:space="preserve"> the teaching requirements.  Tho</w:t>
      </w:r>
      <w:r w:rsidR="00AD6EE6">
        <w:t xml:space="preserve">se features of the rights and obligations under the contracts </w:t>
      </w:r>
      <w:r w:rsidR="00FE6E9F">
        <w:t xml:space="preserve">significantly </w:t>
      </w:r>
      <w:r w:rsidR="00AD6EE6">
        <w:t xml:space="preserve">militate toward the characterisation of </w:t>
      </w:r>
      <w:r w:rsidR="00AD6EE6">
        <w:lastRenderedPageBreak/>
        <w:t>the relationship as one of employer and employee.</w:t>
      </w:r>
      <w:r w:rsidR="00572FE6" w:rsidRPr="00572FE6">
        <w:t xml:space="preserve"> </w:t>
      </w:r>
      <w:r w:rsidR="00572FE6">
        <w:t xml:space="preserve">  They reveal the </w:t>
      </w:r>
      <w:r w:rsidR="00572FE6" w:rsidRPr="00572FE6">
        <w:t>subservient and dependent nature of the work that Mr Harrison was to provide under the terms of the contracts</w:t>
      </w:r>
    </w:p>
    <w:p w14:paraId="4ECD2F0A" w14:textId="169B2FB2" w:rsidR="000012BD" w:rsidRDefault="00AD6EE6" w:rsidP="00572FE6">
      <w:pPr>
        <w:pStyle w:val="ParaNumbering"/>
      </w:pPr>
      <w:r>
        <w:t xml:space="preserve">The </w:t>
      </w:r>
      <w:r w:rsidR="006B0979">
        <w:t xml:space="preserve">only qualification </w:t>
      </w:r>
      <w:r w:rsidR="00A07A3E">
        <w:t xml:space="preserve">in respect of JMC’s control was </w:t>
      </w:r>
      <w:r w:rsidR="007A3A9E">
        <w:t>Mr Harrison</w:t>
      </w:r>
      <w:r w:rsidR="00A07A3E">
        <w:t>’s right</w:t>
      </w:r>
      <w:r w:rsidR="007A3A9E">
        <w:t xml:space="preserve"> under the contracts to sub-contract or assign the delivery of the teaching services.  </w:t>
      </w:r>
      <w:r w:rsidR="00330D68">
        <w:t>When read in the context of the contracts as a whole, however, Mr Harrison’s right to sub-contract or as</w:t>
      </w:r>
      <w:r w:rsidR="0039233E">
        <w:t xml:space="preserve">sign was </w:t>
      </w:r>
      <w:r w:rsidR="00FE6E9F">
        <w:t xml:space="preserve">relatively </w:t>
      </w:r>
      <w:r w:rsidR="00797387">
        <w:t xml:space="preserve">limited and </w:t>
      </w:r>
      <w:r w:rsidR="0039233E">
        <w:t xml:space="preserve">very narrow in scope, particularly having regard to JMC’s effectively unfettered right to </w:t>
      </w:r>
      <w:r w:rsidR="00682F16">
        <w:t xml:space="preserve">refuse to give its </w:t>
      </w:r>
      <w:r w:rsidR="0039233E">
        <w:t xml:space="preserve">consent </w:t>
      </w:r>
      <w:r w:rsidR="00A278CE">
        <w:t xml:space="preserve">to </w:t>
      </w:r>
      <w:r w:rsidR="0039233E">
        <w:t>any sub-contracting or assignment.  It was, as a matter of construction, a relatively hollo</w:t>
      </w:r>
      <w:r w:rsidR="00797387">
        <w:t>w or empty right whi</w:t>
      </w:r>
      <w:r w:rsidR="00683995">
        <w:t>ch in reality was unlikely to</w:t>
      </w:r>
      <w:r w:rsidR="00797387">
        <w:t xml:space="preserve"> ever </w:t>
      </w:r>
      <w:r w:rsidR="00682F16">
        <w:t xml:space="preserve">be </w:t>
      </w:r>
      <w:r w:rsidR="00797387">
        <w:t>exercised</w:t>
      </w:r>
      <w:r w:rsidR="00682F16">
        <w:t xml:space="preserve"> or exercisable</w:t>
      </w:r>
      <w:r w:rsidR="00797387">
        <w:t xml:space="preserve">.  </w:t>
      </w:r>
      <w:r w:rsidR="00A07A3E">
        <w:t>Th</w:t>
      </w:r>
      <w:r w:rsidR="00797387">
        <w:t xml:space="preserve">e limited contractual right that Mr Harrison had to sub-contract or assign </w:t>
      </w:r>
      <w:r w:rsidR="00A07A3E">
        <w:t>nevertheless weigh</w:t>
      </w:r>
      <w:r w:rsidR="0039233E">
        <w:t xml:space="preserve">s to some extent toward </w:t>
      </w:r>
      <w:r w:rsidR="00683995">
        <w:t>characterising</w:t>
      </w:r>
      <w:r w:rsidR="0039233E">
        <w:t xml:space="preserve"> the relationship as one</w:t>
      </w:r>
      <w:r w:rsidR="00031A42">
        <w:t xml:space="preserve"> </w:t>
      </w:r>
      <w:r w:rsidR="00CA094F">
        <w:t xml:space="preserve">in which </w:t>
      </w:r>
      <w:r w:rsidR="00031A42">
        <w:t>Mr</w:t>
      </w:r>
      <w:r w:rsidR="00391A3F">
        <w:t> </w:t>
      </w:r>
      <w:r w:rsidR="00031A42">
        <w:t>Harrison was an independent contractor.</w:t>
      </w:r>
      <w:r w:rsidR="00572FE6" w:rsidRPr="00572FE6">
        <w:t xml:space="preserve"> </w:t>
      </w:r>
      <w:r w:rsidR="00572FE6">
        <w:t xml:space="preserve">  </w:t>
      </w:r>
      <w:r w:rsidR="00031A42">
        <w:t xml:space="preserve"> </w:t>
      </w:r>
      <w:r w:rsidR="00F418BF">
        <w:t xml:space="preserve"> </w:t>
      </w:r>
      <w:r w:rsidR="00F56A43">
        <w:t xml:space="preserve"> </w:t>
      </w:r>
      <w:r w:rsidR="00626CFD">
        <w:t xml:space="preserve">   </w:t>
      </w:r>
      <w:r w:rsidR="00C75960">
        <w:t xml:space="preserve"> </w:t>
      </w:r>
      <w:r w:rsidR="005147E0">
        <w:t xml:space="preserve"> </w:t>
      </w:r>
      <w:r w:rsidR="006A2C7E">
        <w:t xml:space="preserve"> </w:t>
      </w:r>
      <w:r w:rsidR="003F7314">
        <w:t xml:space="preserve"> </w:t>
      </w:r>
      <w:r w:rsidR="00E4748A">
        <w:t xml:space="preserve">  </w:t>
      </w:r>
      <w:r w:rsidR="00CF7166">
        <w:t xml:space="preserve"> </w:t>
      </w:r>
      <w:r w:rsidR="002D568A">
        <w:t xml:space="preserve">  </w:t>
      </w:r>
      <w:r w:rsidR="00C51EC0">
        <w:t xml:space="preserve">   </w:t>
      </w:r>
      <w:r w:rsidR="00BE19F2">
        <w:t xml:space="preserve"> </w:t>
      </w:r>
      <w:r w:rsidR="008E4AC6">
        <w:t xml:space="preserve">  </w:t>
      </w:r>
      <w:r w:rsidR="000D52F0">
        <w:t xml:space="preserve">   </w:t>
      </w:r>
      <w:r w:rsidR="00165B47">
        <w:t xml:space="preserve"> </w:t>
      </w:r>
      <w:r w:rsidR="00B60BC8">
        <w:t xml:space="preserve">  </w:t>
      </w:r>
      <w:r w:rsidR="005E7446">
        <w:t xml:space="preserve">  </w:t>
      </w:r>
      <w:r w:rsidR="002426C7" w:rsidRPr="002426C7">
        <w:t xml:space="preserve"> </w:t>
      </w:r>
      <w:r w:rsidR="00E92351">
        <w:t xml:space="preserve"> </w:t>
      </w:r>
      <w:r w:rsidR="00084CDF">
        <w:t xml:space="preserve"> </w:t>
      </w:r>
      <w:r w:rsidR="00F27F1A">
        <w:t xml:space="preserve"> </w:t>
      </w:r>
      <w:r w:rsidR="006F1E64">
        <w:t xml:space="preserve"> </w:t>
      </w:r>
      <w:r w:rsidR="00F20905">
        <w:t xml:space="preserve">  </w:t>
      </w:r>
      <w:r w:rsidR="003041F8">
        <w:t xml:space="preserve"> </w:t>
      </w:r>
      <w:r w:rsidR="00A4201D">
        <w:t xml:space="preserve"> </w:t>
      </w:r>
      <w:r w:rsidR="00A536C9">
        <w:t xml:space="preserve"> </w:t>
      </w:r>
      <w:r w:rsidR="000B6DDC">
        <w:t xml:space="preserve">  </w:t>
      </w:r>
      <w:r w:rsidR="00F12B15">
        <w:t xml:space="preserve">  </w:t>
      </w:r>
      <w:r w:rsidR="00FD0581">
        <w:t xml:space="preserve"> </w:t>
      </w:r>
      <w:r w:rsidR="00655C17">
        <w:t xml:space="preserve"> </w:t>
      </w:r>
    </w:p>
    <w:p w14:paraId="30928413" w14:textId="77777777" w:rsidR="006E2382" w:rsidRDefault="00F805C2" w:rsidP="00F805C2">
      <w:pPr>
        <w:pStyle w:val="Heading2"/>
      </w:pPr>
      <w:r>
        <w:t xml:space="preserve">Mode </w:t>
      </w:r>
      <w:r w:rsidR="0012083C">
        <w:t xml:space="preserve">and manner </w:t>
      </w:r>
      <w:r>
        <w:t>of remuneration</w:t>
      </w:r>
    </w:p>
    <w:p w14:paraId="7FE1A6E3" w14:textId="66C2AB2E" w:rsidR="008149B0" w:rsidRDefault="00682F16" w:rsidP="008158B5">
      <w:pPr>
        <w:pStyle w:val="ParaNumbering"/>
      </w:pPr>
      <w:r>
        <w:t>Clause 7 of the M</w:t>
      </w:r>
      <w:r w:rsidR="00A153B9">
        <w:t xml:space="preserve">emoranda </w:t>
      </w:r>
      <w:r w:rsidR="00B457AF">
        <w:t>provided that JMC would pay</w:t>
      </w:r>
      <w:r w:rsidR="00825C56">
        <w:t xml:space="preserve"> Mr Harrison a fixed hourly rate for the provision of teaching services:</w:t>
      </w:r>
      <w:r w:rsidR="00B457AF">
        <w:t xml:space="preserve"> $60 per hour for a lecture </w:t>
      </w:r>
      <w:r w:rsidR="003700B9">
        <w:t>(</w:t>
      </w:r>
      <w:r w:rsidR="00A278CE">
        <w:t xml:space="preserve">raised to </w:t>
      </w:r>
      <w:r w:rsidR="003700B9">
        <w:t xml:space="preserve">$65 </w:t>
      </w:r>
      <w:r w:rsidR="00480D3C">
        <w:t xml:space="preserve">per hour from February 2017) </w:t>
      </w:r>
      <w:r w:rsidR="00B457AF">
        <w:t>and $30 per hour for marking.</w:t>
      </w:r>
      <w:r w:rsidR="008C51B2">
        <w:t xml:space="preserve">  </w:t>
      </w:r>
    </w:p>
    <w:p w14:paraId="0ECC5871" w14:textId="624C5C58" w:rsidR="0010144B" w:rsidRDefault="00FF02BE" w:rsidP="00C101DF">
      <w:pPr>
        <w:pStyle w:val="ParaNumbering"/>
      </w:pPr>
      <w:r>
        <w:t>JMC contended that</w:t>
      </w:r>
      <w:r w:rsidR="00683995">
        <w:t>,</w:t>
      </w:r>
      <w:r>
        <w:t xml:space="preserve"> while clause 7 </w:t>
      </w:r>
      <w:r w:rsidR="0062168F">
        <w:t xml:space="preserve">expressly </w:t>
      </w:r>
      <w:r>
        <w:t xml:space="preserve">provided for payment at an hourly rate, </w:t>
      </w:r>
      <w:r w:rsidR="00C101DF" w:rsidRPr="00C101DF">
        <w:t xml:space="preserve">in fact </w:t>
      </w:r>
      <w:r w:rsidR="00186169">
        <w:t>the terms of Mr</w:t>
      </w:r>
      <w:r w:rsidR="00195A52">
        <w:t> </w:t>
      </w:r>
      <w:r w:rsidR="00186169">
        <w:t xml:space="preserve">Harrison’s remuneration was that he was to be paid a fixed sum to produce </w:t>
      </w:r>
      <w:r w:rsidR="00E71437">
        <w:t xml:space="preserve">particular </w:t>
      </w:r>
      <w:r w:rsidR="00186169">
        <w:t>result</w:t>
      </w:r>
      <w:r w:rsidR="00E71437">
        <w:t>s or products</w:t>
      </w:r>
      <w:r w:rsidR="00291039">
        <w:t>,</w:t>
      </w:r>
      <w:r w:rsidR="00186169">
        <w:t xml:space="preserve"> </w:t>
      </w:r>
      <w:r w:rsidR="009D0537">
        <w:t>irrespective of how long it took Mr Harrison</w:t>
      </w:r>
      <w:r w:rsidR="0062168F">
        <w:t xml:space="preserve"> to supply those</w:t>
      </w:r>
      <w:r w:rsidR="008641C6">
        <w:t xml:space="preserve"> result</w:t>
      </w:r>
      <w:r w:rsidR="0062168F">
        <w:t>s or products</w:t>
      </w:r>
      <w:r w:rsidR="00186169">
        <w:t>.</w:t>
      </w:r>
      <w:r w:rsidR="0019324F">
        <w:t xml:space="preserve">  </w:t>
      </w:r>
      <w:r w:rsidR="00291039">
        <w:t xml:space="preserve">The results or products were said to be </w:t>
      </w:r>
      <w:r w:rsidR="0062168F">
        <w:t>delivered lectures and marked assessments</w:t>
      </w:r>
      <w:r w:rsidR="006A06F3">
        <w:t>.</w:t>
      </w:r>
      <w:r w:rsidR="00291039">
        <w:t xml:space="preserve"> </w:t>
      </w:r>
      <w:r w:rsidR="006A06F3">
        <w:t xml:space="preserve"> </w:t>
      </w:r>
      <w:r w:rsidR="0019324F">
        <w:t>JMC relied, in support of that contention</w:t>
      </w:r>
      <w:r w:rsidR="009D0537">
        <w:t>, on the fact that the teaching services were defined in the schedul</w:t>
      </w:r>
      <w:r w:rsidR="0019324F">
        <w:t>es to the Memoranda</w:t>
      </w:r>
      <w:r w:rsidR="00A278CE">
        <w:t xml:space="preserve">, </w:t>
      </w:r>
      <w:r w:rsidR="009D0537">
        <w:t>and in the emails</w:t>
      </w:r>
      <w:r w:rsidR="00A278CE">
        <w:t>,</w:t>
      </w:r>
      <w:r w:rsidR="009D0537">
        <w:t xml:space="preserve"> by reference to </w:t>
      </w:r>
      <w:r w:rsidR="0062168F">
        <w:t xml:space="preserve">lectures and marking in respect of </w:t>
      </w:r>
      <w:r w:rsidR="009D0537">
        <w:t xml:space="preserve">particular </w:t>
      </w:r>
      <w:r w:rsidR="00601D49">
        <w:t xml:space="preserve">units </w:t>
      </w:r>
      <w:r w:rsidR="009D0537">
        <w:t>of study</w:t>
      </w:r>
      <w:r w:rsidR="0019324F">
        <w:t>.  JMC</w:t>
      </w:r>
      <w:r w:rsidR="008641C6">
        <w:t xml:space="preserve"> also asserted that it was “common knowledge” that production of a lecture requires “significant preparation”</w:t>
      </w:r>
      <w:r w:rsidR="00170FC4">
        <w:t xml:space="preserve"> and that time might also need to be expended in providing student support</w:t>
      </w:r>
      <w:r w:rsidR="00D11B43">
        <w:t>.</w:t>
      </w:r>
      <w:r w:rsidR="00170FC4">
        <w:t xml:space="preserve">  </w:t>
      </w:r>
      <w:r w:rsidR="008641C6">
        <w:t xml:space="preserve">It followed, in JMC’s submission, that there was </w:t>
      </w:r>
      <w:r w:rsidR="0010144B">
        <w:t>a “lack of correlation between the hours actually expended and the fee expressed by reference to the duration of the actual face to face lecture”.</w:t>
      </w:r>
      <w:r w:rsidR="00C85844">
        <w:t xml:space="preserve">  JMC </w:t>
      </w:r>
      <w:r w:rsidR="00A7477E">
        <w:t xml:space="preserve">similarly </w:t>
      </w:r>
      <w:r w:rsidR="00C85844">
        <w:t xml:space="preserve">asserted that </w:t>
      </w:r>
      <w:r w:rsidR="00D11B43">
        <w:t xml:space="preserve">it was “common knowledge” that payment for marking “would be made on a specified, </w:t>
      </w:r>
      <w:r w:rsidR="000609CC">
        <w:t>allocated</w:t>
      </w:r>
      <w:r w:rsidR="00D11B43">
        <w:t xml:space="preserve"> amount of time per exam” and that there was therefore a “lack of correlation between the time actually taken to mark an exam and the amount paid”.  </w:t>
      </w:r>
    </w:p>
    <w:p w14:paraId="67C2568C" w14:textId="77777777" w:rsidR="00122253" w:rsidRDefault="00BB0D27" w:rsidP="008158B5">
      <w:pPr>
        <w:pStyle w:val="ParaNumbering"/>
      </w:pPr>
      <w:r>
        <w:lastRenderedPageBreak/>
        <w:t>J</w:t>
      </w:r>
      <w:r w:rsidR="00A7477E">
        <w:t>MC’s contention</w:t>
      </w:r>
      <w:r>
        <w:t xml:space="preserve">s concerning the lack of correlation between the hours worked by Mr Harrison and the amount he was to be paid have no foothold in the terms of the contracts between JMC and Mr Harrison.  </w:t>
      </w:r>
      <w:r w:rsidR="00A7477E">
        <w:t xml:space="preserve">Indeed, they are contrary to the terms of the contracts.  </w:t>
      </w:r>
    </w:p>
    <w:p w14:paraId="2714CC9C" w14:textId="4F4059EB" w:rsidR="00BB0D27" w:rsidRDefault="00BB0D27" w:rsidP="00CD02C4">
      <w:pPr>
        <w:pStyle w:val="ParaNumbering"/>
      </w:pPr>
      <w:r>
        <w:t xml:space="preserve">The contracts expressly provide that Mr Harrison was to be paid an hourly rate for the delivery of lectures and marking.  He was to be paid that hourly rate for the </w:t>
      </w:r>
      <w:r w:rsidR="00F80A31">
        <w:t xml:space="preserve">time he </w:t>
      </w:r>
      <w:r w:rsidR="001B2F6D">
        <w:t>spent</w:t>
      </w:r>
      <w:r w:rsidR="00F80A31">
        <w:t xml:space="preserve"> delivering lectures and marking irrespective of the outcome or product of his labour</w:t>
      </w:r>
      <w:r w:rsidR="006A06F3">
        <w:t>s</w:t>
      </w:r>
      <w:r w:rsidR="0078006E">
        <w:t xml:space="preserve">.  </w:t>
      </w:r>
      <w:r w:rsidR="00CD02C4">
        <w:t>T</w:t>
      </w:r>
      <w:r w:rsidR="00ED2672">
        <w:t xml:space="preserve">he </w:t>
      </w:r>
      <w:r w:rsidR="00066849">
        <w:t xml:space="preserve">managing academic officer responsible </w:t>
      </w:r>
      <w:r w:rsidR="007E3C27">
        <w:t xml:space="preserve">for managing Mr Harrison’s delivery of the lectures and marking could </w:t>
      </w:r>
      <w:r w:rsidR="00ED2672">
        <w:t xml:space="preserve">(by virtue of clause 8 of the Memoranda) </w:t>
      </w:r>
      <w:r w:rsidR="007E3C27">
        <w:t>withhold payment, or require Mr Harrison to repeat the provision of the lectures or marking</w:t>
      </w:r>
      <w:r w:rsidR="001C0FBE">
        <w:t xml:space="preserve">, in certain defined circumstances; namely, </w:t>
      </w:r>
      <w:r w:rsidR="007E3C27">
        <w:t>if he was satisfied that</w:t>
      </w:r>
      <w:r w:rsidR="00ED2672">
        <w:t xml:space="preserve"> Mr Harrison’s provision of those services was incomplete, or did not meet the “teaching requirements”</w:t>
      </w:r>
      <w:r w:rsidR="00F80A31">
        <w:t>.</w:t>
      </w:r>
      <w:r w:rsidR="000609CC">
        <w:t xml:space="preserve">  </w:t>
      </w:r>
      <w:r w:rsidR="00CD02C4" w:rsidRPr="00CD02C4">
        <w:t xml:space="preserve">Clause 8, properly construed, </w:t>
      </w:r>
      <w:r w:rsidR="00CD02C4">
        <w:t xml:space="preserve">however, </w:t>
      </w:r>
      <w:r w:rsidR="00CD02C4" w:rsidRPr="00CD02C4">
        <w:t>was a means by which JMC could manage and control Mr Harrison’s provision of the services in question.  It was not a provision which served to identify or define a product or result to be provided by Mr Harrison.</w:t>
      </w:r>
      <w:r w:rsidR="00CD02C4">
        <w:t xml:space="preserve">  </w:t>
      </w:r>
      <w:r w:rsidR="000609CC">
        <w:t xml:space="preserve">JMC’s assertions concerning the matters of “common knowledge” that were said to support </w:t>
      </w:r>
      <w:r w:rsidR="001B2F6D">
        <w:t>the alleged</w:t>
      </w:r>
      <w:r w:rsidR="000609CC">
        <w:t xml:space="preserve"> lack of correlation between the time expended and the </w:t>
      </w:r>
      <w:r w:rsidR="00C73E96">
        <w:t>amount paid</w:t>
      </w:r>
      <w:r w:rsidR="009A6A41">
        <w:t xml:space="preserve"> have no sound evidentiary basis and are incapable of displacing the </w:t>
      </w:r>
      <w:r w:rsidR="004A4E49">
        <w:t xml:space="preserve">express </w:t>
      </w:r>
      <w:r w:rsidR="009A6A41">
        <w:t xml:space="preserve">terms of the contracts concerning </w:t>
      </w:r>
      <w:r w:rsidR="001B2F6D">
        <w:t xml:space="preserve">Mr Harrison’s </w:t>
      </w:r>
      <w:r w:rsidR="009A6A41">
        <w:t>remuneration</w:t>
      </w:r>
      <w:r w:rsidR="00C73E96">
        <w:t xml:space="preserve">. </w:t>
      </w:r>
    </w:p>
    <w:p w14:paraId="03500B31" w14:textId="42233812" w:rsidR="00D820B9" w:rsidRDefault="00F80A31" w:rsidP="006706C9">
      <w:pPr>
        <w:pStyle w:val="ParaNumbering"/>
      </w:pPr>
      <w:r>
        <w:t xml:space="preserve">As for the delivery of lectures, no provision of the contract obliged Mr Harrison to prepare for </w:t>
      </w:r>
      <w:r w:rsidR="00C73E96">
        <w:t xml:space="preserve">the delivery of </w:t>
      </w:r>
      <w:r>
        <w:t>his lectures</w:t>
      </w:r>
      <w:r w:rsidR="00D820B9">
        <w:t xml:space="preserve">.  Even if it could be inferred </w:t>
      </w:r>
      <w:r w:rsidR="00C6049A">
        <w:t xml:space="preserve">that </w:t>
      </w:r>
      <w:r w:rsidR="00D820B9">
        <w:t xml:space="preserve">there was a common expectation that </w:t>
      </w:r>
      <w:r w:rsidR="00C6049A">
        <w:t xml:space="preserve">Mr Harrison would </w:t>
      </w:r>
      <w:r w:rsidR="0019324F">
        <w:t xml:space="preserve">generally have to </w:t>
      </w:r>
      <w:r w:rsidR="008463E1">
        <w:t>spend some time preparing</w:t>
      </w:r>
      <w:r w:rsidR="0019324F">
        <w:t xml:space="preserve"> for lectures</w:t>
      </w:r>
      <w:r w:rsidR="00D820B9">
        <w:t>,</w:t>
      </w:r>
      <w:r w:rsidR="0019324F">
        <w:t xml:space="preserve"> </w:t>
      </w:r>
      <w:r w:rsidR="004A4E49">
        <w:t xml:space="preserve">or that he would provide additional student support, </w:t>
      </w:r>
      <w:r w:rsidR="00D820B9">
        <w:t>i</w:t>
      </w:r>
      <w:r w:rsidR="006706C9">
        <w:t xml:space="preserve">t does not follow that there was </w:t>
      </w:r>
      <w:r w:rsidR="0077794F">
        <w:t xml:space="preserve">a lack of correlation between the hours expended </w:t>
      </w:r>
      <w:r w:rsidR="00C07692">
        <w:t xml:space="preserve">by Mr Harrison in delivering a lecture and the remuneration he was entitled to receive from JMC, expressed as it was at $60 </w:t>
      </w:r>
      <w:r w:rsidR="008463E1">
        <w:t>(or $65</w:t>
      </w:r>
      <w:r w:rsidR="00A278CE">
        <w:t xml:space="preserve"> from February 2017</w:t>
      </w:r>
      <w:r w:rsidR="008463E1">
        <w:t xml:space="preserve">) </w:t>
      </w:r>
      <w:r w:rsidR="00C07692">
        <w:t>per hour.  Indeed, the better view</w:t>
      </w:r>
      <w:r w:rsidR="005F58E1">
        <w:t xml:space="preserve"> is that the hourly fee for the delivery of a lecture had built into it a component representing the </w:t>
      </w:r>
      <w:r w:rsidR="00D42DAD">
        <w:t xml:space="preserve">anticipated or </w:t>
      </w:r>
      <w:r w:rsidR="0021532F">
        <w:t>average preparation time for a lecture</w:t>
      </w:r>
      <w:r w:rsidR="004A4E49">
        <w:t xml:space="preserve"> and student support</w:t>
      </w:r>
      <w:r w:rsidR="0021532F">
        <w:t>.  That is apparent from the fact that the hourly rate for lectures was $60</w:t>
      </w:r>
      <w:r w:rsidR="00480D3C">
        <w:t xml:space="preserve"> (an</w:t>
      </w:r>
      <w:r w:rsidR="008463E1">
        <w:t>d</w:t>
      </w:r>
      <w:r w:rsidR="00480D3C">
        <w:t xml:space="preserve"> subsequently $65)</w:t>
      </w:r>
      <w:r w:rsidR="0021532F">
        <w:t>,</w:t>
      </w:r>
      <w:r w:rsidR="00D42DAD">
        <w:t xml:space="preserve"> </w:t>
      </w:r>
      <w:r w:rsidR="0021532F">
        <w:t>whereas the hourly rate for marking was $30.</w:t>
      </w:r>
      <w:r w:rsidR="00372DBB">
        <w:t xml:space="preserve">  </w:t>
      </w:r>
      <w:r w:rsidR="00903A77">
        <w:t>T</w:t>
      </w:r>
      <w:r w:rsidR="00372DBB">
        <w:t>his is not a case where it could be concluded that the fixing of the reward bore little or no connection to the time actually spent or anticipated</w:t>
      </w:r>
      <w:r w:rsidR="00903A77">
        <w:t xml:space="preserve">: </w:t>
      </w:r>
      <w:proofErr w:type="spellStart"/>
      <w:r w:rsidR="00903A77">
        <w:t>cf</w:t>
      </w:r>
      <w:proofErr w:type="spellEnd"/>
      <w:r w:rsidR="00903A77">
        <w:t xml:space="preserve"> </w:t>
      </w:r>
      <w:r w:rsidR="00903A77" w:rsidRPr="00903A77">
        <w:rPr>
          <w:i/>
        </w:rPr>
        <w:t>On-Call</w:t>
      </w:r>
      <w:r w:rsidR="00903A77">
        <w:t xml:space="preserve"> at [282] (Bromberg J).</w:t>
      </w:r>
      <w:r w:rsidR="00621136">
        <w:t xml:space="preserve">  </w:t>
      </w:r>
    </w:p>
    <w:p w14:paraId="506991D6" w14:textId="5B7C8CB9" w:rsidR="00D42DAD" w:rsidRDefault="00D820B9" w:rsidP="006706C9">
      <w:pPr>
        <w:pStyle w:val="ParaNumbering"/>
      </w:pPr>
      <w:r>
        <w:t xml:space="preserve">As for the marking of assessments or examinations, the terms of the contracts provide no support whatsoever for JMC’s contention that Mr Harrison was to be paid </w:t>
      </w:r>
      <w:r w:rsidR="007C1BDE">
        <w:t xml:space="preserve">on the basis of a specified or allocated amount of time per assessment or examination, </w:t>
      </w:r>
      <w:r>
        <w:t xml:space="preserve">irrespective of the time </w:t>
      </w:r>
      <w:r w:rsidR="002956F5">
        <w:lastRenderedPageBreak/>
        <w:t xml:space="preserve">actually </w:t>
      </w:r>
      <w:r>
        <w:t xml:space="preserve">taken by him </w:t>
      </w:r>
      <w:r w:rsidR="00F47C55">
        <w:t>to perform that task.  Nor did the evidence at trial support that proposition.  The contract simply provided that Mr Harrison was to be paid an hourly rate for the time he expended in marking</w:t>
      </w:r>
      <w:r w:rsidR="007C1BDE">
        <w:t xml:space="preserve"> assessments</w:t>
      </w:r>
      <w:r w:rsidR="00F47C55">
        <w:t>.</w:t>
      </w:r>
      <w:r w:rsidR="006B5FAC">
        <w:t xml:space="preserve">  </w:t>
      </w:r>
    </w:p>
    <w:p w14:paraId="1F8268AC" w14:textId="5A496C7B" w:rsidR="00655958" w:rsidRDefault="006836DC" w:rsidP="006706C9">
      <w:pPr>
        <w:pStyle w:val="ParaNumbering"/>
      </w:pPr>
      <w:r>
        <w:t xml:space="preserve">It is </w:t>
      </w:r>
      <w:r w:rsidR="002956F5">
        <w:t xml:space="preserve">also </w:t>
      </w:r>
      <w:r>
        <w:t xml:space="preserve">not </w:t>
      </w:r>
      <w:r w:rsidR="002956F5">
        <w:t xml:space="preserve">otherwise </w:t>
      </w:r>
      <w:r>
        <w:t xml:space="preserve">accurate or apposite to </w:t>
      </w:r>
      <w:r w:rsidR="00D925CB">
        <w:t xml:space="preserve">construe or </w:t>
      </w:r>
      <w:r>
        <w:t xml:space="preserve">characterise </w:t>
      </w:r>
      <w:r w:rsidR="00D925CB">
        <w:t xml:space="preserve">the contract as involving remuneration for </w:t>
      </w:r>
      <w:r w:rsidR="00872FEF">
        <w:t xml:space="preserve">the production of </w:t>
      </w:r>
      <w:r w:rsidR="00F47C55">
        <w:t xml:space="preserve">a product or </w:t>
      </w:r>
      <w:r w:rsidR="00D925CB">
        <w:t xml:space="preserve">result, </w:t>
      </w:r>
      <w:r w:rsidR="00FC41D0">
        <w:t xml:space="preserve">being </w:t>
      </w:r>
      <w:r w:rsidR="003E25E9">
        <w:t>delivered</w:t>
      </w:r>
      <w:r w:rsidR="00FC41D0">
        <w:t xml:space="preserve"> </w:t>
      </w:r>
      <w:r w:rsidR="006B5FAC">
        <w:t>lecture</w:t>
      </w:r>
      <w:r w:rsidR="002956F5">
        <w:t>s</w:t>
      </w:r>
      <w:r w:rsidR="00F47C55">
        <w:t xml:space="preserve"> and marked assessment</w:t>
      </w:r>
      <w:r w:rsidR="002956F5">
        <w:t>s</w:t>
      </w:r>
      <w:r w:rsidR="00EE440E">
        <w:t xml:space="preserve">, </w:t>
      </w:r>
      <w:r w:rsidR="00D925CB">
        <w:t>as opposed to</w:t>
      </w:r>
      <w:r w:rsidR="00756595">
        <w:t xml:space="preserve"> remuneration at</w:t>
      </w:r>
      <w:r w:rsidR="00D925CB">
        <w:t xml:space="preserve"> an hourly </w:t>
      </w:r>
      <w:r w:rsidR="0004299E">
        <w:t>rate</w:t>
      </w:r>
      <w:r w:rsidR="00F553C0">
        <w:t xml:space="preserve"> for the provision of work</w:t>
      </w:r>
      <w:r w:rsidR="00872FEF">
        <w:t xml:space="preserve"> or labour</w:t>
      </w:r>
      <w:r w:rsidR="0004299E">
        <w:t xml:space="preserve">.  </w:t>
      </w:r>
      <w:r w:rsidR="00EE440E">
        <w:t xml:space="preserve">As Bromberg J pointed out in </w:t>
      </w:r>
      <w:r w:rsidR="00EE440E" w:rsidRPr="006B359E">
        <w:rPr>
          <w:i/>
        </w:rPr>
        <w:t>On-Call</w:t>
      </w:r>
      <w:r w:rsidR="00EE440E">
        <w:t xml:space="preserve"> (at [277])</w:t>
      </w:r>
      <w:r w:rsidR="00E14BD1">
        <w:t>, the distinction between a contract for labour and a contract for the product o</w:t>
      </w:r>
      <w:r w:rsidR="00872FEF">
        <w:t>f</w:t>
      </w:r>
      <w:r w:rsidR="00E14BD1">
        <w:t xml:space="preserve"> labour can sometimes be illusory.  Ordinarily, however, </w:t>
      </w:r>
      <w:r w:rsidR="00796734">
        <w:t>a contract for the product</w:t>
      </w:r>
      <w:r w:rsidR="00E14BD1">
        <w:t xml:space="preserve"> of labour involves a mode or manner of remuneration which bears little or no reference to </w:t>
      </w:r>
      <w:r w:rsidR="00796734">
        <w:t>the time spent in</w:t>
      </w:r>
      <w:r w:rsidR="00EE440E">
        <w:t xml:space="preserve"> </w:t>
      </w:r>
      <w:r w:rsidR="00796734">
        <w:t>producing the product: for example, an amount calculated by reference to the amount of timber delivered (</w:t>
      </w:r>
      <w:proofErr w:type="spellStart"/>
      <w:r w:rsidR="00796734" w:rsidRPr="006B359E">
        <w:rPr>
          <w:i/>
        </w:rPr>
        <w:t>Brodribb</w:t>
      </w:r>
      <w:proofErr w:type="spellEnd"/>
      <w:r w:rsidR="00796734">
        <w:t xml:space="preserve">) or the </w:t>
      </w:r>
      <w:r w:rsidR="00CB1CDE">
        <w:t xml:space="preserve">number </w:t>
      </w:r>
      <w:r w:rsidR="00796734">
        <w:t xml:space="preserve">of cattle delivered </w:t>
      </w:r>
      <w:r w:rsidR="002B6379">
        <w:t>(</w:t>
      </w:r>
      <w:r w:rsidR="002B6379" w:rsidRPr="008E76DF">
        <w:rPr>
          <w:i/>
        </w:rPr>
        <w:t>Queensland Stations</w:t>
      </w:r>
      <w:r w:rsidR="0000019B" w:rsidRPr="008E76DF">
        <w:t xml:space="preserve"> </w:t>
      </w:r>
      <w:r w:rsidR="0000019B" w:rsidRPr="008E76DF">
        <w:rPr>
          <w:i/>
        </w:rPr>
        <w:t>Pty Ltd v Federal Commissioner of Taxation</w:t>
      </w:r>
      <w:r w:rsidR="0000019B" w:rsidRPr="008E76DF">
        <w:t xml:space="preserve"> (1945) 70 CLR 539</w:t>
      </w:r>
      <w:r w:rsidR="002B6379">
        <w:t xml:space="preserve">).  </w:t>
      </w:r>
      <w:r w:rsidR="004A1BB9">
        <w:t>This i</w:t>
      </w:r>
      <w:r w:rsidR="00D55E3B">
        <w:t xml:space="preserve">s not such a case.  </w:t>
      </w:r>
      <w:r w:rsidR="002B6379">
        <w:t xml:space="preserve">The mode or manner by which Mr Harrison was to be remunerated was clearly expressed by reference to </w:t>
      </w:r>
      <w:r w:rsidR="00EC3A6A">
        <w:t>the time that Mr Harrison was engaged in delivering lectures and marking</w:t>
      </w:r>
      <w:r w:rsidR="00877143">
        <w:t>, not by reference to any readily identifiable or quantifiable product or result</w:t>
      </w:r>
      <w:r w:rsidR="00EC3A6A">
        <w:t>.</w:t>
      </w:r>
      <w:r w:rsidR="00CD1925">
        <w:t xml:space="preserve">  The contract did not provide that Mr Harrison was to be paid a fixed amount per completed lecture, or per marked assessment. </w:t>
      </w:r>
      <w:r w:rsidR="00EC3A6A">
        <w:t xml:space="preserve">  </w:t>
      </w:r>
    </w:p>
    <w:p w14:paraId="7D0C8DB7" w14:textId="16A5864D" w:rsidR="005B0401" w:rsidRDefault="00647054" w:rsidP="006706C9">
      <w:pPr>
        <w:pStyle w:val="ParaNumbering"/>
      </w:pPr>
      <w:r>
        <w:t xml:space="preserve">It is not just the specification of an hourly rate in clause 7 of the Memoranda which makes it plain that Mr Harrison </w:t>
      </w:r>
      <w:r w:rsidR="00CB48A2">
        <w:t>was to be remunerated by refe</w:t>
      </w:r>
      <w:r w:rsidR="006834DD">
        <w:t>rence to the time he spent providing his labour to JMC.</w:t>
      </w:r>
      <w:r w:rsidR="00E95C71">
        <w:t xml:space="preserve">  </w:t>
      </w:r>
      <w:r w:rsidR="004A3EAE">
        <w:t xml:space="preserve">When </w:t>
      </w:r>
      <w:r w:rsidR="00F7768C">
        <w:t>the Memoranda an</w:t>
      </w:r>
      <w:r w:rsidR="00DB4E76">
        <w:t>d, where applicable, the emails</w:t>
      </w:r>
      <w:r w:rsidR="00F7768C">
        <w:t xml:space="preserve"> are </w:t>
      </w:r>
      <w:r w:rsidR="004A3EAE">
        <w:t xml:space="preserve">read as a whole, it is readily apparent that Mr Harrison was </w:t>
      </w:r>
      <w:r w:rsidR="0088615A">
        <w:t xml:space="preserve">not </w:t>
      </w:r>
      <w:r w:rsidR="00786901">
        <w:t xml:space="preserve">contracted </w:t>
      </w:r>
      <w:r w:rsidR="005257D2">
        <w:t>to produce</w:t>
      </w:r>
      <w:r w:rsidR="003E25E9">
        <w:t xml:space="preserve"> </w:t>
      </w:r>
      <w:r w:rsidR="00403023">
        <w:t>result</w:t>
      </w:r>
      <w:r w:rsidR="00D55E3B">
        <w:t>s</w:t>
      </w:r>
      <w:r w:rsidR="00CB1CDE">
        <w:t xml:space="preserve"> or products</w:t>
      </w:r>
      <w:r w:rsidR="00403023">
        <w:t xml:space="preserve"> in the form of delivered lecture</w:t>
      </w:r>
      <w:r w:rsidR="00D55E3B">
        <w:t>s and</w:t>
      </w:r>
      <w:r w:rsidR="00655958">
        <w:t xml:space="preserve"> marked assessment</w:t>
      </w:r>
      <w:r w:rsidR="00D55E3B">
        <w:t>s</w:t>
      </w:r>
      <w:r w:rsidR="0088615A">
        <w:t xml:space="preserve">.  Rather, he was </w:t>
      </w:r>
      <w:r w:rsidR="005257D2">
        <w:t xml:space="preserve">engaged </w:t>
      </w:r>
      <w:r w:rsidR="004A3EAE">
        <w:t xml:space="preserve">by JMC to provide </w:t>
      </w:r>
      <w:r w:rsidR="006834DD">
        <w:t xml:space="preserve">his labour, in the form of the </w:t>
      </w:r>
      <w:r w:rsidR="00655958">
        <w:t xml:space="preserve">specified </w:t>
      </w:r>
      <w:r w:rsidR="004A3EAE">
        <w:t>“teaching services”</w:t>
      </w:r>
      <w:r w:rsidR="006834DD">
        <w:t>,</w:t>
      </w:r>
      <w:r w:rsidR="005257D2">
        <w:t xml:space="preserve"> for which he would be remunerated at an hourly rate.  Th</w:t>
      </w:r>
      <w:r w:rsidR="004A3EAE">
        <w:t xml:space="preserve">e teaching services </w:t>
      </w:r>
      <w:r w:rsidR="00CB1CDE">
        <w:t xml:space="preserve">in question </w:t>
      </w:r>
      <w:r w:rsidR="004A3EAE">
        <w:t xml:space="preserve">involved </w:t>
      </w:r>
      <w:r w:rsidR="00914027">
        <w:t xml:space="preserve">both </w:t>
      </w:r>
      <w:r w:rsidR="004A3EAE">
        <w:t>delivering lectures</w:t>
      </w:r>
      <w:r w:rsidR="009A7BBC">
        <w:t xml:space="preserve"> and marking papers or examinations in the units described in the schedule (or the relevant email, as the case may be) during the period described in the schedule (or email).</w:t>
      </w:r>
      <w:r w:rsidR="005E26E7">
        <w:t xml:space="preserve">  </w:t>
      </w:r>
      <w:r w:rsidR="005B0401">
        <w:t xml:space="preserve">That is apparent from recitals </w:t>
      </w:r>
      <w:r w:rsidR="00587D5F">
        <w:t>2</w:t>
      </w:r>
      <w:r w:rsidR="005B0401">
        <w:t xml:space="preserve">, </w:t>
      </w:r>
      <w:r w:rsidR="00587D5F">
        <w:t>3</w:t>
      </w:r>
      <w:r w:rsidR="005B0401">
        <w:t xml:space="preserve"> and </w:t>
      </w:r>
      <w:r w:rsidR="00587D5F">
        <w:t>4</w:t>
      </w:r>
      <w:r w:rsidR="00914027">
        <w:t xml:space="preserve"> of the Memoranda</w:t>
      </w:r>
      <w:r w:rsidR="005B0401">
        <w:t>, which refer to Mr Harrison provid</w:t>
      </w:r>
      <w:r w:rsidR="00914027">
        <w:t xml:space="preserve">ing “teaching services in the </w:t>
      </w:r>
      <w:r w:rsidR="00587D5F">
        <w:t>U</w:t>
      </w:r>
      <w:r w:rsidR="00914027">
        <w:t xml:space="preserve">nit or </w:t>
      </w:r>
      <w:r w:rsidR="00587D5F">
        <w:t>U</w:t>
      </w:r>
      <w:r w:rsidR="005B0401">
        <w:t>nits set out in the Schedule”.  The recitals do not state that Mr</w:t>
      </w:r>
      <w:r w:rsidR="00914027">
        <w:t xml:space="preserve"> Harrison was to produce</w:t>
      </w:r>
      <w:r w:rsidR="00635737">
        <w:t xml:space="preserve"> a result</w:t>
      </w:r>
      <w:r w:rsidR="00E95C71">
        <w:t xml:space="preserve"> or product</w:t>
      </w:r>
      <w:r w:rsidR="00635737">
        <w:t xml:space="preserve">, in the form of delivered </w:t>
      </w:r>
      <w:r w:rsidR="003E25E9">
        <w:t>or completed l</w:t>
      </w:r>
      <w:r w:rsidR="00635737">
        <w:t>ectures</w:t>
      </w:r>
      <w:r>
        <w:t>, or marked assessments,</w:t>
      </w:r>
      <w:r w:rsidR="00635737">
        <w:t xml:space="preserve"> in </w:t>
      </w:r>
      <w:r w:rsidR="003E25E9">
        <w:t xml:space="preserve">the </w:t>
      </w:r>
      <w:r w:rsidR="00635737">
        <w:t xml:space="preserve">specified </w:t>
      </w:r>
      <w:r w:rsidR="003E25E9">
        <w:t>units</w:t>
      </w:r>
      <w:r w:rsidR="005B0401">
        <w:t>.</w:t>
      </w:r>
    </w:p>
    <w:p w14:paraId="65A5908D" w14:textId="6FC5B6EE" w:rsidR="00595197" w:rsidRDefault="00E94DC0" w:rsidP="00734F80">
      <w:pPr>
        <w:pStyle w:val="ParaNumbering"/>
      </w:pPr>
      <w:r>
        <w:t xml:space="preserve">A number of </w:t>
      </w:r>
      <w:r w:rsidR="00FC359E">
        <w:t xml:space="preserve">the operative </w:t>
      </w:r>
      <w:r w:rsidR="00DB4E76">
        <w:t>clauses</w:t>
      </w:r>
      <w:r w:rsidR="00FC359E">
        <w:t xml:space="preserve"> </w:t>
      </w:r>
      <w:r w:rsidR="00914027">
        <w:t>in the M</w:t>
      </w:r>
      <w:r>
        <w:t>emoranda also make it plain that Mr Harrison was contracted to provide</w:t>
      </w:r>
      <w:r w:rsidR="00F553C0">
        <w:t xml:space="preserve"> </w:t>
      </w:r>
      <w:r w:rsidR="00A278CE">
        <w:t xml:space="preserve">services </w:t>
      </w:r>
      <w:r w:rsidR="00F553C0">
        <w:t xml:space="preserve">– delivering lectures and marking papers – at an hourly rate, as </w:t>
      </w:r>
      <w:r w:rsidR="00F553C0">
        <w:lastRenderedPageBreak/>
        <w:t>opposed to being contracted to produce a product or result.</w:t>
      </w:r>
      <w:r w:rsidR="00FC359E">
        <w:t xml:space="preserve">  Clause 4 </w:t>
      </w:r>
      <w:r w:rsidR="00F301DE">
        <w:t>obliges Mr</w:t>
      </w:r>
      <w:r w:rsidR="00FF6246">
        <w:t> </w:t>
      </w:r>
      <w:r w:rsidR="00F301DE">
        <w:t xml:space="preserve">Harrison to “personally” provide the </w:t>
      </w:r>
      <w:r w:rsidR="007019DA">
        <w:t xml:space="preserve">relevant </w:t>
      </w:r>
      <w:r w:rsidR="00F301DE">
        <w:t>teaching services.</w:t>
      </w:r>
      <w:r w:rsidR="0053179C">
        <w:t xml:space="preserve">  </w:t>
      </w:r>
      <w:r w:rsidR="00E95C71">
        <w:t>As already noted, c</w:t>
      </w:r>
      <w:r w:rsidR="0053179C">
        <w:t>lause 7 identifies the relevant teaching services as being lecturing</w:t>
      </w:r>
      <w:r w:rsidR="005E24EC">
        <w:t xml:space="preserve"> and marking for which Mr Harrison was to be remunerated by JMC at an hourly rate.  </w:t>
      </w:r>
      <w:r w:rsidR="009B44A8">
        <w:t>To be paid, Mr Harrison was required to provide, along with his invoice</w:t>
      </w:r>
      <w:r w:rsidR="00A278CE">
        <w:t>s</w:t>
      </w:r>
      <w:r w:rsidR="009B44A8">
        <w:t>, timesheets and completed</w:t>
      </w:r>
      <w:r w:rsidR="001B2F6D">
        <w:t>,</w:t>
      </w:r>
      <w:r w:rsidR="00A97DF8">
        <w:t xml:space="preserve"> signed </w:t>
      </w:r>
      <w:r w:rsidR="009B44A8">
        <w:t xml:space="preserve">lesson plans.  </w:t>
      </w:r>
      <w:r w:rsidR="00E95C71">
        <w:t xml:space="preserve">What was the point of requiring Mr Harrison to provide timesheets </w:t>
      </w:r>
      <w:r w:rsidR="00734F80">
        <w:t xml:space="preserve">if he was only contracted to produce a result or product? </w:t>
      </w:r>
      <w:r w:rsidR="00734F80" w:rsidRPr="00734F80">
        <w:t xml:space="preserve"> None of the recitals or operative </w:t>
      </w:r>
      <w:r w:rsidR="00DB4E76">
        <w:t>clauses</w:t>
      </w:r>
      <w:r w:rsidR="00734F80" w:rsidRPr="00734F80">
        <w:t xml:space="preserve"> are expressed in terms of Mr Harrison being remunerated for the production of an identified or readily identifiable product or result.</w:t>
      </w:r>
      <w:r w:rsidR="00446995">
        <w:t xml:space="preserve">  </w:t>
      </w:r>
      <w:r w:rsidR="00957E5F">
        <w:t xml:space="preserve"> </w:t>
      </w:r>
      <w:r w:rsidR="00734F80" w:rsidRPr="00734F80">
        <w:t xml:space="preserve">  </w:t>
      </w:r>
    </w:p>
    <w:p w14:paraId="1BA760CB" w14:textId="05CA66A3" w:rsidR="00782E6D" w:rsidRDefault="00250B35" w:rsidP="00492B85">
      <w:pPr>
        <w:pStyle w:val="ParaNumbering"/>
      </w:pPr>
      <w:r>
        <w:t>It should finally be noted tha</w:t>
      </w:r>
      <w:r w:rsidR="00952387">
        <w:t>t there is equally no basis for construing the contracts as providing that Mr Harrison was to be remunerated for producing a result or product in the form of the completed unit or units of study specified in the Memoranda or emails, as the case may be.  The contracts provide that Mr Harrison was to be remunerated periodically through the relevant trimesters in accordance with his invoices</w:t>
      </w:r>
      <w:r w:rsidR="00DB4E76">
        <w:t xml:space="preserve">.  </w:t>
      </w:r>
      <w:r w:rsidR="00D82640">
        <w:t xml:space="preserve">Mr Harrison’s invoices were required to be accompanied, relevantly, by his timesheets.  </w:t>
      </w:r>
      <w:r w:rsidR="00952387">
        <w:t xml:space="preserve"> </w:t>
      </w:r>
    </w:p>
    <w:p w14:paraId="7F3910FA" w14:textId="450781FD" w:rsidR="00C95619" w:rsidRDefault="00782E6D" w:rsidP="00492B85">
      <w:pPr>
        <w:pStyle w:val="ParaNumbering"/>
      </w:pPr>
      <w:r>
        <w:t>Mr Harrison was contracted to provide</w:t>
      </w:r>
      <w:r w:rsidR="00A61A5C">
        <w:t xml:space="preserve"> </w:t>
      </w:r>
      <w:r w:rsidR="00D82640">
        <w:t xml:space="preserve">labour, in the form of </w:t>
      </w:r>
      <w:r w:rsidR="00A61A5C">
        <w:t>teaching</w:t>
      </w:r>
      <w:r>
        <w:t xml:space="preserve"> services</w:t>
      </w:r>
      <w:r w:rsidR="00D82640">
        <w:t>,</w:t>
      </w:r>
      <w:r>
        <w:t xml:space="preserve"> to JMC for which he was remunerated at an hourly rate</w:t>
      </w:r>
      <w:r w:rsidR="006B359E">
        <w:t>.  He was not contracted to produce a result or product.</w:t>
      </w:r>
      <w:r>
        <w:t xml:space="preserve"> </w:t>
      </w:r>
      <w:r w:rsidR="006B359E">
        <w:t xml:space="preserve"> This consideration</w:t>
      </w:r>
      <w:r w:rsidR="001B2F6D">
        <w:t>,</w:t>
      </w:r>
      <w:r w:rsidR="006B359E">
        <w:t xml:space="preserve"> </w:t>
      </w:r>
      <w:r w:rsidR="00957E5F">
        <w:t>and the mode by which Mr Harrison was to be remunerated under the contracts</w:t>
      </w:r>
      <w:r w:rsidR="001B2F6D">
        <w:t>,</w:t>
      </w:r>
      <w:r w:rsidR="00957E5F">
        <w:t xml:space="preserve"> </w:t>
      </w:r>
      <w:r>
        <w:t xml:space="preserve">militates towards characterising the relationship </w:t>
      </w:r>
      <w:r w:rsidR="006008EF">
        <w:t>as one in which Mr Harrison was JMC’s employee</w:t>
      </w:r>
      <w:r w:rsidR="004A1BB9">
        <w:t>, as opposed to an independent contractor</w:t>
      </w:r>
      <w:r w:rsidR="006008EF">
        <w:t xml:space="preserve">. </w:t>
      </w:r>
      <w:r>
        <w:t xml:space="preserve"> </w:t>
      </w:r>
      <w:r w:rsidR="00595197">
        <w:t xml:space="preserve">  </w:t>
      </w:r>
      <w:r w:rsidR="005E24EC">
        <w:t xml:space="preserve"> </w:t>
      </w:r>
      <w:r w:rsidR="00F301DE">
        <w:t xml:space="preserve">  </w:t>
      </w:r>
    </w:p>
    <w:p w14:paraId="4B4D40BA" w14:textId="77777777" w:rsidR="00F805C2" w:rsidRDefault="00F805C2" w:rsidP="00F805C2">
      <w:pPr>
        <w:pStyle w:val="Heading2"/>
      </w:pPr>
      <w:r>
        <w:t>Provision and maintenance of equipment</w:t>
      </w:r>
    </w:p>
    <w:p w14:paraId="6DB90DCA" w14:textId="45A8B038" w:rsidR="002A2536" w:rsidRDefault="007C3813" w:rsidP="008158B5">
      <w:pPr>
        <w:pStyle w:val="ParaNumbering"/>
      </w:pPr>
      <w:r>
        <w:t>An individual who is contractually obliged to use or provide his or her own eq</w:t>
      </w:r>
      <w:r w:rsidR="00FA7E83">
        <w:t xml:space="preserve">uipment, tools or other assets, or to </w:t>
      </w:r>
      <w:r w:rsidR="004C6F0C">
        <w:t xml:space="preserve">meet </w:t>
      </w:r>
      <w:r w:rsidR="00FA7E83">
        <w:t>his or her own expenses, in delivering the relevant services or performing the relevant work</w:t>
      </w:r>
      <w:r w:rsidR="00EF3173">
        <w:t>,</w:t>
      </w:r>
      <w:r w:rsidR="00FA7E83">
        <w:t xml:space="preserve"> is more likely to be considered to be an independent contractor:</w:t>
      </w:r>
      <w:r w:rsidR="004C6F0C">
        <w:t xml:space="preserve"> see </w:t>
      </w:r>
      <w:proofErr w:type="spellStart"/>
      <w:r w:rsidR="004C6F0C" w:rsidRPr="002A1D7F">
        <w:rPr>
          <w:i/>
        </w:rPr>
        <w:t>Brodribb</w:t>
      </w:r>
      <w:proofErr w:type="spellEnd"/>
      <w:r w:rsidR="004C6F0C">
        <w:t xml:space="preserve"> at 24</w:t>
      </w:r>
      <w:r w:rsidR="009A4664">
        <w:t>-25 (Mason J)</w:t>
      </w:r>
      <w:r w:rsidR="004C6F0C">
        <w:t xml:space="preserve"> and 38</w:t>
      </w:r>
      <w:r w:rsidR="009A4664">
        <w:t xml:space="preserve"> (Wilson and Dawson JJ)</w:t>
      </w:r>
      <w:r w:rsidR="004C6F0C">
        <w:t>;</w:t>
      </w:r>
      <w:r w:rsidR="00510EEF">
        <w:t xml:space="preserve"> </w:t>
      </w:r>
      <w:r w:rsidR="00510EEF" w:rsidRPr="005E6C3E">
        <w:rPr>
          <w:i/>
        </w:rPr>
        <w:t>Personnel Contracting</w:t>
      </w:r>
      <w:r w:rsidR="00510EEF">
        <w:t xml:space="preserve"> at [175] (Gordon J);</w:t>
      </w:r>
      <w:r w:rsidR="004C6F0C">
        <w:t xml:space="preserve"> </w:t>
      </w:r>
      <w:proofErr w:type="spellStart"/>
      <w:r w:rsidR="008A309C" w:rsidRPr="002A1D7F">
        <w:rPr>
          <w:i/>
        </w:rPr>
        <w:t>Jamsek</w:t>
      </w:r>
      <w:proofErr w:type="spellEnd"/>
      <w:r w:rsidR="008A309C">
        <w:t xml:space="preserve"> at</w:t>
      </w:r>
      <w:r w:rsidR="00FA7E83">
        <w:t xml:space="preserve"> </w:t>
      </w:r>
      <w:r w:rsidR="008A309C">
        <w:t>[70] (</w:t>
      </w:r>
      <w:proofErr w:type="spellStart"/>
      <w:r w:rsidR="008A309C">
        <w:t>Kiefel</w:t>
      </w:r>
      <w:proofErr w:type="spellEnd"/>
      <w:r w:rsidR="008A309C">
        <w:t xml:space="preserve"> CJ, Ke</w:t>
      </w:r>
      <w:r w:rsidR="002A2536">
        <w:t>ane and Edelman JJ) and [87]-[88</w:t>
      </w:r>
      <w:r w:rsidR="008A309C">
        <w:t>] (Gageler and Gleeson JJ)</w:t>
      </w:r>
      <w:r w:rsidR="002A1D7F">
        <w:t>.  Questions of scale may</w:t>
      </w:r>
      <w:r w:rsidR="006008EF">
        <w:t>, however,</w:t>
      </w:r>
      <w:r w:rsidR="002A2536">
        <w:t xml:space="preserve"> </w:t>
      </w:r>
      <w:r w:rsidR="002A1D7F">
        <w:t xml:space="preserve">be important.  Bicycle couriers were found to be employees in </w:t>
      </w:r>
      <w:r w:rsidR="002A1D7F" w:rsidRPr="002A2536">
        <w:rPr>
          <w:i/>
        </w:rPr>
        <w:t>Hollis</w:t>
      </w:r>
      <w:r w:rsidR="002A1D7F">
        <w:t xml:space="preserve"> despite the fact </w:t>
      </w:r>
      <w:r w:rsidR="006008EF">
        <w:t xml:space="preserve">that </w:t>
      </w:r>
      <w:r w:rsidR="002A1D7F">
        <w:t>they provided their own bicycles.</w:t>
      </w:r>
      <w:r w:rsidR="002A2536">
        <w:t xml:space="preserve">  The conventi</w:t>
      </w:r>
      <w:r w:rsidR="002A1D7F">
        <w:t>on</w:t>
      </w:r>
      <w:r w:rsidR="002A2536">
        <w:t>al view, however, is that an individual who owns and is required to use expensive equipment</w:t>
      </w:r>
      <w:r w:rsidR="00A61A5C">
        <w:t xml:space="preserve"> for the purposes of</w:t>
      </w:r>
      <w:r w:rsidR="00353CCA">
        <w:t xml:space="preserve"> performing</w:t>
      </w:r>
      <w:r w:rsidR="00A61A5C">
        <w:t xml:space="preserve"> the contract</w:t>
      </w:r>
      <w:r w:rsidR="002A2536">
        <w:t xml:space="preserve"> is </w:t>
      </w:r>
      <w:r w:rsidR="006008EF">
        <w:t xml:space="preserve">likely to be </w:t>
      </w:r>
      <w:r w:rsidR="002A2536">
        <w:t xml:space="preserve">an independent contractor: </w:t>
      </w:r>
      <w:proofErr w:type="spellStart"/>
      <w:r w:rsidR="002A2536" w:rsidRPr="002A2536">
        <w:rPr>
          <w:i/>
        </w:rPr>
        <w:t>Jamsek</w:t>
      </w:r>
      <w:proofErr w:type="spellEnd"/>
      <w:r w:rsidR="002A2536">
        <w:t xml:space="preserve"> at [8</w:t>
      </w:r>
      <w:r w:rsidR="009A4664">
        <w:t>8</w:t>
      </w:r>
      <w:r w:rsidR="002A2536">
        <w:t>] (</w:t>
      </w:r>
      <w:proofErr w:type="spellStart"/>
      <w:r w:rsidR="002A2536">
        <w:t>Gageler</w:t>
      </w:r>
      <w:proofErr w:type="spellEnd"/>
      <w:r w:rsidR="002A2536">
        <w:t xml:space="preserve"> and Gleeson JJ)</w:t>
      </w:r>
      <w:r w:rsidR="00C025C5">
        <w:t xml:space="preserve">; </w:t>
      </w:r>
      <w:r w:rsidR="00C025C5" w:rsidRPr="00C025C5">
        <w:rPr>
          <w:i/>
        </w:rPr>
        <w:t>Hollis</w:t>
      </w:r>
      <w:r w:rsidR="00C025C5">
        <w:t xml:space="preserve"> at [71] (McHugh J)</w:t>
      </w:r>
      <w:r w:rsidR="002A2536">
        <w:t>.</w:t>
      </w:r>
    </w:p>
    <w:p w14:paraId="6F52DFA3" w14:textId="3E66DA10" w:rsidR="00446636" w:rsidRDefault="00863E56" w:rsidP="008158B5">
      <w:pPr>
        <w:pStyle w:val="ParaNumbering"/>
      </w:pPr>
      <w:r>
        <w:lastRenderedPageBreak/>
        <w:t xml:space="preserve">Mr Harrison was not contractually obliged to use </w:t>
      </w:r>
      <w:r w:rsidRPr="00EF3173">
        <w:rPr>
          <w:i/>
        </w:rPr>
        <w:t>any</w:t>
      </w:r>
      <w:r>
        <w:t xml:space="preserve"> of his own equipment in providing </w:t>
      </w:r>
      <w:r w:rsidR="00A61A5C">
        <w:t xml:space="preserve">the </w:t>
      </w:r>
      <w:r>
        <w:t>teachings services</w:t>
      </w:r>
      <w:r w:rsidR="00353CCA">
        <w:t xml:space="preserve"> under the contracts</w:t>
      </w:r>
      <w:r>
        <w:t xml:space="preserve">.  He was permitted to utilise his “own tools, props, computer software </w:t>
      </w:r>
      <w:proofErr w:type="spellStart"/>
      <w:r>
        <w:t>etc</w:t>
      </w:r>
      <w:proofErr w:type="spellEnd"/>
      <w:r>
        <w:t xml:space="preserve">” </w:t>
      </w:r>
      <w:r w:rsidR="006008EF">
        <w:t xml:space="preserve">if </w:t>
      </w:r>
      <w:r>
        <w:t>he f</w:t>
      </w:r>
      <w:r w:rsidR="00C75DA0">
        <w:t xml:space="preserve">elt </w:t>
      </w:r>
      <w:r w:rsidR="006008EF">
        <w:t xml:space="preserve">that </w:t>
      </w:r>
      <w:r w:rsidR="00C75DA0">
        <w:t>might assist him in providing the teaching services</w:t>
      </w:r>
      <w:r w:rsidR="006008EF">
        <w:t>.  Even then</w:t>
      </w:r>
      <w:r w:rsidR="00A61A5C">
        <w:t>,</w:t>
      </w:r>
      <w:r w:rsidR="006008EF">
        <w:t xml:space="preserve"> he could only use his own equipment with the </w:t>
      </w:r>
      <w:r w:rsidR="00C75DA0">
        <w:t>“expressed permis</w:t>
      </w:r>
      <w:r w:rsidR="006008EF">
        <w:t>sion” of JMC: recital 2 in the Memoranda</w:t>
      </w:r>
      <w:r w:rsidR="00C75DA0">
        <w:t>.   The effecti</w:t>
      </w:r>
      <w:r w:rsidR="00037A7C">
        <w:t xml:space="preserve">ve default position </w:t>
      </w:r>
      <w:r w:rsidR="00C75DA0">
        <w:t>was that</w:t>
      </w:r>
      <w:r>
        <w:t xml:space="preserve"> </w:t>
      </w:r>
      <w:r w:rsidR="002363A0">
        <w:t xml:space="preserve">Mr Harrison </w:t>
      </w:r>
      <w:r w:rsidR="00037A7C">
        <w:t xml:space="preserve">would </w:t>
      </w:r>
      <w:r w:rsidR="002363A0">
        <w:t xml:space="preserve">utilise JMC’s equipment in the delivery of the teaching services.  </w:t>
      </w:r>
    </w:p>
    <w:p w14:paraId="595A67B9" w14:textId="0F798FA8" w:rsidR="002363A0" w:rsidRDefault="00EF3173" w:rsidP="008158B5">
      <w:pPr>
        <w:pStyle w:val="ParaNumbering"/>
      </w:pPr>
      <w:r>
        <w:t>The evidence established that i</w:t>
      </w:r>
      <w:r w:rsidR="002363A0">
        <w:t xml:space="preserve">t was </w:t>
      </w:r>
      <w:r w:rsidR="0069429B">
        <w:t>known to both JMC and Mr Harrison at the time they entered</w:t>
      </w:r>
      <w:r w:rsidR="00353CCA">
        <w:t xml:space="preserve"> into</w:t>
      </w:r>
      <w:r w:rsidR="0069429B">
        <w:t xml:space="preserve"> all the contracts during the relevant period that JMC </w:t>
      </w:r>
      <w:r w:rsidR="00353CCA">
        <w:t xml:space="preserve">would </w:t>
      </w:r>
      <w:r w:rsidR="004D40A5">
        <w:t xml:space="preserve">effectively </w:t>
      </w:r>
      <w:r w:rsidR="00353CCA">
        <w:t xml:space="preserve">provide </w:t>
      </w:r>
      <w:r w:rsidR="0069429B">
        <w:t xml:space="preserve">all the necessary infrastructure and equipment to enable Mr Harrison to </w:t>
      </w:r>
      <w:r w:rsidR="00353CCA">
        <w:t xml:space="preserve">deliver </w:t>
      </w:r>
      <w:r w:rsidR="0069429B">
        <w:t xml:space="preserve">the teaching services in accordance with the contracts.  The infrastructure and equipment </w:t>
      </w:r>
      <w:r w:rsidR="00037A7C">
        <w:t xml:space="preserve">provided by JMC was extensive.  It </w:t>
      </w:r>
      <w:r w:rsidR="0069429B">
        <w:t xml:space="preserve">included the </w:t>
      </w:r>
      <w:r w:rsidR="000E15BC">
        <w:t xml:space="preserve">classrooms at JMC’s campus </w:t>
      </w:r>
      <w:r w:rsidR="00353CCA">
        <w:t>where</w:t>
      </w:r>
      <w:r w:rsidR="000E15BC">
        <w:t xml:space="preserve"> Mr Harrison delivered his lectures, </w:t>
      </w:r>
      <w:r w:rsidR="0046702B">
        <w:t>whiteboards, audio equipment for teaching audio</w:t>
      </w:r>
      <w:r w:rsidR="00353CCA">
        <w:t>-</w:t>
      </w:r>
      <w:r w:rsidR="0046702B">
        <w:t>related subjects</w:t>
      </w:r>
      <w:r w:rsidR="00353CCA">
        <w:t xml:space="preserve"> (</w:t>
      </w:r>
      <w:r w:rsidR="0046702B">
        <w:t>including mixing consoles, speakers and microphones</w:t>
      </w:r>
      <w:r w:rsidR="00353CCA">
        <w:t>)</w:t>
      </w:r>
      <w:r w:rsidR="0046702B">
        <w:t xml:space="preserve">, </w:t>
      </w:r>
      <w:r w:rsidR="000E15BC">
        <w:t>computers and a photocopier for general teaching tasks</w:t>
      </w:r>
      <w:r w:rsidR="00811062">
        <w:t xml:space="preserve"> (</w:t>
      </w:r>
      <w:r w:rsidR="0046702B">
        <w:t>including marking</w:t>
      </w:r>
      <w:r w:rsidR="00811062">
        <w:t>),</w:t>
      </w:r>
      <w:r w:rsidR="0046702B">
        <w:t xml:space="preserve"> and </w:t>
      </w:r>
      <w:r w:rsidR="000E15BC">
        <w:t>access to wireless internet</w:t>
      </w:r>
      <w:r w:rsidR="001B2F6D">
        <w:t>.</w:t>
      </w:r>
    </w:p>
    <w:p w14:paraId="7C4A199E" w14:textId="4086364A" w:rsidR="00F805C2" w:rsidRDefault="00DC254D" w:rsidP="00DC254D">
      <w:pPr>
        <w:pStyle w:val="ParaNumbering"/>
      </w:pPr>
      <w:r w:rsidRPr="00DC254D">
        <w:t xml:space="preserve">The fact that JMC made </w:t>
      </w:r>
      <w:r w:rsidR="00037A7C">
        <w:t xml:space="preserve">its </w:t>
      </w:r>
      <w:r w:rsidRPr="00DC254D">
        <w:t>infrastructure a</w:t>
      </w:r>
      <w:r w:rsidR="00037A7C">
        <w:t>n</w:t>
      </w:r>
      <w:r w:rsidRPr="00DC254D">
        <w:t xml:space="preserve">d equipment available was an objective fact </w:t>
      </w:r>
      <w:r w:rsidR="00353CCA">
        <w:t xml:space="preserve">known to the parties at the time of entry into the contract </w:t>
      </w:r>
      <w:r w:rsidRPr="00DC254D">
        <w:t>which assists in identifying the purpose of the contract.</w:t>
      </w:r>
      <w:r>
        <w:t xml:space="preserve">  It tends to indicate that the purpose of the contract was to have Mr Harrison provide his labour </w:t>
      </w:r>
      <w:r w:rsidR="005E4BF0">
        <w:t xml:space="preserve">in service </w:t>
      </w:r>
      <w:r>
        <w:t>of JMC’s business</w:t>
      </w:r>
      <w:r w:rsidR="005E4BF0">
        <w:t xml:space="preserve">.  It therefore militates </w:t>
      </w:r>
      <w:r w:rsidR="002363A0">
        <w:t>in favour of</w:t>
      </w:r>
      <w:r w:rsidR="005E4BF0">
        <w:t xml:space="preserve"> there being a relationship between JMC and Mr Harrison of employer and employee</w:t>
      </w:r>
      <w:r w:rsidR="002363A0">
        <w:t xml:space="preserve">. </w:t>
      </w:r>
      <w:r w:rsidR="00863E56">
        <w:t xml:space="preserve"> </w:t>
      </w:r>
      <w:r w:rsidR="002A2536">
        <w:t xml:space="preserve"> </w:t>
      </w:r>
    </w:p>
    <w:p w14:paraId="41C5B471" w14:textId="77777777" w:rsidR="002E548C" w:rsidRDefault="002E548C" w:rsidP="002E548C">
      <w:pPr>
        <w:pStyle w:val="Heading2"/>
      </w:pPr>
      <w:r>
        <w:t>Intellectual property</w:t>
      </w:r>
      <w:r w:rsidR="00766779">
        <w:t xml:space="preserve"> and confidentiality</w:t>
      </w:r>
    </w:p>
    <w:p w14:paraId="58A81835" w14:textId="55438E26" w:rsidR="002E548C" w:rsidRDefault="0033372C" w:rsidP="0033372C">
      <w:pPr>
        <w:pStyle w:val="ParaNumbering"/>
      </w:pPr>
      <w:r>
        <w:t>The second paragraph of c</w:t>
      </w:r>
      <w:r w:rsidR="00C91816">
        <w:t>l</w:t>
      </w:r>
      <w:r>
        <w:t>ause 12 of the M</w:t>
      </w:r>
      <w:r w:rsidR="0054492B">
        <w:t>emoranda provides that “[a]</w:t>
      </w:r>
      <w:proofErr w:type="spellStart"/>
      <w:r w:rsidR="0054492B" w:rsidRPr="0054492B">
        <w:t>ny</w:t>
      </w:r>
      <w:proofErr w:type="spellEnd"/>
      <w:r w:rsidR="0054492B" w:rsidRPr="0054492B">
        <w:t xml:space="preserve"> intellectual property</w:t>
      </w:r>
      <w:r w:rsidR="0054492B">
        <w:t xml:space="preserve"> … </w:t>
      </w:r>
      <w:r w:rsidR="0054492B" w:rsidRPr="0054492B">
        <w:t>bought</w:t>
      </w:r>
      <w:r w:rsidR="00811062">
        <w:t xml:space="preserve"> [sic]</w:t>
      </w:r>
      <w:r w:rsidR="0054492B" w:rsidRPr="0054492B">
        <w:t xml:space="preserve"> into existence by</w:t>
      </w:r>
      <w:r w:rsidR="0054492B">
        <w:t xml:space="preserve"> [Mr Harrison] … </w:t>
      </w:r>
      <w:r w:rsidR="0054492B" w:rsidRPr="0054492B">
        <w:t xml:space="preserve">in providing the teaching services in the Schedule will fully and absolutely vest </w:t>
      </w:r>
      <w:r w:rsidR="00353CCA">
        <w:t xml:space="preserve">in </w:t>
      </w:r>
      <w:r w:rsidR="00A428FE">
        <w:t xml:space="preserve">[JMC]”.  </w:t>
      </w:r>
      <w:r w:rsidR="003311C9">
        <w:t>It also permits JMC to make visual and sound recordings of Mr Harrison while he is providing teaching services</w:t>
      </w:r>
      <w:r w:rsidR="00353CCA">
        <w:t>,</w:t>
      </w:r>
      <w:r w:rsidR="003311C9">
        <w:t xml:space="preserve"> and provides that</w:t>
      </w:r>
      <w:r w:rsidR="000C5AE7">
        <w:t xml:space="preserve"> the intellectual property in those r</w:t>
      </w:r>
      <w:r>
        <w:t xml:space="preserve">ecordings vests in JMC.  </w:t>
      </w:r>
      <w:r w:rsidR="000C5AE7">
        <w:t xml:space="preserve">JMC </w:t>
      </w:r>
      <w:r>
        <w:t xml:space="preserve">also has the right to use those recordings </w:t>
      </w:r>
      <w:r w:rsidRPr="0033372C">
        <w:t xml:space="preserve">for any lawful purpose </w:t>
      </w:r>
      <w:r w:rsidR="000C5AE7">
        <w:t xml:space="preserve">at its “absolute discretion”.  </w:t>
      </w:r>
    </w:p>
    <w:p w14:paraId="43B59C32" w14:textId="400800F0" w:rsidR="00231C14" w:rsidRDefault="008651DE" w:rsidP="0054492B">
      <w:pPr>
        <w:pStyle w:val="ParaNumbering"/>
      </w:pPr>
      <w:r>
        <w:t xml:space="preserve">The fact that </w:t>
      </w:r>
      <w:r w:rsidR="004D40A5">
        <w:t xml:space="preserve">any </w:t>
      </w:r>
      <w:r>
        <w:t>intellectual property</w:t>
      </w:r>
      <w:r w:rsidR="004D40A5">
        <w:t>, including the intellectual property</w:t>
      </w:r>
      <w:r>
        <w:t xml:space="preserve"> in any recordings</w:t>
      </w:r>
      <w:r w:rsidR="00EC1BB1">
        <w:t>,</w:t>
      </w:r>
      <w:r>
        <w:t xml:space="preserve"> brought into existence by either Mr</w:t>
      </w:r>
      <w:r w:rsidR="00944CC8">
        <w:t> </w:t>
      </w:r>
      <w:r>
        <w:t xml:space="preserve">Harrison or JMC while Mr Harrison was providing teaching services </w:t>
      </w:r>
      <w:r w:rsidR="00994F82">
        <w:t>is indicative of</w:t>
      </w:r>
      <w:r w:rsidR="001D1536">
        <w:t xml:space="preserve"> Mr</w:t>
      </w:r>
      <w:r w:rsidR="00944CC8">
        <w:t> </w:t>
      </w:r>
      <w:r w:rsidR="001D1536">
        <w:t xml:space="preserve">Harrison’s relative subservience.  It also </w:t>
      </w:r>
      <w:r w:rsidR="00994F82">
        <w:t xml:space="preserve">points to </w:t>
      </w:r>
      <w:r w:rsidR="001D1536">
        <w:t xml:space="preserve">Mr Harrison </w:t>
      </w:r>
      <w:r w:rsidR="00994F82">
        <w:t>serving in JMC’s business, as opposed to him providing services to JMC</w:t>
      </w:r>
      <w:r w:rsidR="008E7046">
        <w:t xml:space="preserve"> as an independent contractor.  If Mr Harrison was an independent contractor, it would be surprising </w:t>
      </w:r>
      <w:r w:rsidR="008E7046">
        <w:lastRenderedPageBreak/>
        <w:t xml:space="preserve">if he did not </w:t>
      </w:r>
      <w:r w:rsidR="003A5987">
        <w:t xml:space="preserve">have the right to </w:t>
      </w:r>
      <w:r w:rsidR="008E7046">
        <w:t xml:space="preserve">retain the intellectual property in any recordings or images he created in the course of providing the teaching services.  </w:t>
      </w:r>
      <w:r w:rsidR="00E959B9">
        <w:t xml:space="preserve">The fact </w:t>
      </w:r>
      <w:r w:rsidR="003A5987">
        <w:t>that JMC had</w:t>
      </w:r>
      <w:r w:rsidR="00E959B9">
        <w:t xml:space="preserve"> the right to </w:t>
      </w:r>
      <w:r w:rsidR="00B77C49">
        <w:t xml:space="preserve">make, </w:t>
      </w:r>
      <w:r w:rsidR="00E959B9">
        <w:t>retain</w:t>
      </w:r>
      <w:r w:rsidR="008116AE">
        <w:t xml:space="preserve"> and use any recordings that were made</w:t>
      </w:r>
      <w:r w:rsidR="00E959B9">
        <w:t xml:space="preserve"> of Mr Harrison’s lessons, even after Mr Harrison </w:t>
      </w:r>
      <w:r w:rsidR="00B77C49">
        <w:t>has ceased to provide services to JMC, also demonstrates the extent of JMC’s control in respect of Mr Harrison’s services</w:t>
      </w:r>
      <w:r w:rsidR="00231C14">
        <w:t xml:space="preserve"> and indicates that </w:t>
      </w:r>
      <w:r w:rsidR="008F0B3B">
        <w:t>he</w:t>
      </w:r>
      <w:r w:rsidR="00231C14">
        <w:t xml:space="preserve"> </w:t>
      </w:r>
      <w:r w:rsidR="000C738A">
        <w:t xml:space="preserve">served </w:t>
      </w:r>
      <w:r w:rsidR="00231C14">
        <w:t>in JMC’s business.</w:t>
      </w:r>
      <w:r w:rsidR="00F37B7E">
        <w:t xml:space="preserve">  One would generally expect that, if Mr Harrison was conducting his own business as an independent contractor providing teaching services, he would retain the intellectual property in any recordings made in the course of him providing those services.  </w:t>
      </w:r>
      <w:r w:rsidR="00231C14">
        <w:t xml:space="preserve">  </w:t>
      </w:r>
    </w:p>
    <w:p w14:paraId="2935F611" w14:textId="4A44D950" w:rsidR="000C5AE7" w:rsidRDefault="00C91816" w:rsidP="0054492B">
      <w:pPr>
        <w:pStyle w:val="ParaNumbering"/>
      </w:pPr>
      <w:r>
        <w:t>Clause 1</w:t>
      </w:r>
      <w:r w:rsidR="00811062">
        <w:t>3</w:t>
      </w:r>
      <w:r w:rsidR="00ED2C6C">
        <w:t xml:space="preserve"> o</w:t>
      </w:r>
      <w:r w:rsidR="00B64E6B">
        <w:t>f the M</w:t>
      </w:r>
      <w:r>
        <w:t xml:space="preserve">emoranda </w:t>
      </w:r>
      <w:r w:rsidR="003404D8">
        <w:t>is a fairly standard confidentiality clause.  The</w:t>
      </w:r>
      <w:r w:rsidR="00E959B9">
        <w:t xml:space="preserve"> </w:t>
      </w:r>
      <w:r w:rsidR="003404D8">
        <w:t xml:space="preserve">only point to note about it is </w:t>
      </w:r>
      <w:r w:rsidR="00B64E6B">
        <w:t>that it is essentially</w:t>
      </w:r>
      <w:r w:rsidR="003404D8">
        <w:t xml:space="preserve"> </w:t>
      </w:r>
      <w:r w:rsidR="005A3A71">
        <w:t>unilatera</w:t>
      </w:r>
      <w:r w:rsidR="003404D8">
        <w:t>l</w:t>
      </w:r>
      <w:r w:rsidR="00B64E6B">
        <w:t xml:space="preserve"> in the sense that it only protects JMC</w:t>
      </w:r>
      <w:r w:rsidR="003404D8">
        <w:t xml:space="preserve">.  It </w:t>
      </w:r>
      <w:r w:rsidR="00287BB4">
        <w:t>prohibits Mr Harrison from divulging or applying to his own use any confidential information concerning the “business, financial arrangements, intellectual property</w:t>
      </w:r>
      <w:r w:rsidR="001F4432">
        <w:t xml:space="preserve"> or position” of JMC, or “any dealings, transactions or affairs of the business” of JMC.  </w:t>
      </w:r>
      <w:r w:rsidR="00B64E6B">
        <w:t xml:space="preserve">JMC is not prevented or prohibited from using or disseminating any confidential information concerning Mr Harrison.  </w:t>
      </w:r>
      <w:r w:rsidR="001F4432">
        <w:t>That again tends to suggest that Mr Harrison was engaged to provide services in or f</w:t>
      </w:r>
      <w:r w:rsidR="00BC7448">
        <w:t>or the purposes of JMC’s business</w:t>
      </w:r>
      <w:r w:rsidR="00B64E6B">
        <w:t>.</w:t>
      </w:r>
      <w:r w:rsidR="001F4432">
        <w:t xml:space="preserve">  </w:t>
      </w:r>
      <w:r w:rsidR="003404D8">
        <w:t xml:space="preserve"> </w:t>
      </w:r>
    </w:p>
    <w:p w14:paraId="162DC418" w14:textId="77777777" w:rsidR="00870214" w:rsidRDefault="00870214" w:rsidP="00870214">
      <w:pPr>
        <w:pStyle w:val="Heading2"/>
      </w:pPr>
      <w:r>
        <w:t>Termination</w:t>
      </w:r>
    </w:p>
    <w:p w14:paraId="74C87EFE" w14:textId="3C5B5A07" w:rsidR="00870214" w:rsidRDefault="0012606E" w:rsidP="008158B5">
      <w:pPr>
        <w:pStyle w:val="ParaNumbering"/>
      </w:pPr>
      <w:r>
        <w:t xml:space="preserve">Clause </w:t>
      </w:r>
      <w:r w:rsidR="00811062">
        <w:t>16</w:t>
      </w:r>
      <w:r>
        <w:t xml:space="preserve"> of the Memoranda</w:t>
      </w:r>
      <w:r w:rsidR="00DD1F4D">
        <w:t xml:space="preserve"> provides that both JMC and Mr Harrison </w:t>
      </w:r>
      <w:r>
        <w:t xml:space="preserve">were able to </w:t>
      </w:r>
      <w:r w:rsidR="00DD1F4D">
        <w:t>terminate the contract</w:t>
      </w:r>
      <w:r w:rsidR="00927776">
        <w:t>s</w:t>
      </w:r>
      <w:r w:rsidR="00DD1F4D">
        <w:t xml:space="preserve"> upon giving two weeks’ </w:t>
      </w:r>
      <w:r w:rsidR="00811062">
        <w:t xml:space="preserve">written </w:t>
      </w:r>
      <w:r w:rsidR="00DD1F4D">
        <w:t>notice.</w:t>
      </w:r>
      <w:r w:rsidR="00AE67A7">
        <w:t xml:space="preserve">  JMC submitted that termination upon such relatively short notice pointed towards an independent contractor</w:t>
      </w:r>
      <w:r w:rsidR="005571EC">
        <w:t xml:space="preserve"> relationship.  </w:t>
      </w:r>
      <w:r w:rsidR="00811062">
        <w:t xml:space="preserve">The Commissioner </w:t>
      </w:r>
      <w:r w:rsidR="00AE67A7">
        <w:t>submitted to the contrary</w:t>
      </w:r>
      <w:r w:rsidR="005A3A71">
        <w:t xml:space="preserve">, pointing out </w:t>
      </w:r>
      <w:r w:rsidR="005571EC">
        <w:t>that</w:t>
      </w:r>
      <w:r w:rsidR="005A3A71">
        <w:t>,</w:t>
      </w:r>
      <w:r w:rsidR="005571EC">
        <w:t xml:space="preserve"> in </w:t>
      </w:r>
      <w:r w:rsidR="005571EC" w:rsidRPr="00D237C9">
        <w:rPr>
          <w:i/>
        </w:rPr>
        <w:t>Personnel Contracting</w:t>
      </w:r>
      <w:r w:rsidR="005571EC">
        <w:t>, the individual in question</w:t>
      </w:r>
      <w:r w:rsidR="00D237C9">
        <w:t>, Mr McCourt,</w:t>
      </w:r>
      <w:r w:rsidR="005571EC">
        <w:t xml:space="preserve"> was held to be an employee</w:t>
      </w:r>
      <w:r w:rsidR="004C00EF">
        <w:t xml:space="preserve"> in circumstances where he had the right to notify </w:t>
      </w:r>
      <w:r w:rsidR="005A3A71">
        <w:t xml:space="preserve">his employer </w:t>
      </w:r>
      <w:r w:rsidR="004C00EF">
        <w:t xml:space="preserve">that he was no longer available for the supply of labour on four hours’ notice.  </w:t>
      </w:r>
      <w:r w:rsidR="00D237C9">
        <w:t>Gordon J indicated (at [196]) that the fact that Mr McCourt could give such</w:t>
      </w:r>
      <w:r w:rsidR="005A3A71">
        <w:t xml:space="preserve"> short</w:t>
      </w:r>
      <w:r w:rsidR="00D237C9">
        <w:t xml:space="preserve"> notice “may be indicative of a relationship of casual employment”.</w:t>
      </w:r>
      <w:r w:rsidR="00E9139F">
        <w:t xml:space="preserve">  </w:t>
      </w:r>
      <w:r w:rsidR="00811062">
        <w:t>The Commissioner</w:t>
      </w:r>
      <w:r w:rsidR="00E9139F">
        <w:t xml:space="preserve"> also noted that in </w:t>
      </w:r>
      <w:r w:rsidR="00E9139F" w:rsidRPr="008E76DF">
        <w:rPr>
          <w:i/>
        </w:rPr>
        <w:t xml:space="preserve">Commissioner of State Revenue v </w:t>
      </w:r>
      <w:r w:rsidR="00E9139F" w:rsidRPr="008E76DF">
        <w:rPr>
          <w:b/>
          <w:i/>
        </w:rPr>
        <w:t>Mortgage Force</w:t>
      </w:r>
      <w:r w:rsidR="00E9139F" w:rsidRPr="008E76DF">
        <w:rPr>
          <w:i/>
        </w:rPr>
        <w:t xml:space="preserve"> Australia Pty </w:t>
      </w:r>
      <w:r w:rsidR="00446459" w:rsidRPr="008E76DF">
        <w:rPr>
          <w:i/>
        </w:rPr>
        <w:t xml:space="preserve">Ltd </w:t>
      </w:r>
      <w:r w:rsidR="003B16D5" w:rsidRPr="008E76DF">
        <w:t>[2009] WASCA</w:t>
      </w:r>
      <w:r w:rsidRPr="008E76DF">
        <w:t xml:space="preserve"> 24</w:t>
      </w:r>
      <w:r>
        <w:t>,</w:t>
      </w:r>
      <w:r w:rsidR="003B16D5">
        <w:t xml:space="preserve"> </w:t>
      </w:r>
      <w:r w:rsidR="00E9139F">
        <w:t xml:space="preserve">Buss JA (with whom </w:t>
      </w:r>
      <w:proofErr w:type="spellStart"/>
      <w:r w:rsidR="00E9139F">
        <w:t>Steytler</w:t>
      </w:r>
      <w:proofErr w:type="spellEnd"/>
      <w:r w:rsidR="00E9139F">
        <w:t xml:space="preserve"> P and La </w:t>
      </w:r>
      <w:proofErr w:type="spellStart"/>
      <w:r w:rsidR="00E9139F">
        <w:t>Miere</w:t>
      </w:r>
      <w:proofErr w:type="spellEnd"/>
      <w:r w:rsidR="00E9139F">
        <w:t xml:space="preserve"> </w:t>
      </w:r>
      <w:r w:rsidR="00446459">
        <w:t>A</w:t>
      </w:r>
      <w:r w:rsidR="00E9139F">
        <w:t>JA agreed)</w:t>
      </w:r>
      <w:r w:rsidR="00714435">
        <w:t xml:space="preserve"> reasoned </w:t>
      </w:r>
      <w:r w:rsidR="001C71A3">
        <w:t xml:space="preserve">(at [104]) </w:t>
      </w:r>
      <w:r w:rsidR="00714435">
        <w:t>that a clause in a</w:t>
      </w:r>
      <w:r w:rsidR="007D09CE">
        <w:t xml:space="preserve"> deed of appointment </w:t>
      </w:r>
      <w:r w:rsidR="00714435">
        <w:t>permitt</w:t>
      </w:r>
      <w:r w:rsidR="007D09CE">
        <w:t>ing</w:t>
      </w:r>
      <w:r w:rsidR="00714435">
        <w:t xml:space="preserve"> </w:t>
      </w:r>
      <w:r w:rsidR="007D09CE">
        <w:t>the</w:t>
      </w:r>
      <w:r w:rsidR="00714435">
        <w:t xml:space="preserve"> putative employer to terminate the </w:t>
      </w:r>
      <w:r w:rsidR="007D09CE">
        <w:t xml:space="preserve">deed </w:t>
      </w:r>
      <w:r w:rsidR="00714435">
        <w:t xml:space="preserve">on two weeks’ </w:t>
      </w:r>
      <w:r w:rsidR="007D09CE">
        <w:t xml:space="preserve">written </w:t>
      </w:r>
      <w:r w:rsidR="00714435">
        <w:t xml:space="preserve">notice, </w:t>
      </w:r>
      <w:r w:rsidR="005A3A71">
        <w:t xml:space="preserve">absent any breach or failure to observe the provisions of the </w:t>
      </w:r>
      <w:r w:rsidR="007D09CE">
        <w:t>deed</w:t>
      </w:r>
      <w:r w:rsidR="005A3A71">
        <w:t xml:space="preserve"> by the putative employee, </w:t>
      </w:r>
      <w:r w:rsidR="001C71A3">
        <w:t xml:space="preserve">“conferred </w:t>
      </w:r>
      <w:r w:rsidR="009D3147">
        <w:t xml:space="preserve">[upon the putative employer] </w:t>
      </w:r>
      <w:r w:rsidR="001C71A3">
        <w:t xml:space="preserve">a capacity to control” the putative </w:t>
      </w:r>
      <w:r w:rsidR="005A3A71">
        <w:t>employee</w:t>
      </w:r>
      <w:r w:rsidR="001C71A3">
        <w:t xml:space="preserve"> and </w:t>
      </w:r>
      <w:r w:rsidR="00446459">
        <w:t xml:space="preserve">its </w:t>
      </w:r>
      <w:r w:rsidR="001C71A3">
        <w:t xml:space="preserve">activities. </w:t>
      </w:r>
      <w:r w:rsidR="00714435">
        <w:t xml:space="preserve"> </w:t>
      </w:r>
      <w:r w:rsidR="00E9139F">
        <w:t xml:space="preserve"> </w:t>
      </w:r>
    </w:p>
    <w:p w14:paraId="4ABCD1E8" w14:textId="0A401F86" w:rsidR="00D237C9" w:rsidRDefault="00D237C9" w:rsidP="008158B5">
      <w:pPr>
        <w:pStyle w:val="ParaNumbering"/>
      </w:pPr>
      <w:r>
        <w:lastRenderedPageBreak/>
        <w:t>Ultimately</w:t>
      </w:r>
      <w:r w:rsidR="005A3A71">
        <w:t>,</w:t>
      </w:r>
      <w:r>
        <w:t xml:space="preserve"> not a great deal m</w:t>
      </w:r>
      <w:r w:rsidR="005A3A71">
        <w:t>a</w:t>
      </w:r>
      <w:r>
        <w:t>y hinge on the contractual right to terminate on two weeks’ notice.  It does not point particular</w:t>
      </w:r>
      <w:r w:rsidR="00927776">
        <w:t xml:space="preserve">ly strongly in either direction, though if anything it </w:t>
      </w:r>
      <w:r w:rsidR="001B2F6D">
        <w:t xml:space="preserve">again </w:t>
      </w:r>
      <w:r w:rsidR="00927776">
        <w:t xml:space="preserve">tends to reveal Mr Harrison’s relative subservience. </w:t>
      </w:r>
    </w:p>
    <w:p w14:paraId="48CD8008" w14:textId="77777777" w:rsidR="00F805C2" w:rsidRDefault="00F805C2" w:rsidP="00F805C2">
      <w:pPr>
        <w:pStyle w:val="Heading2"/>
      </w:pPr>
      <w:r>
        <w:t>“Labels” and description</w:t>
      </w:r>
    </w:p>
    <w:p w14:paraId="0EB58914" w14:textId="6A92C568" w:rsidR="00AF5F52" w:rsidRDefault="009D3147" w:rsidP="008158B5">
      <w:pPr>
        <w:pStyle w:val="ParaNumbering"/>
      </w:pPr>
      <w:r>
        <w:t>Clause 10 of the Memoranda</w:t>
      </w:r>
      <w:r w:rsidR="003478D0">
        <w:t xml:space="preserve"> provides that Mr H</w:t>
      </w:r>
      <w:r>
        <w:t>arrison “agrees and acknowledges</w:t>
      </w:r>
      <w:r w:rsidR="00A677D4">
        <w:t>”</w:t>
      </w:r>
      <w:r w:rsidR="003478D0">
        <w:t xml:space="preserve"> that </w:t>
      </w:r>
      <w:r w:rsidR="00A677D4">
        <w:t xml:space="preserve">his relationship with JMC is that of “contractor” and that </w:t>
      </w:r>
      <w:r>
        <w:t xml:space="preserve">he </w:t>
      </w:r>
      <w:r w:rsidR="00A677D4">
        <w:t>indemnifies JMC “in relation to any and all claims … which may be made in rela</w:t>
      </w:r>
      <w:r w:rsidR="00AF5F52">
        <w:t xml:space="preserve">tion to any and all entitlements which may accrue to an employee” under the </w:t>
      </w:r>
      <w:r w:rsidR="00AF5F52" w:rsidRPr="008E76DF">
        <w:rPr>
          <w:b/>
          <w:i/>
        </w:rPr>
        <w:t>Fair Work Act</w:t>
      </w:r>
      <w:r w:rsidR="00AF5F52" w:rsidRPr="008E76DF">
        <w:rPr>
          <w:i/>
        </w:rPr>
        <w:t xml:space="preserve"> 2009</w:t>
      </w:r>
      <w:r w:rsidR="00AF5F52" w:rsidRPr="008E76DF">
        <w:t xml:space="preserve"> (</w:t>
      </w:r>
      <w:proofErr w:type="spellStart"/>
      <w:r w:rsidR="00AF5F52" w:rsidRPr="008E76DF">
        <w:t>Cth</w:t>
      </w:r>
      <w:proofErr w:type="spellEnd"/>
      <w:r w:rsidR="00AF5F52" w:rsidRPr="008E76DF">
        <w:t>)</w:t>
      </w:r>
      <w:r w:rsidR="00AF5F52">
        <w:t xml:space="preserve"> and the </w:t>
      </w:r>
      <w:r w:rsidR="001B76E4">
        <w:t xml:space="preserve">SGA </w:t>
      </w:r>
      <w:r w:rsidR="00AF5F52">
        <w:t xml:space="preserve">Act and “any legislation replacing those Acts”. </w:t>
      </w:r>
    </w:p>
    <w:p w14:paraId="65587365" w14:textId="06E95CFE" w:rsidR="00AE454F" w:rsidRDefault="002439A3" w:rsidP="00BF5E91">
      <w:pPr>
        <w:pStyle w:val="ParaNumbering"/>
      </w:pPr>
      <w:r>
        <w:t xml:space="preserve">Little, if any, weight is to be given to Mr Harrison’s agreement and acknowledgment as to the status of his relationship with JMC.  It is, at best, no more than </w:t>
      </w:r>
      <w:r w:rsidR="00756A3D">
        <w:t xml:space="preserve">an </w:t>
      </w:r>
      <w:r w:rsidR="00275142">
        <w:t>expression of opinion by the parties – though</w:t>
      </w:r>
      <w:r w:rsidR="001B76E4">
        <w:t>,</w:t>
      </w:r>
      <w:r w:rsidR="00A86919">
        <w:t xml:space="preserve"> </w:t>
      </w:r>
      <w:r w:rsidR="00275142">
        <w:t>in reality</w:t>
      </w:r>
      <w:r w:rsidR="00236B09">
        <w:t>, really only</w:t>
      </w:r>
      <w:r w:rsidR="00275142">
        <w:t xml:space="preserve"> </w:t>
      </w:r>
      <w:r w:rsidR="00236B09">
        <w:t xml:space="preserve">an expression of opinion by </w:t>
      </w:r>
      <w:r w:rsidR="00275142">
        <w:t>JMC</w:t>
      </w:r>
      <w:r w:rsidR="006D4DAD">
        <w:t>, the party with the greater bargaining power</w:t>
      </w:r>
      <w:r w:rsidR="009D3147">
        <w:t xml:space="preserve"> and the party that drafted the Memoranda</w:t>
      </w:r>
      <w:r w:rsidR="006D4DAD">
        <w:t xml:space="preserve"> –</w:t>
      </w:r>
      <w:r w:rsidR="00756A3D">
        <w:t xml:space="preserve"> about the legal character </w:t>
      </w:r>
      <w:r w:rsidR="00236B09">
        <w:t>of the</w:t>
      </w:r>
      <w:r w:rsidR="00756A3D">
        <w:t xml:space="preserve"> relationship.</w:t>
      </w:r>
      <w:r w:rsidR="00BC746E">
        <w:t xml:space="preserve">  A “label” chosen by the parties to describe their relationship, or an expression of their opinion about the legal character of their relationship, is not “determinative of, or even relevant to</w:t>
      </w:r>
      <w:r w:rsidR="007D09CE">
        <w:t>,</w:t>
      </w:r>
      <w:r w:rsidR="00BC746E">
        <w:t xml:space="preserve"> </w:t>
      </w:r>
      <w:r w:rsidR="00CE0E41">
        <w:t xml:space="preserve">that characterisation”: </w:t>
      </w:r>
      <w:r w:rsidR="00CE0E41" w:rsidRPr="00CE0E41">
        <w:rPr>
          <w:i/>
        </w:rPr>
        <w:t>Personnel Contracting</w:t>
      </w:r>
      <w:r w:rsidR="00CE0E41">
        <w:t xml:space="preserve"> at [63]</w:t>
      </w:r>
      <w:r w:rsidR="00083CD8">
        <w:t xml:space="preserve"> (</w:t>
      </w:r>
      <w:proofErr w:type="spellStart"/>
      <w:r w:rsidR="00083CD8">
        <w:t>Kiefel</w:t>
      </w:r>
      <w:proofErr w:type="spellEnd"/>
      <w:r w:rsidR="00083CD8">
        <w:t xml:space="preserve"> CJ, K</w:t>
      </w:r>
      <w:r w:rsidR="00201151">
        <w:t xml:space="preserve">eane and Edelman JJ); see also </w:t>
      </w:r>
      <w:r w:rsidR="00083CD8">
        <w:t>[184]</w:t>
      </w:r>
      <w:r w:rsidR="00201151">
        <w:t xml:space="preserve"> (Gordon J)</w:t>
      </w:r>
      <w:r w:rsidR="00CE0E41">
        <w:t xml:space="preserve">.  That is because the determination of the character of </w:t>
      </w:r>
      <w:r w:rsidR="001B76E4">
        <w:t xml:space="preserve">a </w:t>
      </w:r>
      <w:r w:rsidR="00CE0E41">
        <w:t xml:space="preserve">relationship </w:t>
      </w:r>
      <w:r w:rsidR="00BF5E91">
        <w:t xml:space="preserve">between two parties </w:t>
      </w:r>
      <w:r w:rsidR="00CE0E41">
        <w:t xml:space="preserve">constituted by the rights and obligations </w:t>
      </w:r>
      <w:r w:rsidR="00BF5E91">
        <w:t xml:space="preserve">by which they are to be bound is a matter for the court: </w:t>
      </w:r>
      <w:r w:rsidR="00BF5E91" w:rsidRPr="00BF5E91">
        <w:rPr>
          <w:i/>
        </w:rPr>
        <w:t>Personnel Contracting</w:t>
      </w:r>
      <w:r w:rsidR="00BF5E91">
        <w:t xml:space="preserve"> at [64]</w:t>
      </w:r>
      <w:r w:rsidR="007D09CE">
        <w:t xml:space="preserve"> (</w:t>
      </w:r>
      <w:proofErr w:type="spellStart"/>
      <w:r w:rsidR="007D09CE">
        <w:t>Kiefel</w:t>
      </w:r>
      <w:proofErr w:type="spellEnd"/>
      <w:r w:rsidR="007D09CE">
        <w:t xml:space="preserve"> CJ, Keane and Edelman JJ)</w:t>
      </w:r>
      <w:r w:rsidR="00BF5E91">
        <w:t xml:space="preserve">.  </w:t>
      </w:r>
      <w:r w:rsidR="00083CD8">
        <w:t xml:space="preserve">The “parties cannot deem the relationship between themselves to be something it is not” </w:t>
      </w:r>
      <w:r w:rsidR="000814B1">
        <w:t>(</w:t>
      </w:r>
      <w:r w:rsidR="00083CD8" w:rsidRPr="00AE454F">
        <w:rPr>
          <w:i/>
        </w:rPr>
        <w:t>Hollis</w:t>
      </w:r>
      <w:r w:rsidR="00083CD8">
        <w:t xml:space="preserve"> at</w:t>
      </w:r>
      <w:r w:rsidR="00AE454F">
        <w:t xml:space="preserve"> [58]</w:t>
      </w:r>
      <w:r w:rsidR="007D09CE">
        <w:t xml:space="preserve"> (Gleeson CJ, </w:t>
      </w:r>
      <w:proofErr w:type="spellStart"/>
      <w:r w:rsidR="007D09CE">
        <w:t>Gaudron</w:t>
      </w:r>
      <w:proofErr w:type="spellEnd"/>
      <w:r w:rsidR="007D09CE">
        <w:t xml:space="preserve">, </w:t>
      </w:r>
      <w:proofErr w:type="spellStart"/>
      <w:r w:rsidR="007D09CE">
        <w:t>Gummow</w:t>
      </w:r>
      <w:proofErr w:type="spellEnd"/>
      <w:r w:rsidR="007D09CE">
        <w:t>, Kirby and Hayne JJ)</w:t>
      </w:r>
      <w:r w:rsidR="000814B1">
        <w:t>)</w:t>
      </w:r>
      <w:r w:rsidR="001B76E4">
        <w:t>,</w:t>
      </w:r>
      <w:r w:rsidR="000814B1">
        <w:t xml:space="preserve"> or to put the matter in somewhat</w:t>
      </w:r>
      <w:r w:rsidR="00AE454F">
        <w:t xml:space="preserve"> </w:t>
      </w:r>
      <w:r w:rsidR="000814B1">
        <w:t xml:space="preserve">more colourful terms, the “parties cannot create something which has every feature of a rooster, but </w:t>
      </w:r>
      <w:r w:rsidR="00236B09">
        <w:t>c</w:t>
      </w:r>
      <w:r w:rsidR="000814B1">
        <w:t xml:space="preserve">all it a duck and insist that everybody else recognise it as a duck”: </w:t>
      </w:r>
      <w:r w:rsidR="0099560A" w:rsidRPr="000814B1">
        <w:rPr>
          <w:i/>
        </w:rPr>
        <w:t>Personnel Contracting</w:t>
      </w:r>
      <w:r w:rsidR="0099560A">
        <w:t xml:space="preserve"> at [127] (Gageler and Gleeson JJ), citing </w:t>
      </w:r>
      <w:r w:rsidR="000814B1" w:rsidRPr="008E76DF">
        <w:rPr>
          <w:i/>
        </w:rPr>
        <w:t>Re Porter; Re Transport Workers Union of Australia</w:t>
      </w:r>
      <w:r w:rsidR="000814B1" w:rsidRPr="008E76DF">
        <w:t xml:space="preserve"> (1989) 34 IR 179</w:t>
      </w:r>
      <w:r w:rsidR="000814B1">
        <w:t xml:space="preserve"> at 184</w:t>
      </w:r>
      <w:r w:rsidR="0099560A">
        <w:t>.</w:t>
      </w:r>
      <w:r w:rsidR="000814B1">
        <w:t xml:space="preserve"> </w:t>
      </w:r>
    </w:p>
    <w:p w14:paraId="0D4FCD33" w14:textId="08ED8264" w:rsidR="00F805C2" w:rsidRDefault="00AE454F" w:rsidP="00C960FC">
      <w:pPr>
        <w:pStyle w:val="ParaNumbering"/>
      </w:pPr>
      <w:r>
        <w:t xml:space="preserve">This is not one of those rare cases where the </w:t>
      </w:r>
      <w:r w:rsidR="0089401A">
        <w:t xml:space="preserve">“descriptive language chosen by the parties can shed light on the objective understanding of the operative provisions of their contract”: </w:t>
      </w:r>
      <w:proofErr w:type="spellStart"/>
      <w:r w:rsidR="0089401A">
        <w:t>cf</w:t>
      </w:r>
      <w:proofErr w:type="spellEnd"/>
      <w:r w:rsidR="0089401A">
        <w:t xml:space="preserve"> </w:t>
      </w:r>
      <w:r w:rsidR="0089401A" w:rsidRPr="0089401A">
        <w:rPr>
          <w:i/>
        </w:rPr>
        <w:t>Personnel Contracting</w:t>
      </w:r>
      <w:r w:rsidR="0089401A">
        <w:t xml:space="preserve"> at [66]</w:t>
      </w:r>
      <w:r w:rsidR="0099560A">
        <w:t xml:space="preserve"> (</w:t>
      </w:r>
      <w:proofErr w:type="spellStart"/>
      <w:r w:rsidR="0099560A">
        <w:t>Kiefel</w:t>
      </w:r>
      <w:proofErr w:type="spellEnd"/>
      <w:r w:rsidR="0099560A">
        <w:t xml:space="preserve"> CJ, Keane and Edelman JJ).</w:t>
      </w:r>
      <w:r w:rsidR="00CD604F">
        <w:t xml:space="preserve">   </w:t>
      </w:r>
      <w:r w:rsidR="000541D2">
        <w:t>T</w:t>
      </w:r>
      <w:r w:rsidR="00CD604F">
        <w:t xml:space="preserve">he </w:t>
      </w:r>
      <w:r w:rsidR="001D5FCD">
        <w:t xml:space="preserve">“contractor” </w:t>
      </w:r>
      <w:r w:rsidR="0016362A">
        <w:t xml:space="preserve">label, </w:t>
      </w:r>
      <w:r w:rsidR="001D5FCD">
        <w:t>which was agreed to and acknowledged by Mr Harrison in clause 10</w:t>
      </w:r>
      <w:r w:rsidR="00A86919">
        <w:t xml:space="preserve"> of the Memoranda</w:t>
      </w:r>
      <w:r w:rsidR="00236B09">
        <w:t>,</w:t>
      </w:r>
      <w:r w:rsidR="001D5FCD">
        <w:t xml:space="preserve"> </w:t>
      </w:r>
      <w:r w:rsidR="000541D2">
        <w:t>sheds little, if</w:t>
      </w:r>
      <w:r w:rsidR="001D5FCD">
        <w:t xml:space="preserve"> any</w:t>
      </w:r>
      <w:r w:rsidR="000541D2">
        <w:t>,</w:t>
      </w:r>
      <w:r w:rsidR="001D5FCD">
        <w:t xml:space="preserve"> light on the </w:t>
      </w:r>
      <w:r w:rsidR="0016362A">
        <w:t xml:space="preserve">objective </w:t>
      </w:r>
      <w:r w:rsidR="000541D2">
        <w:t xml:space="preserve">understanding of </w:t>
      </w:r>
      <w:r w:rsidR="001B76E4">
        <w:t xml:space="preserve">the </w:t>
      </w:r>
      <w:r w:rsidR="001D5FCD">
        <w:t>oper</w:t>
      </w:r>
      <w:r w:rsidR="000541D2">
        <w:t xml:space="preserve">ative </w:t>
      </w:r>
      <w:r w:rsidR="00201151">
        <w:t xml:space="preserve">clauses </w:t>
      </w:r>
      <w:r w:rsidR="000541D2">
        <w:t xml:space="preserve">of the </w:t>
      </w:r>
      <w:r w:rsidR="001B76E4">
        <w:t>Memoranda</w:t>
      </w:r>
      <w:r w:rsidR="004E11B6">
        <w:t xml:space="preserve">, other than those </w:t>
      </w:r>
      <w:r w:rsidR="00201151">
        <w:t>clauses</w:t>
      </w:r>
      <w:r w:rsidR="00236B09">
        <w:t xml:space="preserve"> which </w:t>
      </w:r>
      <w:r w:rsidR="004E11B6">
        <w:t>directly reflect the application of that label.</w:t>
      </w:r>
      <w:r w:rsidR="0016362A">
        <w:t xml:space="preserve">  </w:t>
      </w:r>
      <w:r w:rsidR="00C960FC">
        <w:t>T</w:t>
      </w:r>
      <w:r w:rsidR="0016362A">
        <w:t xml:space="preserve">here is </w:t>
      </w:r>
      <w:r w:rsidR="00C960FC">
        <w:t xml:space="preserve">accordingly </w:t>
      </w:r>
      <w:r w:rsidR="00C960FC">
        <w:lastRenderedPageBreak/>
        <w:t xml:space="preserve">“no occasion to have recourse to the label chosen by the parties”: </w:t>
      </w:r>
      <w:proofErr w:type="spellStart"/>
      <w:r w:rsidR="00C960FC">
        <w:t>cf</w:t>
      </w:r>
      <w:proofErr w:type="spellEnd"/>
      <w:r w:rsidR="00C960FC">
        <w:t xml:space="preserve"> </w:t>
      </w:r>
      <w:r w:rsidR="00C960FC" w:rsidRPr="00C960FC">
        <w:rPr>
          <w:i/>
        </w:rPr>
        <w:t>Personnel Contracting</w:t>
      </w:r>
      <w:r w:rsidR="00C960FC">
        <w:t xml:space="preserve"> at [79]</w:t>
      </w:r>
      <w:r w:rsidR="00C960FC" w:rsidRPr="00C960FC">
        <w:t xml:space="preserve"> (</w:t>
      </w:r>
      <w:proofErr w:type="spellStart"/>
      <w:r w:rsidR="00C960FC" w:rsidRPr="00C960FC">
        <w:t>Kiefel</w:t>
      </w:r>
      <w:proofErr w:type="spellEnd"/>
      <w:r w:rsidR="00C960FC" w:rsidRPr="00C960FC">
        <w:t xml:space="preserve"> CJ, Keane and Edelman JJ)</w:t>
      </w:r>
      <w:r w:rsidR="00C960FC">
        <w:t xml:space="preserve">. </w:t>
      </w:r>
      <w:r w:rsidR="0089401A">
        <w:t xml:space="preserve">  </w:t>
      </w:r>
      <w:r w:rsidR="00CE0E41">
        <w:t xml:space="preserve">  </w:t>
      </w:r>
      <w:r w:rsidR="002439A3">
        <w:t xml:space="preserve"> </w:t>
      </w:r>
      <w:r w:rsidR="00AF5F52">
        <w:t xml:space="preserve"> </w:t>
      </w:r>
    </w:p>
    <w:p w14:paraId="497FD965" w14:textId="77777777" w:rsidR="00F805C2" w:rsidRDefault="00A24542" w:rsidP="00EC62FB">
      <w:pPr>
        <w:pStyle w:val="Heading2"/>
      </w:pPr>
      <w:r>
        <w:t>T</w:t>
      </w:r>
      <w:r w:rsidR="00EC62FB">
        <w:t>ax</w:t>
      </w:r>
      <w:r w:rsidR="0020662B">
        <w:t>ation, insurance, sick leave and holiday pay</w:t>
      </w:r>
    </w:p>
    <w:p w14:paraId="48C3D68D" w14:textId="65591651" w:rsidR="00E81825" w:rsidRDefault="004E11B6" w:rsidP="008158B5">
      <w:pPr>
        <w:pStyle w:val="ParaNumbering"/>
      </w:pPr>
      <w:r>
        <w:t xml:space="preserve">There are a </w:t>
      </w:r>
      <w:r w:rsidR="007C678A">
        <w:t>few provisions in the Memoranda</w:t>
      </w:r>
      <w:r>
        <w:t xml:space="preserve"> that reflect </w:t>
      </w:r>
      <w:r w:rsidR="009B4653">
        <w:t>the fact that the parties – though</w:t>
      </w:r>
      <w:r w:rsidR="001B76E4">
        <w:t>,</w:t>
      </w:r>
      <w:r w:rsidR="009B4653">
        <w:t xml:space="preserve"> in reality</w:t>
      </w:r>
      <w:r w:rsidR="001B76E4">
        <w:t>,</w:t>
      </w:r>
      <w:r w:rsidR="009B4653">
        <w:t xml:space="preserve"> JMC – chose to </w:t>
      </w:r>
      <w:r w:rsidR="00490B58">
        <w:t xml:space="preserve">describe </w:t>
      </w:r>
      <w:r w:rsidR="009B4653">
        <w:t xml:space="preserve">Mr Harrison as a “contractor”.  </w:t>
      </w:r>
    </w:p>
    <w:p w14:paraId="1C0AB76A" w14:textId="0E90B59D" w:rsidR="00E81825" w:rsidRDefault="009B4653" w:rsidP="008158B5">
      <w:pPr>
        <w:pStyle w:val="ParaNumbering"/>
      </w:pPr>
      <w:r>
        <w:t>Clause 15 (</w:t>
      </w:r>
      <w:r w:rsidR="00FB32DB">
        <w:t xml:space="preserve">as set out in the </w:t>
      </w:r>
      <w:r>
        <w:t>second dot point)</w:t>
      </w:r>
      <w:r w:rsidR="00AB04B5">
        <w:t xml:space="preserve"> provides that Mr Harrison was to use his “registered business name” when invoicing JMC and that all invoices would include Mr</w:t>
      </w:r>
      <w:r w:rsidR="0066315B">
        <w:t> </w:t>
      </w:r>
      <w:r w:rsidR="00AB04B5">
        <w:t>Harrison’s Australian Business Number (ABN).  Mr Harrison did not, however, have or use a registered business name</w:t>
      </w:r>
      <w:r w:rsidR="0099560A">
        <w:t>,</w:t>
      </w:r>
      <w:r w:rsidR="00AB04B5">
        <w:t xml:space="preserve"> and did not have an </w:t>
      </w:r>
      <w:r w:rsidR="007C678A">
        <w:t>ABN.</w:t>
      </w:r>
      <w:r w:rsidR="00A71B63">
        <w:t xml:space="preserve">  </w:t>
      </w:r>
    </w:p>
    <w:p w14:paraId="622B2F54" w14:textId="03D392ED" w:rsidR="002303E2" w:rsidRDefault="00AB04B5" w:rsidP="008158B5">
      <w:pPr>
        <w:pStyle w:val="ParaNumbering"/>
      </w:pPr>
      <w:r>
        <w:t>Clause 15 (</w:t>
      </w:r>
      <w:r w:rsidR="00FB32DB">
        <w:t xml:space="preserve">as set out in the </w:t>
      </w:r>
      <w:r>
        <w:t xml:space="preserve">fifth dot point) provides that “[w]here the Services provider is registered </w:t>
      </w:r>
      <w:r w:rsidR="00A71B63">
        <w:t xml:space="preserve">for Goods and Services Tax </w:t>
      </w:r>
      <w:r w:rsidR="00E81825">
        <w:t xml:space="preserve">(GST) </w:t>
      </w:r>
      <w:r w:rsidR="00A71B63">
        <w:t xml:space="preserve">purposes, the Services provider will provide invoices in the form of a Tax Invoice and will specify the amount of GST included in the invoiced sum”.  This </w:t>
      </w:r>
      <w:r w:rsidR="00FB32DB">
        <w:t xml:space="preserve">clause </w:t>
      </w:r>
      <w:r w:rsidR="00A71B63">
        <w:t xml:space="preserve">did not apply to Mr Harrison as he was not registered for </w:t>
      </w:r>
      <w:r w:rsidR="007C678A">
        <w:t>GST purposes</w:t>
      </w:r>
      <w:r w:rsidR="00E81825">
        <w:t>.</w:t>
      </w:r>
      <w:r w:rsidR="007C678A">
        <w:t xml:space="preserve">  The invoices provided by Mr Harrison were not in the form of a tax invoice.</w:t>
      </w:r>
      <w:r w:rsidR="00E81825">
        <w:t xml:space="preserve"> </w:t>
      </w:r>
    </w:p>
    <w:p w14:paraId="2DC390D8" w14:textId="24FB706A" w:rsidR="00D27042" w:rsidRDefault="007C678A" w:rsidP="008158B5">
      <w:pPr>
        <w:pStyle w:val="ParaNumbering"/>
      </w:pPr>
      <w:r>
        <w:t>Clause 11 of the Memoranda</w:t>
      </w:r>
      <w:r w:rsidR="002303E2">
        <w:t xml:space="preserve"> provides that Mr Harrison was responsible for his own workers compensation and income protection insurance</w:t>
      </w:r>
      <w:r w:rsidR="00FB32DB">
        <w:t>,</w:t>
      </w:r>
      <w:r w:rsidR="002303E2">
        <w:t xml:space="preserve"> and that Mr </w:t>
      </w:r>
      <w:r w:rsidR="00D27042">
        <w:t>Harrison</w:t>
      </w:r>
      <w:r w:rsidR="002303E2">
        <w:t xml:space="preserve"> indemnified JMC in relation to any workers compensation claims </w:t>
      </w:r>
      <w:r w:rsidR="00D27042">
        <w:t>which might arise as a result of his provision of teaching services.</w:t>
      </w:r>
    </w:p>
    <w:p w14:paraId="42987474" w14:textId="44F26E73" w:rsidR="005A55E4" w:rsidRDefault="009B1C89" w:rsidP="003B5CA4">
      <w:pPr>
        <w:pStyle w:val="ParaNumbering"/>
      </w:pPr>
      <w:r>
        <w:t>T</w:t>
      </w:r>
      <w:r w:rsidR="005754B8">
        <w:t>h</w:t>
      </w:r>
      <w:r w:rsidR="00885E1E">
        <w:t>o</w:t>
      </w:r>
      <w:r w:rsidR="005754B8">
        <w:t xml:space="preserve">se provisions </w:t>
      </w:r>
      <w:r>
        <w:t>– clause 11 and clause 15 (</w:t>
      </w:r>
      <w:r w:rsidR="0099560A">
        <w:t xml:space="preserve">namely, the </w:t>
      </w:r>
      <w:r>
        <w:t xml:space="preserve">second and fifth dot points) </w:t>
      </w:r>
      <w:r w:rsidR="00FB32DB">
        <w:t xml:space="preserve">– </w:t>
      </w:r>
      <w:r w:rsidR="005754B8">
        <w:t>are simply reflective of JMC’s view that</w:t>
      </w:r>
      <w:r>
        <w:t xml:space="preserve"> Mr Harrison was a contractor.  T</w:t>
      </w:r>
      <w:r w:rsidR="005754B8">
        <w:t xml:space="preserve">hey are </w:t>
      </w:r>
      <w:r>
        <w:t xml:space="preserve">therefore </w:t>
      </w:r>
      <w:r w:rsidR="005754B8">
        <w:t xml:space="preserve">in the same category as clause 10, which ascribes that label to </w:t>
      </w:r>
      <w:r>
        <w:t xml:space="preserve">the relationship.  They are accordingly deserving of </w:t>
      </w:r>
      <w:r w:rsidR="005754B8">
        <w:t>little, if any, independent weight</w:t>
      </w:r>
      <w:r w:rsidR="009110EB">
        <w:t xml:space="preserve"> and are certainly not decisive or conclusive</w:t>
      </w:r>
      <w:r w:rsidR="005754B8">
        <w:t>:</w:t>
      </w:r>
      <w:r w:rsidR="003B5CA4">
        <w:t xml:space="preserve"> </w:t>
      </w:r>
      <w:proofErr w:type="spellStart"/>
      <w:r w:rsidR="003B5CA4">
        <w:t>cf</w:t>
      </w:r>
      <w:proofErr w:type="spellEnd"/>
      <w:r w:rsidR="005754B8">
        <w:t xml:space="preserve"> </w:t>
      </w:r>
      <w:r w:rsidR="003B5CA4" w:rsidRPr="003B5CA4">
        <w:rPr>
          <w:i/>
        </w:rPr>
        <w:t>ACE Insurance</w:t>
      </w:r>
      <w:r w:rsidR="003B5CA4">
        <w:t xml:space="preserve"> at [37], [122] and [130] </w:t>
      </w:r>
      <w:r w:rsidR="003B5CA4" w:rsidRPr="003B5CA4">
        <w:t>(Buchanan J, with whom Lander and Robertson JJ agreed)</w:t>
      </w:r>
      <w:r w:rsidR="003B5CA4">
        <w:t>.</w:t>
      </w:r>
    </w:p>
    <w:p w14:paraId="6DB852A4" w14:textId="77777777" w:rsidR="005A55E4" w:rsidRDefault="005A55E4" w:rsidP="003B5CA4">
      <w:pPr>
        <w:pStyle w:val="ParaNumbering"/>
      </w:pPr>
      <w:r>
        <w:t>The same can be said ab</w:t>
      </w:r>
      <w:r w:rsidR="009B1C89">
        <w:t>out the fact that the Memoranda</w:t>
      </w:r>
      <w:r>
        <w:t xml:space="preserve"> makes no provision for the payment to Mr Harrison of sick leave, holiday pay or superannuation.</w:t>
      </w:r>
    </w:p>
    <w:p w14:paraId="534748E0" w14:textId="77777777" w:rsidR="005A55E4" w:rsidRDefault="005A55E4" w:rsidP="005A55E4">
      <w:pPr>
        <w:pStyle w:val="Heading2"/>
      </w:pPr>
      <w:r>
        <w:t>Indemnities</w:t>
      </w:r>
    </w:p>
    <w:p w14:paraId="70C39768" w14:textId="53E974F1" w:rsidR="00F039EE" w:rsidRDefault="009B1C89" w:rsidP="003B5CA4">
      <w:pPr>
        <w:pStyle w:val="ParaNumbering"/>
      </w:pPr>
      <w:r>
        <w:t>S</w:t>
      </w:r>
      <w:r w:rsidR="00831AB8">
        <w:t>everal</w:t>
      </w:r>
      <w:r>
        <w:t xml:space="preserve"> clauses in the Memoranda</w:t>
      </w:r>
      <w:r w:rsidR="00E83A9D">
        <w:t xml:space="preserve"> provide that Mr Harrison indemnified JMC</w:t>
      </w:r>
      <w:r w:rsidR="004076DC">
        <w:t xml:space="preserve"> in respect of any potential liability it might incur</w:t>
      </w:r>
      <w:r w:rsidR="00532B04">
        <w:t xml:space="preserve">, including: any liability that may arise under the Fair Work Act </w:t>
      </w:r>
      <w:r w:rsidR="00532B04">
        <w:lastRenderedPageBreak/>
        <w:t>or SGA</w:t>
      </w:r>
      <w:r w:rsidR="00FB32DB">
        <w:t xml:space="preserve"> Act</w:t>
      </w:r>
      <w:r w:rsidR="00532B04">
        <w:t xml:space="preserve"> should it</w:t>
      </w:r>
      <w:r w:rsidR="002F23C1">
        <w:t xml:space="preserve"> be found that Mr</w:t>
      </w:r>
      <w:r w:rsidR="00532B04">
        <w:t xml:space="preserve"> Harrison was not in fact a “contractor” (clause 10); any workers compensation liability (clause 11); </w:t>
      </w:r>
      <w:r w:rsidR="002F23C1">
        <w:t xml:space="preserve">any liability </w:t>
      </w:r>
      <w:r w:rsidR="00F039EE">
        <w:t>which might arise</w:t>
      </w:r>
      <w:r w:rsidR="002F23C1">
        <w:t xml:space="preserve"> from any failure on the part of Mr Harrison to </w:t>
      </w:r>
      <w:r w:rsidR="00A90444">
        <w:t xml:space="preserve">reasonably </w:t>
      </w:r>
      <w:r w:rsidR="002F23C1">
        <w:t xml:space="preserve">discharge duties, obligations </w:t>
      </w:r>
      <w:r w:rsidR="00F039EE">
        <w:t xml:space="preserve">and </w:t>
      </w:r>
      <w:r w:rsidR="002F23C1">
        <w:t>responsibilities</w:t>
      </w:r>
      <w:r w:rsidR="00506755">
        <w:t xml:space="preserve"> </w:t>
      </w:r>
      <w:r w:rsidR="00F039EE">
        <w:t xml:space="preserve">under legislation applying to health and safety in workplaces (clause 12); </w:t>
      </w:r>
      <w:r w:rsidR="002F23C1">
        <w:t xml:space="preserve">and </w:t>
      </w:r>
      <w:r w:rsidR="00532B04">
        <w:t>any liability that may arise from any failure on the part of Mr Harrison to discharge obligations and responsibilities</w:t>
      </w:r>
      <w:r w:rsidR="002F23C1">
        <w:t xml:space="preserve"> under the </w:t>
      </w:r>
      <w:r w:rsidR="002F23C1" w:rsidRPr="008E76DF">
        <w:rPr>
          <w:i/>
        </w:rPr>
        <w:t>Privacy Act 1988</w:t>
      </w:r>
      <w:r w:rsidR="002F23C1" w:rsidRPr="008E76DF">
        <w:t xml:space="preserve"> (</w:t>
      </w:r>
      <w:proofErr w:type="spellStart"/>
      <w:r w:rsidR="002F23C1" w:rsidRPr="008E76DF">
        <w:t>Cth</w:t>
      </w:r>
      <w:proofErr w:type="spellEnd"/>
      <w:r w:rsidR="002F23C1" w:rsidRPr="008E76DF">
        <w:t>)</w:t>
      </w:r>
      <w:r w:rsidR="002F23C1">
        <w:t xml:space="preserve"> (clause 1</w:t>
      </w:r>
      <w:r w:rsidR="00A90444">
        <w:t>3</w:t>
      </w:r>
      <w:r w:rsidR="002F23C1">
        <w:t>)</w:t>
      </w:r>
      <w:r w:rsidR="00F039EE">
        <w:t>.</w:t>
      </w:r>
    </w:p>
    <w:p w14:paraId="1A946F6A" w14:textId="3169DAA5" w:rsidR="00EC62FB" w:rsidRDefault="00F039EE" w:rsidP="00F039EE">
      <w:pPr>
        <w:pStyle w:val="ParaNumbering"/>
      </w:pPr>
      <w:r>
        <w:t xml:space="preserve">In </w:t>
      </w:r>
      <w:r w:rsidRPr="00F039EE">
        <w:rPr>
          <w:i/>
        </w:rPr>
        <w:t>Mortgage Force</w:t>
      </w:r>
      <w:r>
        <w:t xml:space="preserve">, </w:t>
      </w:r>
      <w:r w:rsidRPr="00F039EE">
        <w:t xml:space="preserve">Buss JA (with whom </w:t>
      </w:r>
      <w:proofErr w:type="spellStart"/>
      <w:r w:rsidRPr="00F039EE">
        <w:t>Steytler</w:t>
      </w:r>
      <w:proofErr w:type="spellEnd"/>
      <w:r w:rsidRPr="00F039EE">
        <w:t xml:space="preserve"> P and La </w:t>
      </w:r>
      <w:proofErr w:type="spellStart"/>
      <w:r w:rsidRPr="00F039EE">
        <w:t>Miere</w:t>
      </w:r>
      <w:proofErr w:type="spellEnd"/>
      <w:r w:rsidRPr="00F039EE">
        <w:t xml:space="preserve"> </w:t>
      </w:r>
      <w:r w:rsidR="00446459">
        <w:t>A</w:t>
      </w:r>
      <w:r w:rsidRPr="00F039EE">
        <w:t>JA agreed)</w:t>
      </w:r>
      <w:r>
        <w:t xml:space="preserve"> reasoned </w:t>
      </w:r>
      <w:r w:rsidR="00334B34">
        <w:t xml:space="preserve">(at [104]) that </w:t>
      </w:r>
      <w:r w:rsidR="00FB32DB">
        <w:t xml:space="preserve">the </w:t>
      </w:r>
      <w:r w:rsidR="00334B34">
        <w:t xml:space="preserve">indemnities </w:t>
      </w:r>
      <w:r w:rsidR="00FB32DB">
        <w:t xml:space="preserve">in that case, which were </w:t>
      </w:r>
      <w:r w:rsidR="00334B34">
        <w:t>of a similar nature to t</w:t>
      </w:r>
      <w:r w:rsidR="00506755">
        <w:t>hose contained in the</w:t>
      </w:r>
      <w:r w:rsidR="00A90444">
        <w:t xml:space="preserve"> present</w:t>
      </w:r>
      <w:r w:rsidR="00506755">
        <w:t xml:space="preserve"> Memoranda</w:t>
      </w:r>
      <w:r w:rsidR="00FB32DB">
        <w:t>,</w:t>
      </w:r>
      <w:r w:rsidR="00334B34">
        <w:t xml:space="preserve"> suggested an employment relationship because they</w:t>
      </w:r>
      <w:r w:rsidR="00FB32DB">
        <w:t xml:space="preserve"> essentially</w:t>
      </w:r>
      <w:r w:rsidR="00334B34">
        <w:t xml:space="preserve"> gave the putative employer the capacity to control the putative employee and </w:t>
      </w:r>
      <w:r w:rsidR="00446459">
        <w:t xml:space="preserve">its </w:t>
      </w:r>
      <w:r w:rsidR="00334B34">
        <w:t>activities.</w:t>
      </w:r>
      <w:r w:rsidR="00506755">
        <w:t xml:space="preserve">  The same reasoning applies in this case. </w:t>
      </w:r>
      <w:r w:rsidR="00334B34">
        <w:t xml:space="preserve"> </w:t>
      </w:r>
      <w:r w:rsidRPr="00F039EE">
        <w:t xml:space="preserve"> </w:t>
      </w:r>
      <w:r w:rsidR="00A71B63">
        <w:t xml:space="preserve">  </w:t>
      </w:r>
      <w:r w:rsidR="00AB04B5">
        <w:t xml:space="preserve"> </w:t>
      </w:r>
      <w:r w:rsidR="009B4653">
        <w:t xml:space="preserve">  </w:t>
      </w:r>
    </w:p>
    <w:p w14:paraId="0A403A74" w14:textId="444106F2" w:rsidR="0008670F" w:rsidRDefault="00005EFF" w:rsidP="0008670F">
      <w:pPr>
        <w:pStyle w:val="Heading2"/>
      </w:pPr>
      <w:r>
        <w:t>Own business or JMC’s business?</w:t>
      </w:r>
    </w:p>
    <w:p w14:paraId="019BEDF6" w14:textId="51406F51" w:rsidR="00A94AC3" w:rsidRDefault="008C3D62" w:rsidP="008158B5">
      <w:pPr>
        <w:pStyle w:val="ParaNumbering"/>
      </w:pPr>
      <w:r>
        <w:t>JMC submitted that the terms of the contracts suggested that, in supplying the teaching services, Mr Harrison was conducting his own business</w:t>
      </w:r>
      <w:r w:rsidR="00684766">
        <w:t xml:space="preserve">.  It relied, in support of that submission, on: clause 5, which provided for sub-contracting and assignment; clause 6, which gave JMC </w:t>
      </w:r>
      <w:r w:rsidR="00201151">
        <w:t>certain rights if Mr Harrison</w:t>
      </w:r>
      <w:r w:rsidR="009E7997">
        <w:t xml:space="preserve"> did not perform the services when required; and those parts of clause 15 which contemplated the payment of GST and the provision by Mr Harrison of an ABN</w:t>
      </w:r>
      <w:r w:rsidR="00F94412">
        <w:t xml:space="preserve">.  JMC also submitted that Mr Harrison was not relevantly integrated into JMC’s business.  Its submission in that respect relied primarily on the fact that the contracts did not </w:t>
      </w:r>
      <w:r w:rsidR="008E11F0">
        <w:t>require Mr Harrison to do certain things, such as wear a name badge or a uniform, or attend external workshops or seminars.</w:t>
      </w:r>
      <w:r w:rsidR="00FD4066">
        <w:t xml:space="preserve">  Some reliance also appeared to be placed on evidence which could fairly be characterised as evidence ab</w:t>
      </w:r>
      <w:r w:rsidR="00201151">
        <w:t xml:space="preserve">out how the relationship played </w:t>
      </w:r>
      <w:r w:rsidR="00FD4066">
        <w:t>out in practice, such as the fact that Mr Harrison was not provided with a staff email address</w:t>
      </w:r>
      <w:r w:rsidR="00A94AC3">
        <w:t xml:space="preserve"> or an allocated desk in the staff room.</w:t>
      </w:r>
      <w:r w:rsidR="00F94412">
        <w:t xml:space="preserve"> </w:t>
      </w:r>
      <w:r w:rsidR="009E7997">
        <w:t xml:space="preserve"> </w:t>
      </w:r>
      <w:r w:rsidR="00684766">
        <w:t xml:space="preserve"> </w:t>
      </w:r>
    </w:p>
    <w:p w14:paraId="780E5EC4" w14:textId="260F9A39" w:rsidR="00005EFF" w:rsidRDefault="00A94AC3" w:rsidP="008158B5">
      <w:pPr>
        <w:pStyle w:val="ParaNumbering"/>
      </w:pPr>
      <w:r>
        <w:t>On balance, however, t</w:t>
      </w:r>
      <w:r w:rsidR="00134C30">
        <w:t xml:space="preserve">he terms and conditions of the contracts between JMC and Mr Harrison suggest that Mr Harrison was </w:t>
      </w:r>
      <w:r w:rsidR="00AA7345">
        <w:t xml:space="preserve">engaged </w:t>
      </w:r>
      <w:r w:rsidR="00134C30">
        <w:t xml:space="preserve">to work </w:t>
      </w:r>
      <w:r w:rsidR="006F05DF">
        <w:t>as part of</w:t>
      </w:r>
      <w:r w:rsidR="00134C30">
        <w:t xml:space="preserve"> JMC’s business</w:t>
      </w:r>
      <w:r w:rsidR="005A47C2">
        <w:t xml:space="preserve"> and was effectively integrated into that business</w:t>
      </w:r>
      <w:r w:rsidR="00134C30">
        <w:t>.</w:t>
      </w:r>
      <w:r w:rsidR="00506755">
        <w:t xml:space="preserve">  They do not suggest that Mr</w:t>
      </w:r>
      <w:r w:rsidR="009D2030">
        <w:t> </w:t>
      </w:r>
      <w:r w:rsidR="00506755">
        <w:t xml:space="preserve">Harrison provided the teaching services to JMC </w:t>
      </w:r>
      <w:r w:rsidR="00B831BC">
        <w:t>while, or in the course of,</w:t>
      </w:r>
      <w:r w:rsidR="00506755">
        <w:t xml:space="preserve"> conduct</w:t>
      </w:r>
      <w:r w:rsidR="006F05DF">
        <w:t>ing</w:t>
      </w:r>
      <w:r w:rsidR="00506755">
        <w:t xml:space="preserve"> his own business.  </w:t>
      </w:r>
    </w:p>
    <w:p w14:paraId="5A56900B" w14:textId="68401172" w:rsidR="007B1A7A" w:rsidRDefault="006F05DF" w:rsidP="001953EB">
      <w:pPr>
        <w:pStyle w:val="ParaNumbering"/>
      </w:pPr>
      <w:r>
        <w:t>At the time each of the contracts during the relevant periods were entered into, b</w:t>
      </w:r>
      <w:r w:rsidR="00A95203">
        <w:t>oth JMC and Mr Harrison knew that Mr Harrison was held out by JMC</w:t>
      </w:r>
      <w:r>
        <w:t xml:space="preserve"> </w:t>
      </w:r>
      <w:r w:rsidR="00A95203">
        <w:t xml:space="preserve">on its website and promotional material </w:t>
      </w:r>
      <w:r w:rsidR="0065749C">
        <w:t xml:space="preserve">as being </w:t>
      </w:r>
      <w:r w:rsidR="00A95203">
        <w:t>one of JMC’s lecturers.</w:t>
      </w:r>
      <w:r w:rsidR="004863D4" w:rsidRPr="004863D4">
        <w:t xml:space="preserve"> </w:t>
      </w:r>
      <w:r w:rsidR="004863D4">
        <w:t xml:space="preserve"> </w:t>
      </w:r>
      <w:r w:rsidR="004863D4" w:rsidRPr="004863D4">
        <w:t>At the very commencement of his</w:t>
      </w:r>
      <w:r w:rsidR="004863D4">
        <w:t xml:space="preserve"> engagement with </w:t>
      </w:r>
      <w:r w:rsidR="004863D4">
        <w:lastRenderedPageBreak/>
        <w:t xml:space="preserve">JMC, Mr Harrison signed documents </w:t>
      </w:r>
      <w:r>
        <w:t xml:space="preserve">that described </w:t>
      </w:r>
      <w:r w:rsidR="004863D4">
        <w:t>his position as “lecturer”</w:t>
      </w:r>
      <w:r w:rsidR="00DE1618">
        <w:t xml:space="preserve"> and noted that he had been “inducted”</w:t>
      </w:r>
      <w:r>
        <w:t>.</w:t>
      </w:r>
      <w:r w:rsidR="004863D4" w:rsidRPr="004863D4">
        <w:t xml:space="preserve">  </w:t>
      </w:r>
      <w:r w:rsidR="00A95203">
        <w:t>JMC had th</w:t>
      </w:r>
      <w:r w:rsidR="004965A7">
        <w:t>e right, under clause 14 of the first MOA and second MOA</w:t>
      </w:r>
      <w:r w:rsidR="00A95203">
        <w:t>, to “describe” Mr Harrison as a “Casual Lecturer”.</w:t>
      </w:r>
      <w:r w:rsidR="007B1A7A">
        <w:t xml:space="preserve">  </w:t>
      </w:r>
      <w:r w:rsidR="00281A80">
        <w:t>Mr Harrison was essentially</w:t>
      </w:r>
      <w:r w:rsidR="00092025">
        <w:t xml:space="preserve"> presented as an emanation of JMC</w:t>
      </w:r>
      <w:r w:rsidR="00B831BC">
        <w:t>’s business</w:t>
      </w:r>
      <w:r w:rsidR="00092025">
        <w:t xml:space="preserve">: </w:t>
      </w:r>
      <w:proofErr w:type="spellStart"/>
      <w:r w:rsidR="00092025">
        <w:t>cf</w:t>
      </w:r>
      <w:proofErr w:type="spellEnd"/>
      <w:r w:rsidR="00092025">
        <w:t xml:space="preserve"> </w:t>
      </w:r>
      <w:r w:rsidR="00092025" w:rsidRPr="00AA30A2">
        <w:rPr>
          <w:i/>
        </w:rPr>
        <w:t>Hollis</w:t>
      </w:r>
      <w:r w:rsidR="00092025">
        <w:t xml:space="preserve"> at [50] </w:t>
      </w:r>
      <w:r w:rsidR="00092025" w:rsidRPr="00092025">
        <w:t xml:space="preserve">(Gleeson CJ, </w:t>
      </w:r>
      <w:proofErr w:type="spellStart"/>
      <w:r w:rsidR="00092025" w:rsidRPr="00092025">
        <w:t>Gaudron</w:t>
      </w:r>
      <w:proofErr w:type="spellEnd"/>
      <w:r w:rsidR="00092025" w:rsidRPr="00092025">
        <w:t xml:space="preserve">, </w:t>
      </w:r>
      <w:proofErr w:type="spellStart"/>
      <w:r w:rsidR="00092025" w:rsidRPr="00092025">
        <w:t>Gummow</w:t>
      </w:r>
      <w:proofErr w:type="spellEnd"/>
      <w:r w:rsidR="00092025" w:rsidRPr="00092025">
        <w:t>, Kirby and Hayne JJ)</w:t>
      </w:r>
      <w:r w:rsidR="00092025">
        <w:t>.</w:t>
      </w:r>
      <w:r w:rsidR="00B70EFD">
        <w:t xml:space="preserve"> </w:t>
      </w:r>
    </w:p>
    <w:p w14:paraId="45E0E62A" w14:textId="4CF9DCF9" w:rsidR="006B6013" w:rsidRDefault="006B6013" w:rsidP="000404EF">
      <w:pPr>
        <w:pStyle w:val="ParaNumbering"/>
      </w:pPr>
      <w:r>
        <w:t xml:space="preserve">JMC’s main business was the delivery of accredited higher education </w:t>
      </w:r>
      <w:r w:rsidR="00446459">
        <w:t xml:space="preserve">programmes </w:t>
      </w:r>
      <w:r>
        <w:t>to students</w:t>
      </w:r>
      <w:r w:rsidR="00B36890">
        <w:t>.  JMC carried out that business by engaging or retaining the services of teachers or lecturers like Mr</w:t>
      </w:r>
      <w:r w:rsidR="00B35F44">
        <w:t> </w:t>
      </w:r>
      <w:r w:rsidR="00B36890">
        <w:t xml:space="preserve">Harrison.  </w:t>
      </w:r>
      <w:r w:rsidR="007B1A7A">
        <w:t>The main component of the teaching services provided by Mr Harrison was the delivery of lectures to JMC’s students at JMC’s campus in respect of JMC’s accredited courses.</w:t>
      </w:r>
      <w:r w:rsidR="00B36890">
        <w:t xml:space="preserve">  Lecturers like Mr Harrison were integral to</w:t>
      </w:r>
      <w:r w:rsidR="00201151">
        <w:t>,</w:t>
      </w:r>
      <w:r w:rsidR="00B36890">
        <w:t xml:space="preserve"> </w:t>
      </w:r>
      <w:r w:rsidR="00B70EFD">
        <w:t>and for the most part integrated or incorporated into</w:t>
      </w:r>
      <w:r w:rsidR="00201151">
        <w:t>,</w:t>
      </w:r>
      <w:r w:rsidR="00B70EFD">
        <w:t xml:space="preserve"> </w:t>
      </w:r>
      <w:r w:rsidR="00B36890">
        <w:t>JMC’s business.</w:t>
      </w:r>
      <w:r w:rsidR="000404EF" w:rsidRPr="000404EF">
        <w:t xml:space="preserve"> </w:t>
      </w:r>
      <w:r w:rsidR="004A78E7">
        <w:t xml:space="preserve"> </w:t>
      </w:r>
      <w:r w:rsidR="007B1A7A">
        <w:t xml:space="preserve">  </w:t>
      </w:r>
    </w:p>
    <w:p w14:paraId="5FEAAFE0" w14:textId="145BAD09" w:rsidR="00432856" w:rsidRDefault="00C577E1" w:rsidP="00C577E1">
      <w:pPr>
        <w:pStyle w:val="ParaNumbering"/>
      </w:pPr>
      <w:r w:rsidRPr="00C577E1">
        <w:t xml:space="preserve">Mr Harrison’s provision of those teaching services under the contracts was also in most respects subservient to, and dependent on, JMC’s business.  It was, for the most part, JMC </w:t>
      </w:r>
      <w:r w:rsidR="00201151">
        <w:t>that</w:t>
      </w:r>
      <w:r w:rsidRPr="00C577E1">
        <w:t xml:space="preserve"> determined when, where and how Mr Harrison was to provide the teaching services.</w:t>
      </w:r>
      <w:r>
        <w:t xml:space="preserve">  </w:t>
      </w:r>
      <w:r w:rsidR="00B36890" w:rsidRPr="00B36890">
        <w:t xml:space="preserve">JMC was required to monitor and review the standard and quality of Mr Harrison’s performance so as to ensure, among other things, that it met the terms of its TEQSA registration and the accreditation </w:t>
      </w:r>
      <w:r w:rsidR="00201151">
        <w:t xml:space="preserve">obligations </w:t>
      </w:r>
      <w:r w:rsidR="00B36890" w:rsidRPr="00B36890">
        <w:t xml:space="preserve">of its courses.  </w:t>
      </w:r>
      <w:r w:rsidR="007B1A7A">
        <w:t xml:space="preserve">As described in detail earlier, </w:t>
      </w:r>
      <w:r w:rsidR="00765877">
        <w:t xml:space="preserve">JMC had the right, under the terms of the contracts, to </w:t>
      </w:r>
      <w:r w:rsidR="008632B1">
        <w:t>control</w:t>
      </w:r>
      <w:r w:rsidR="00765877">
        <w:t>, direct</w:t>
      </w:r>
      <w:r w:rsidR="00DD085D">
        <w:t xml:space="preserve"> and supervise Mr Harrison’s delivery of the relevant teaching services,</w:t>
      </w:r>
      <w:r w:rsidR="006F05DF">
        <w:t xml:space="preserve"> and,</w:t>
      </w:r>
      <w:r w:rsidR="00DD085D">
        <w:t xml:space="preserve"> in particular</w:t>
      </w:r>
      <w:r w:rsidR="006F05DF">
        <w:t>,</w:t>
      </w:r>
      <w:r w:rsidR="00DD085D">
        <w:t xml:space="preserve"> the delivery of lectures.  Mr Harrison</w:t>
      </w:r>
      <w:r w:rsidR="00263A4C">
        <w:t xml:space="preserve"> was required to deliver lectures </w:t>
      </w:r>
      <w:r w:rsidR="00DD085D">
        <w:t xml:space="preserve">at JMC’s campus </w:t>
      </w:r>
      <w:r w:rsidR="00263A4C">
        <w:t>in accordance w</w:t>
      </w:r>
      <w:r w:rsidR="00F31555">
        <w:t xml:space="preserve">ith JMC’s course timetables, </w:t>
      </w:r>
      <w:r w:rsidR="00263A4C">
        <w:t>in accordance with JMC’s detailed lesson plans</w:t>
      </w:r>
      <w:r w:rsidR="00F31555">
        <w:t xml:space="preserve"> and in compliance with JMC’s policies and procedures</w:t>
      </w:r>
      <w:r w:rsidR="00CC7B39">
        <w:t xml:space="preserve">.  </w:t>
      </w:r>
      <w:r w:rsidR="008A1DBF">
        <w:t>JMC had a managing academic officer who was responsible, under the terms of the contract</w:t>
      </w:r>
      <w:r w:rsidR="006F05DF">
        <w:t>s</w:t>
      </w:r>
      <w:r w:rsidR="008A1DBF">
        <w:t>, for managing Mr Harrison’s supply of teaching services.</w:t>
      </w:r>
      <w:r w:rsidR="00DD085D">
        <w:t xml:space="preserve">  </w:t>
      </w:r>
      <w:r w:rsidR="0031603C">
        <w:t xml:space="preserve">Mr Harrison </w:t>
      </w:r>
      <w:r w:rsidR="00F31555">
        <w:t xml:space="preserve">effectively </w:t>
      </w:r>
      <w:r w:rsidR="0031603C">
        <w:t xml:space="preserve">reported to the managing academic officer.  </w:t>
      </w:r>
      <w:r w:rsidR="00DD085D">
        <w:t xml:space="preserve">The managing academic officer had the power and discretion to withhold payment, or </w:t>
      </w:r>
      <w:r w:rsidR="0031603C">
        <w:t xml:space="preserve">to </w:t>
      </w:r>
      <w:r w:rsidR="00DD085D">
        <w:t>require Mr Harrison to repeat the provision of a particular service</w:t>
      </w:r>
      <w:r w:rsidR="00E6338A">
        <w:t>,</w:t>
      </w:r>
      <w:r w:rsidR="00DD085D">
        <w:t xml:space="preserve"> if the officer</w:t>
      </w:r>
      <w:r w:rsidR="006B6013">
        <w:t xml:space="preserve"> was satisfied that Mr Harrison’s delivery of that service was incomplete or had not adequately dealt with an aspect of JMC’s teaching requirements.</w:t>
      </w:r>
    </w:p>
    <w:p w14:paraId="4969FD51" w14:textId="38C4774E" w:rsidR="0065749C" w:rsidRDefault="00432856" w:rsidP="00B36890">
      <w:pPr>
        <w:pStyle w:val="ParaNumbering"/>
      </w:pPr>
      <w:r>
        <w:t xml:space="preserve">Those provisions of the Memoranda </w:t>
      </w:r>
      <w:r w:rsidR="00DA5F83">
        <w:t xml:space="preserve">indicated that Mr Harrison’s work was integral to JMC’s business and that Mr Harrison was essentially integrated </w:t>
      </w:r>
      <w:r w:rsidR="00E6338A">
        <w:t xml:space="preserve">or inducted </w:t>
      </w:r>
      <w:r w:rsidR="00DA5F83">
        <w:t>into JMC’s business.  He was, for all intents and purposes,</w:t>
      </w:r>
      <w:r w:rsidR="00760121">
        <w:t xml:space="preserve"> a</w:t>
      </w:r>
      <w:r w:rsidR="00DA5F83">
        <w:t xml:space="preserve"> lecturer</w:t>
      </w:r>
      <w:r w:rsidR="00760121">
        <w:t xml:space="preserve"> who, along with other lecturers, was essential </w:t>
      </w:r>
      <w:r w:rsidR="001E53B8">
        <w:t xml:space="preserve">and integral </w:t>
      </w:r>
      <w:r w:rsidR="00760121">
        <w:t>to the conduct of JMC’s business of delivering</w:t>
      </w:r>
      <w:r w:rsidR="006F05DF">
        <w:t xml:space="preserve"> accredited</w:t>
      </w:r>
      <w:r w:rsidR="00760121">
        <w:t xml:space="preserve"> higher education</w:t>
      </w:r>
      <w:r w:rsidR="006F05DF">
        <w:t xml:space="preserve"> courses</w:t>
      </w:r>
      <w:r w:rsidR="00760121">
        <w:t xml:space="preserve"> to students</w:t>
      </w:r>
      <w:r w:rsidR="00DA5F83">
        <w:t>.</w:t>
      </w:r>
      <w:r w:rsidR="005A47C2">
        <w:t xml:space="preserve">  When the terms of the contracts are considered as a whole, very little</w:t>
      </w:r>
      <w:r w:rsidR="00B91DDE">
        <w:t>,</w:t>
      </w:r>
      <w:r w:rsidR="005A47C2">
        <w:t xml:space="preserve"> if anything</w:t>
      </w:r>
      <w:r w:rsidR="00B91DDE">
        <w:t>,</w:t>
      </w:r>
      <w:r w:rsidR="005A47C2">
        <w:t xml:space="preserve"> </w:t>
      </w:r>
      <w:r w:rsidR="005A47C2">
        <w:lastRenderedPageBreak/>
        <w:t>turns on the fact that the contracts did not require Mr Harrison to wear a name badge or uniform</w:t>
      </w:r>
      <w:r w:rsidR="009420BE">
        <w:t xml:space="preserve">.  The evidence that Mr Harrison was not given a staff email address or a dedicated desk in the staff room is deserving of even less weight. </w:t>
      </w:r>
      <w:r w:rsidR="00DA5F83">
        <w:t xml:space="preserve"> </w:t>
      </w:r>
      <w:r w:rsidR="000404EF">
        <w:t xml:space="preserve">   </w:t>
      </w:r>
      <w:r w:rsidR="008A1DBF">
        <w:t xml:space="preserve">  </w:t>
      </w:r>
      <w:r w:rsidR="007B1A7A">
        <w:t xml:space="preserve"> </w:t>
      </w:r>
      <w:r w:rsidR="004863D4">
        <w:t xml:space="preserve">  </w:t>
      </w:r>
    </w:p>
    <w:p w14:paraId="0227D735" w14:textId="259B5184" w:rsidR="00235183" w:rsidRDefault="0046013D" w:rsidP="005E061F">
      <w:pPr>
        <w:pStyle w:val="ParaNumbering"/>
      </w:pPr>
      <w:r>
        <w:t>There was</w:t>
      </w:r>
      <w:r w:rsidR="001010EE">
        <w:t>, in contrast,</w:t>
      </w:r>
      <w:r>
        <w:t xml:space="preserve"> little, if anything</w:t>
      </w:r>
      <w:r w:rsidR="0031603C">
        <w:t>, in the terms of the Memoranda</w:t>
      </w:r>
      <w:r>
        <w:t xml:space="preserve"> to suggest that, in providing </w:t>
      </w:r>
      <w:r w:rsidR="00C267EA">
        <w:t xml:space="preserve">teaching </w:t>
      </w:r>
      <w:r>
        <w:t>services to JMC, Mr Harrison w</w:t>
      </w:r>
      <w:r w:rsidR="00C267EA">
        <w:t xml:space="preserve">as carrying on his own business, save perhaps for the “label” </w:t>
      </w:r>
      <w:r w:rsidR="00AA30A2">
        <w:t xml:space="preserve">employed </w:t>
      </w:r>
      <w:r w:rsidR="00C267EA">
        <w:t xml:space="preserve">in clause 10 of the </w:t>
      </w:r>
      <w:r w:rsidR="00E431E7">
        <w:t xml:space="preserve">Memoranda </w:t>
      </w:r>
      <w:r w:rsidR="006C0DF8">
        <w:t xml:space="preserve">and </w:t>
      </w:r>
      <w:r w:rsidR="00E431E7">
        <w:t xml:space="preserve">Mr Harrison’s </w:t>
      </w:r>
      <w:r w:rsidR="006C0DF8">
        <w:t xml:space="preserve">limited right </w:t>
      </w:r>
      <w:r w:rsidR="00972B97">
        <w:t>under clause 5</w:t>
      </w:r>
      <w:r w:rsidR="006C0DF8">
        <w:t xml:space="preserve"> to sub-contract or assign t</w:t>
      </w:r>
      <w:r w:rsidR="00AB1D5F">
        <w:t xml:space="preserve">he teaching services.  As has already been discussed at length, the label employed in the contracts is deserving of little weight and the </w:t>
      </w:r>
      <w:r w:rsidR="006C0DF8">
        <w:t>right</w:t>
      </w:r>
      <w:r w:rsidR="00AB1D5F">
        <w:t xml:space="preserve"> to sub-contract or</w:t>
      </w:r>
      <w:r w:rsidR="00B91DDE">
        <w:t xml:space="preserve"> assign</w:t>
      </w:r>
      <w:r w:rsidR="00AB1D5F">
        <w:t xml:space="preserve"> was limited and constrained.  Most significantly, i</w:t>
      </w:r>
      <w:r w:rsidR="001E53B8">
        <w:t xml:space="preserve">t </w:t>
      </w:r>
      <w:r w:rsidR="006C0DF8">
        <w:t>was subject to JMC’s contro</w:t>
      </w:r>
      <w:r w:rsidR="00432856">
        <w:t>l</w:t>
      </w:r>
      <w:r w:rsidR="00E431E7">
        <w:t xml:space="preserve"> given</w:t>
      </w:r>
      <w:r w:rsidR="00432856">
        <w:t xml:space="preserve"> </w:t>
      </w:r>
      <w:r w:rsidR="00446459">
        <w:t xml:space="preserve">it </w:t>
      </w:r>
      <w:r w:rsidR="006C0DF8">
        <w:t xml:space="preserve">could, at its </w:t>
      </w:r>
      <w:r w:rsidR="00432856">
        <w:t xml:space="preserve">absolute </w:t>
      </w:r>
      <w:r w:rsidR="006C0DF8">
        <w:t xml:space="preserve">discretion, </w:t>
      </w:r>
      <w:r w:rsidR="00972B97">
        <w:t xml:space="preserve">withhold its consent to any proposed sub-contract or assignment.  When read in the context of the </w:t>
      </w:r>
      <w:r w:rsidR="00E431E7">
        <w:t xml:space="preserve">Memoranda </w:t>
      </w:r>
      <w:r w:rsidR="00972B97">
        <w:t xml:space="preserve">as a whole, the right to sub-contract or assign was somewhat of a chimera </w:t>
      </w:r>
      <w:r w:rsidR="00E431E7">
        <w:t xml:space="preserve">that </w:t>
      </w:r>
      <w:r w:rsidR="00972B97">
        <w:t xml:space="preserve">was highly unlikely to ever be exercisable or exercised.   </w:t>
      </w:r>
      <w:r w:rsidR="006C0DF8">
        <w:t xml:space="preserve">  </w:t>
      </w:r>
      <w:r w:rsidR="00C267EA">
        <w:t xml:space="preserve"> </w:t>
      </w:r>
      <w:r w:rsidR="00A95203">
        <w:t xml:space="preserve">  </w:t>
      </w:r>
    </w:p>
    <w:p w14:paraId="4D77CA5E" w14:textId="77777777" w:rsidR="009C3EE9" w:rsidRDefault="009C3EE9" w:rsidP="007F5C1E">
      <w:pPr>
        <w:pStyle w:val="Heading1"/>
      </w:pPr>
      <w:r>
        <w:t>AN EMPLOYEE WITHIN THE ORDINARY MEANING?</w:t>
      </w:r>
    </w:p>
    <w:p w14:paraId="079B683F" w14:textId="52BC514D" w:rsidR="009C3EE9" w:rsidRDefault="002A3EB5" w:rsidP="008158B5">
      <w:pPr>
        <w:pStyle w:val="ParaNumbering"/>
      </w:pPr>
      <w:r>
        <w:t xml:space="preserve">The question whether Mr Harrison was JMC’s employee, within the common law meaning of that term, is not entirely straightforward.  On balance, </w:t>
      </w:r>
      <w:r w:rsidR="001010EE">
        <w:t xml:space="preserve">however, </w:t>
      </w:r>
      <w:r w:rsidR="00C00F9C">
        <w:t>for the reasons effectively already given</w:t>
      </w:r>
      <w:r>
        <w:t>, the totality of the legal rights and obligations provided for in the contract</w:t>
      </w:r>
      <w:r w:rsidR="00811D50">
        <w:t>s between JMC and Mr Harrison</w:t>
      </w:r>
      <w:r>
        <w:t xml:space="preserve"> indicate that the relati</w:t>
      </w:r>
      <w:r w:rsidR="0098434D">
        <w:t>onship between JMC and Mr Harrison was that of employer and employee, as opposed to principal and independent contractor.</w:t>
      </w:r>
      <w:r w:rsidR="00435916">
        <w:t xml:space="preserve">  Mr Harrison was</w:t>
      </w:r>
      <w:r w:rsidR="00AA7345">
        <w:t>,</w:t>
      </w:r>
      <w:r w:rsidR="00435916">
        <w:t xml:space="preserve"> </w:t>
      </w:r>
      <w:r w:rsidR="00AA7345">
        <w:t xml:space="preserve">for all intents and purposes, </w:t>
      </w:r>
      <w:r w:rsidR="00435916">
        <w:t>employed by JMC as a lecturer to provide lectures to JMC’s students and mark their papers.</w:t>
      </w:r>
    </w:p>
    <w:p w14:paraId="6FFAF92C" w14:textId="23FCF57D" w:rsidR="00C00F9C" w:rsidRDefault="0098434D" w:rsidP="008158B5">
      <w:pPr>
        <w:pStyle w:val="ParaNumbering"/>
      </w:pPr>
      <w:r>
        <w:t xml:space="preserve">The most significant consideration which militates towards characterising the contracts and relationship as </w:t>
      </w:r>
      <w:r w:rsidR="00E431E7">
        <w:t xml:space="preserve">one of </w:t>
      </w:r>
      <w:r>
        <w:t xml:space="preserve">employment is the </w:t>
      </w:r>
      <w:r w:rsidR="00D71AAD">
        <w:t xml:space="preserve">right that </w:t>
      </w:r>
      <w:r>
        <w:t xml:space="preserve">JMC had under the contracts </w:t>
      </w:r>
      <w:r w:rsidR="00D71AAD">
        <w:t xml:space="preserve">to </w:t>
      </w:r>
      <w:r w:rsidR="001010EE">
        <w:t xml:space="preserve">effectively </w:t>
      </w:r>
      <w:r w:rsidR="00D71AAD">
        <w:t>control when, where and how Mr Harrison was to provide the teaching services.</w:t>
      </w:r>
      <w:r w:rsidR="00973377">
        <w:t xml:space="preserve">  Mr Harrison was subservient to JMC </w:t>
      </w:r>
      <w:r w:rsidR="00654C0B">
        <w:t xml:space="preserve">and the </w:t>
      </w:r>
      <w:r w:rsidR="00973377">
        <w:t xml:space="preserve">teaching services </w:t>
      </w:r>
      <w:r w:rsidR="00654C0B">
        <w:t xml:space="preserve">he provided </w:t>
      </w:r>
      <w:r w:rsidR="00973377">
        <w:t>under the contracts</w:t>
      </w:r>
      <w:r w:rsidR="00654C0B">
        <w:t xml:space="preserve"> were subservient to and dependent on JMC’s business</w:t>
      </w:r>
      <w:r w:rsidR="00973377">
        <w:t xml:space="preserve">.  </w:t>
      </w:r>
      <w:r w:rsidR="00C07C3E">
        <w:t>Other terms of the contracts also suggested an employment relationship: Mr</w:t>
      </w:r>
      <w:r w:rsidR="00DD31FF">
        <w:t> </w:t>
      </w:r>
      <w:r w:rsidR="00C07C3E">
        <w:t xml:space="preserve">Harrison was remunerated at a fixed hourly rate; he was not required to provide any of his own equipment, tools or other assets in providing the services; he effectively ceded to JMC any intellectual property rights in any </w:t>
      </w:r>
      <w:r w:rsidR="00446459">
        <w:t>material arising from</w:t>
      </w:r>
      <w:r w:rsidR="00C07C3E">
        <w:t xml:space="preserve"> his </w:t>
      </w:r>
      <w:r w:rsidR="00C00F9C">
        <w:t xml:space="preserve">teaching services; </w:t>
      </w:r>
      <w:r w:rsidR="00654C0B">
        <w:t xml:space="preserve">he was required to provide certain indemnities to JMC; </w:t>
      </w:r>
      <w:r w:rsidR="00C00F9C">
        <w:t xml:space="preserve">and his engagement </w:t>
      </w:r>
      <w:r w:rsidR="00E431E7">
        <w:t xml:space="preserve">could </w:t>
      </w:r>
      <w:r w:rsidR="00C00F9C">
        <w:t>be terminated on relatively short notice without cause.</w:t>
      </w:r>
    </w:p>
    <w:p w14:paraId="0A360759" w14:textId="36A30FD5" w:rsidR="00283065" w:rsidRDefault="0057424C" w:rsidP="008158B5">
      <w:pPr>
        <w:pStyle w:val="ParaNumbering"/>
      </w:pPr>
      <w:r>
        <w:lastRenderedPageBreak/>
        <w:t>The totality of the legal rights and obligations provided for in the contract</w:t>
      </w:r>
      <w:r w:rsidR="00E431E7">
        <w:t>s</w:t>
      </w:r>
      <w:r>
        <w:t xml:space="preserve"> reveal that Mr</w:t>
      </w:r>
      <w:r w:rsidR="009E1485">
        <w:t> </w:t>
      </w:r>
      <w:r>
        <w:t xml:space="preserve">Harrison was </w:t>
      </w:r>
      <w:r w:rsidR="00AA7345">
        <w:t xml:space="preserve">engaged or retained </w:t>
      </w:r>
      <w:r>
        <w:t xml:space="preserve">to work in JMC’s business of providing accredited higher education </w:t>
      </w:r>
      <w:r w:rsidR="00446459">
        <w:t xml:space="preserve">programmes </w:t>
      </w:r>
      <w:r>
        <w:t>to its students</w:t>
      </w:r>
      <w:r w:rsidR="005F1979">
        <w:t xml:space="preserve">.  The </w:t>
      </w:r>
      <w:r w:rsidR="001753C1">
        <w:t xml:space="preserve">rights and obligations </w:t>
      </w:r>
      <w:r w:rsidR="005F1979">
        <w:t xml:space="preserve">were such that </w:t>
      </w:r>
      <w:r w:rsidR="001753C1">
        <w:t xml:space="preserve">it could be </w:t>
      </w:r>
      <w:r w:rsidR="00E431E7">
        <w:t xml:space="preserve">fairly </w:t>
      </w:r>
      <w:r w:rsidR="001753C1">
        <w:t xml:space="preserve">said that </w:t>
      </w:r>
      <w:r w:rsidR="005F1979">
        <w:t xml:space="preserve">Mr Harrison’s work </w:t>
      </w:r>
      <w:r w:rsidR="001753C1">
        <w:t xml:space="preserve">under the contracts </w:t>
      </w:r>
      <w:r w:rsidR="005F1979">
        <w:t xml:space="preserve">was so subordinate to JMC’s business </w:t>
      </w:r>
      <w:r w:rsidR="001753C1">
        <w:t xml:space="preserve">that it could be seen to have been performed as an employee of that business, </w:t>
      </w:r>
      <w:r w:rsidR="00283065">
        <w:t xml:space="preserve">rather than as part of an independent business or enterprise. </w:t>
      </w:r>
    </w:p>
    <w:p w14:paraId="55C48645" w14:textId="1118B4BB" w:rsidR="008139B6" w:rsidRDefault="00283065" w:rsidP="008158B5">
      <w:pPr>
        <w:pStyle w:val="ParaNumbering"/>
      </w:pPr>
      <w:r>
        <w:t xml:space="preserve">The only real pause for thought is that Mr Harrison had a contractual right to sub-contract or assign the teaching services.  </w:t>
      </w:r>
      <w:r w:rsidR="00E431E7">
        <w:t>However, p</w:t>
      </w:r>
      <w:r>
        <w:t>roperly construed in the context of the contracts as a whole, that</w:t>
      </w:r>
      <w:r w:rsidR="003541B7">
        <w:t xml:space="preserve"> contractual right was limited, narrow in scope and </w:t>
      </w:r>
      <w:r w:rsidR="006C7184">
        <w:t xml:space="preserve">was in reality a chimera which was </w:t>
      </w:r>
      <w:r w:rsidR="003541B7">
        <w:t xml:space="preserve">unlikely to be ever exercisable or exercised.  In particular, </w:t>
      </w:r>
      <w:r w:rsidR="00E85A00">
        <w:t xml:space="preserve">Mr Harrison could not unilaterally exercise the right because </w:t>
      </w:r>
      <w:r w:rsidR="003541B7">
        <w:t>it was subject to JMC’s effectively unfettered discretion to refuse to conse</w:t>
      </w:r>
      <w:r w:rsidR="00F05472">
        <w:t>nt to any sub-contract or assignment</w:t>
      </w:r>
      <w:r w:rsidR="00326FC5">
        <w:t>.  The notion that Mr Harrison could sub-contract or assign the provision of teaching services was also entirely at odds with the balance of the contracts</w:t>
      </w:r>
      <w:r w:rsidR="00CF7094">
        <w:t>,</w:t>
      </w:r>
      <w:r w:rsidR="00326FC5">
        <w:t xml:space="preserve"> which plainly envisaged that Mr Harrison would personally provide the services in accordance with the representations referred to in the recitals</w:t>
      </w:r>
      <w:r w:rsidR="00CF7094">
        <w:t xml:space="preserve"> to the Memoranda</w:t>
      </w:r>
      <w:r w:rsidR="00326FC5">
        <w:t xml:space="preserve">.  </w:t>
      </w:r>
    </w:p>
    <w:p w14:paraId="6F5FF3F5" w14:textId="37D24157" w:rsidR="0098434D" w:rsidRDefault="008139B6" w:rsidP="008158B5">
      <w:pPr>
        <w:pStyle w:val="ParaNumbering"/>
      </w:pPr>
      <w:r>
        <w:t xml:space="preserve">In all the circumstances, the limited right to sub-contract or assign is not capable of outweighing all the other considerations which weigh in favour of the characterisation of the contracts </w:t>
      </w:r>
      <w:r w:rsidR="00E431E7">
        <w:t xml:space="preserve">as one of employment and the </w:t>
      </w:r>
      <w:r>
        <w:t xml:space="preserve">relationship </w:t>
      </w:r>
      <w:r w:rsidR="00E431E7">
        <w:t xml:space="preserve">as </w:t>
      </w:r>
      <w:r>
        <w:t>one of employer and employee.</w:t>
      </w:r>
      <w:r w:rsidR="003541B7">
        <w:t xml:space="preserve">  </w:t>
      </w:r>
      <w:r w:rsidR="00283065">
        <w:t xml:space="preserve"> </w:t>
      </w:r>
      <w:r w:rsidR="00C00F9C">
        <w:t xml:space="preserve"> </w:t>
      </w:r>
    </w:p>
    <w:p w14:paraId="4F1EF79D" w14:textId="77777777" w:rsidR="009C3EE9" w:rsidRDefault="009C3EE9" w:rsidP="007F5C1E">
      <w:pPr>
        <w:pStyle w:val="Heading1"/>
      </w:pPr>
      <w:r>
        <w:t>AN EMPLOYEE WITHIN THE EXTENDED MEANING?</w:t>
      </w:r>
    </w:p>
    <w:p w14:paraId="7639D594" w14:textId="77777777" w:rsidR="00F05472" w:rsidRDefault="007D7F0C" w:rsidP="008158B5">
      <w:pPr>
        <w:pStyle w:val="ParaNumbering"/>
      </w:pPr>
      <w:r>
        <w:t>Despite the finding that Mr Harrison was an employee within the ordinary meaning of that term, it is necessary and desirable t</w:t>
      </w:r>
      <w:r w:rsidR="00F05472">
        <w:t>o also consider whether he fell</w:t>
      </w:r>
      <w:r>
        <w:t xml:space="preserve"> within the extended meaning in s 12(3) of the SGA Act.  </w:t>
      </w:r>
      <w:r w:rsidR="008B2974">
        <w:t>That is particularly so given the possibility that, should JMC appeal, the Full Court might characterise the contract or relationship</w:t>
      </w:r>
      <w:r w:rsidR="005D7736">
        <w:t xml:space="preserve"> as not involving one of employment at common law</w:t>
      </w:r>
      <w:r w:rsidR="008B2974">
        <w:t xml:space="preserve">.  </w:t>
      </w:r>
    </w:p>
    <w:p w14:paraId="720E1461" w14:textId="5B5980F1" w:rsidR="007F5C1E" w:rsidRDefault="008B2974" w:rsidP="008158B5">
      <w:pPr>
        <w:pStyle w:val="ParaNumbering"/>
      </w:pPr>
      <w:r>
        <w:t xml:space="preserve">Fortunately, the question posed by s 12(3) of the SGA Act is </w:t>
      </w:r>
      <w:r w:rsidR="00F05472">
        <w:t xml:space="preserve">somewhat </w:t>
      </w:r>
      <w:r>
        <w:t xml:space="preserve">more straightforward.  </w:t>
      </w:r>
    </w:p>
    <w:p w14:paraId="2130BEFB" w14:textId="2278C06E" w:rsidR="008B2974" w:rsidRDefault="008B2974" w:rsidP="00D8105E">
      <w:pPr>
        <w:pStyle w:val="ParaNumbering"/>
      </w:pPr>
      <w:r>
        <w:t>As was noted earlier</w:t>
      </w:r>
      <w:r w:rsidR="00446459">
        <w:t xml:space="preserve"> by reference to </w:t>
      </w:r>
      <w:proofErr w:type="spellStart"/>
      <w:r w:rsidR="00446459">
        <w:rPr>
          <w:i/>
        </w:rPr>
        <w:t>Moffet</w:t>
      </w:r>
      <w:proofErr w:type="spellEnd"/>
      <w:r>
        <w:t>, the extended meaning of “employee” in s 12(3) of the SGA</w:t>
      </w:r>
      <w:r w:rsidR="00E431E7">
        <w:t xml:space="preserve"> Act</w:t>
      </w:r>
      <w:r>
        <w:t xml:space="preserve"> has effectively three elements: </w:t>
      </w:r>
      <w:r w:rsidRPr="00BB625A">
        <w:rPr>
          <w:i/>
        </w:rPr>
        <w:t>first</w:t>
      </w:r>
      <w:r>
        <w:t>,</w:t>
      </w:r>
      <w:r w:rsidR="00D8105E" w:rsidRPr="00D8105E">
        <w:t xml:space="preserve"> </w:t>
      </w:r>
      <w:r w:rsidR="00D8105E">
        <w:t xml:space="preserve">there is </w:t>
      </w:r>
      <w:r w:rsidR="00D8105E" w:rsidRPr="00D8105E">
        <w:t xml:space="preserve">a contract; </w:t>
      </w:r>
      <w:r w:rsidR="00D8105E" w:rsidRPr="00BB625A">
        <w:rPr>
          <w:i/>
        </w:rPr>
        <w:t>second</w:t>
      </w:r>
      <w:r w:rsidR="00D8105E" w:rsidRPr="00D8105E">
        <w:t xml:space="preserve">, the contract </w:t>
      </w:r>
      <w:r w:rsidR="00D8105E">
        <w:t xml:space="preserve">is </w:t>
      </w:r>
      <w:r w:rsidR="00D8105E" w:rsidRPr="00D8105E">
        <w:t xml:space="preserve">wholly or principally for the labour of the person; and </w:t>
      </w:r>
      <w:r w:rsidR="00D8105E" w:rsidRPr="00BB625A">
        <w:rPr>
          <w:i/>
        </w:rPr>
        <w:t>third</w:t>
      </w:r>
      <w:r w:rsidR="00D8105E" w:rsidRPr="00D8105E">
        <w:t>, the person must work under the contract</w:t>
      </w:r>
      <w:r w:rsidR="00D8105E">
        <w:t>.</w:t>
      </w:r>
    </w:p>
    <w:p w14:paraId="661B72D5" w14:textId="193B9F32" w:rsidR="00D8105E" w:rsidRDefault="00D8105E" w:rsidP="00D8105E">
      <w:pPr>
        <w:pStyle w:val="ParaNumbering"/>
      </w:pPr>
      <w:r>
        <w:lastRenderedPageBreak/>
        <w:t>The first and third elements of the extended meaning are plainly satisfied in the circumstances of th</w:t>
      </w:r>
      <w:r w:rsidR="00D31F79">
        <w:t>is</w:t>
      </w:r>
      <w:r>
        <w:t xml:space="preserve"> case.  There </w:t>
      </w:r>
      <w:r w:rsidR="001A0B8E">
        <w:t xml:space="preserve">was </w:t>
      </w:r>
      <w:r>
        <w:t>a series of contracts between JMC and Mr Harrison</w:t>
      </w:r>
      <w:r w:rsidR="00D31F79">
        <w:t>,</w:t>
      </w:r>
      <w:r>
        <w:t xml:space="preserve"> and Mr Harrison relevantly worked under those contracts.  </w:t>
      </w:r>
      <w:r w:rsidR="00BA0656">
        <w:t xml:space="preserve">The word “work” in s 12(3) of the SGA Act bears its ordinary meaning, which the </w:t>
      </w:r>
      <w:r w:rsidR="00BA0656" w:rsidRPr="00132611">
        <w:rPr>
          <w:i/>
        </w:rPr>
        <w:t>Macquarie Dictionary</w:t>
      </w:r>
      <w:r w:rsidR="00BA0656">
        <w:t xml:space="preserve"> (online edition) defines </w:t>
      </w:r>
      <w:r w:rsidR="00FF1947">
        <w:t>as “</w:t>
      </w:r>
      <w:r w:rsidR="001A0B8E">
        <w:t>to do work</w:t>
      </w:r>
      <w:r w:rsidR="00FF1947">
        <w:t xml:space="preserve">, </w:t>
      </w:r>
      <w:r w:rsidR="001A0B8E">
        <w:t>or labour; exert oneself”</w:t>
      </w:r>
      <w:r w:rsidR="00FF1947">
        <w:t xml:space="preserve">.  There </w:t>
      </w:r>
      <w:r w:rsidR="00C51F0B">
        <w:t>could be no</w:t>
      </w:r>
      <w:r w:rsidR="00FF1947">
        <w:t xml:space="preserve"> doubt that</w:t>
      </w:r>
      <w:r w:rsidR="00C81C99">
        <w:t>,</w:t>
      </w:r>
      <w:r w:rsidR="00FF1947">
        <w:t xml:space="preserve"> in providing the teaching services in accordance with his contracts with JMC, </w:t>
      </w:r>
      <w:r w:rsidR="00167283">
        <w:t>Mr Harrison worked, laboured or exerted himself.</w:t>
      </w:r>
    </w:p>
    <w:p w14:paraId="46113271" w14:textId="7DA601F9" w:rsidR="00967295" w:rsidRDefault="008D2834" w:rsidP="008D2834">
      <w:pPr>
        <w:pStyle w:val="ParaNumbering"/>
      </w:pPr>
      <w:r>
        <w:t xml:space="preserve">The only real issue is whether the </w:t>
      </w:r>
      <w:r w:rsidR="00967295">
        <w:t xml:space="preserve">second </w:t>
      </w:r>
      <w:r>
        <w:t xml:space="preserve">element is met.  </w:t>
      </w:r>
    </w:p>
    <w:p w14:paraId="1CC8E375" w14:textId="400DFED5" w:rsidR="00167283" w:rsidRDefault="00967295" w:rsidP="008D2834">
      <w:pPr>
        <w:pStyle w:val="ParaNumbering"/>
      </w:pPr>
      <w:r>
        <w:t xml:space="preserve">As discussed earlier, the </w:t>
      </w:r>
      <w:r w:rsidR="008D2834" w:rsidRPr="008D2834">
        <w:t xml:space="preserve">question </w:t>
      </w:r>
      <w:r w:rsidR="00D31F79">
        <w:t xml:space="preserve">of </w:t>
      </w:r>
      <w:r w:rsidR="008D2834" w:rsidRPr="008D2834">
        <w:t>whether the contract is “for” the labour of the person must be approached from the perspective of the putative employer</w:t>
      </w:r>
      <w:r>
        <w:t xml:space="preserve"> and</w:t>
      </w:r>
      <w:r w:rsidR="008D2834" w:rsidRPr="008D2834">
        <w:t xml:space="preserve"> determined by reference to the terms of</w:t>
      </w:r>
      <w:r>
        <w:t xml:space="preserve"> the contract.  </w:t>
      </w:r>
      <w:r w:rsidR="008D2834" w:rsidRPr="008D2834">
        <w:t>The question is essentially whether the terms of the contract reveal that the benefit the putative employe</w:t>
      </w:r>
      <w:r w:rsidR="00D31F79">
        <w:t>r</w:t>
      </w:r>
      <w:r w:rsidR="008D2834" w:rsidRPr="008D2834">
        <w:t xml:space="preserve"> receives from</w:t>
      </w:r>
      <w:r>
        <w:t xml:space="preserve"> entering into the contract is wholly or principally</w:t>
      </w:r>
      <w:r w:rsidR="008D2834" w:rsidRPr="008D2834">
        <w:t xml:space="preserve"> the labour of the putative employee</w:t>
      </w:r>
      <w:r>
        <w:t>.</w:t>
      </w:r>
    </w:p>
    <w:p w14:paraId="61CAC124" w14:textId="639654B9" w:rsidR="00593841" w:rsidRDefault="00967295" w:rsidP="008D2834">
      <w:pPr>
        <w:pStyle w:val="ParaNumbering"/>
      </w:pPr>
      <w:r>
        <w:t xml:space="preserve">JMC </w:t>
      </w:r>
      <w:r w:rsidR="001F3B4C">
        <w:t xml:space="preserve">advanced </w:t>
      </w:r>
      <w:r w:rsidR="00593841">
        <w:t xml:space="preserve">two </w:t>
      </w:r>
      <w:r w:rsidR="001F3B4C">
        <w:t xml:space="preserve">reasons why </w:t>
      </w:r>
      <w:r>
        <w:t>the contracts between it and Mr</w:t>
      </w:r>
      <w:r w:rsidR="00211D4C">
        <w:t> </w:t>
      </w:r>
      <w:r>
        <w:t>Harrison were not wholly or principally fo</w:t>
      </w:r>
      <w:r w:rsidR="00593841">
        <w:t xml:space="preserve">r the labour of Mr Harrison.  </w:t>
      </w:r>
    </w:p>
    <w:p w14:paraId="3A60606A" w14:textId="46226D85" w:rsidR="00866E19" w:rsidRDefault="00593841" w:rsidP="008D2834">
      <w:pPr>
        <w:pStyle w:val="ParaNumbering"/>
      </w:pPr>
      <w:r>
        <w:t xml:space="preserve">The first reason was </w:t>
      </w:r>
      <w:r w:rsidR="00866E19">
        <w:t xml:space="preserve">said to be </w:t>
      </w:r>
      <w:r>
        <w:t>that the contracts</w:t>
      </w:r>
      <w:r w:rsidR="005A651B">
        <w:t>, properly construed,</w:t>
      </w:r>
      <w:r>
        <w:t xml:space="preserve"> were contracts pursuant to which Mr Harrison was to be paid for p</w:t>
      </w:r>
      <w:r w:rsidR="005A651B">
        <w:t>roducing a result</w:t>
      </w:r>
      <w:r w:rsidR="00D31F79">
        <w:t>:</w:t>
      </w:r>
      <w:r>
        <w:t xml:space="preserve"> the result being </w:t>
      </w:r>
      <w:r w:rsidR="005A651B">
        <w:t>delivered lecture</w:t>
      </w:r>
      <w:r w:rsidR="00C81C99">
        <w:t>s</w:t>
      </w:r>
      <w:r w:rsidR="00BB625A">
        <w:t xml:space="preserve"> and </w:t>
      </w:r>
      <w:r w:rsidR="00C81C99">
        <w:t xml:space="preserve">marked </w:t>
      </w:r>
      <w:r w:rsidR="005A651B">
        <w:t>assessment</w:t>
      </w:r>
      <w:r w:rsidR="00C81C99">
        <w:t>s</w:t>
      </w:r>
      <w:r w:rsidR="00530D5F">
        <w:t xml:space="preserve">.  In JMC’s submission, the contracts </w:t>
      </w:r>
      <w:r w:rsidR="005A651B">
        <w:t>were not contracts pursuant to which Mr Harrison was</w:t>
      </w:r>
      <w:r w:rsidR="00866E19">
        <w:t xml:space="preserve"> paid </w:t>
      </w:r>
      <w:r w:rsidR="009530E3">
        <w:t xml:space="preserve">an hourly rate </w:t>
      </w:r>
      <w:r w:rsidR="00866E19">
        <w:t>for his labour.</w:t>
      </w:r>
    </w:p>
    <w:p w14:paraId="1E5F9049" w14:textId="0469646C" w:rsidR="00A75C9A" w:rsidRDefault="00866E19" w:rsidP="008D2834">
      <w:pPr>
        <w:pStyle w:val="ParaNumbering"/>
      </w:pPr>
      <w:r>
        <w:t xml:space="preserve">The second reason was said to be that </w:t>
      </w:r>
      <w:r w:rsidR="00A75C9A">
        <w:t>Mr Harrison had a right to sub-contract or assign the teaching services.  It followed, in JMC’s submission, that the contracts were not wholly or principally for Mr Harrison’s</w:t>
      </w:r>
      <w:r w:rsidR="00D31F79">
        <w:t xml:space="preserve"> own</w:t>
      </w:r>
      <w:r w:rsidR="00A75C9A">
        <w:t xml:space="preserve"> labour.</w:t>
      </w:r>
    </w:p>
    <w:p w14:paraId="532F08D3" w14:textId="4C6DD321" w:rsidR="00B36C64" w:rsidRDefault="0071767E" w:rsidP="008D2834">
      <w:pPr>
        <w:pStyle w:val="ParaNumbering"/>
      </w:pPr>
      <w:r>
        <w:t>It may be accepted that if the contracts</w:t>
      </w:r>
      <w:r w:rsidR="00530D5F">
        <w:t>, properly construed,</w:t>
      </w:r>
      <w:r>
        <w:t xml:space="preserve"> were </w:t>
      </w:r>
      <w:r w:rsidR="00530D5F">
        <w:t xml:space="preserve">contracts </w:t>
      </w:r>
      <w:r w:rsidR="00C81C99">
        <w:t>for the provision or production</w:t>
      </w:r>
      <w:r>
        <w:t xml:space="preserve"> of a result </w:t>
      </w:r>
      <w:r w:rsidR="00C81C99">
        <w:t xml:space="preserve">or product </w:t>
      </w:r>
      <w:r>
        <w:t xml:space="preserve">by Mr Harrison, they could not be said to be contracts wholly or principally for the labour of Mr Harrison: </w:t>
      </w:r>
      <w:r w:rsidR="004E0E7A" w:rsidRPr="008E59A6">
        <w:rPr>
          <w:i/>
        </w:rPr>
        <w:t>Neale</w:t>
      </w:r>
      <w:r w:rsidR="004E0E7A" w:rsidRPr="004E0E7A">
        <w:rPr>
          <w:i/>
        </w:rPr>
        <w:t xml:space="preserve"> </w:t>
      </w:r>
      <w:r w:rsidR="004E0E7A">
        <w:t>at 425</w:t>
      </w:r>
      <w:r w:rsidR="001A0B8E">
        <w:t xml:space="preserve"> (Dixon CJ, </w:t>
      </w:r>
      <w:proofErr w:type="spellStart"/>
      <w:r w:rsidR="001A0B8E">
        <w:t>McTiernan</w:t>
      </w:r>
      <w:proofErr w:type="spellEnd"/>
      <w:r w:rsidR="001A0B8E">
        <w:t xml:space="preserve">, Webb, </w:t>
      </w:r>
      <w:proofErr w:type="spellStart"/>
      <w:r w:rsidR="001A0B8E">
        <w:t>Kitto</w:t>
      </w:r>
      <w:proofErr w:type="spellEnd"/>
      <w:r w:rsidR="001A0B8E">
        <w:t xml:space="preserve"> and Taylor JJ)</w:t>
      </w:r>
      <w:r w:rsidR="008E59A6">
        <w:t xml:space="preserve">; </w:t>
      </w:r>
      <w:r w:rsidR="008E59A6" w:rsidRPr="008E59A6">
        <w:rPr>
          <w:i/>
        </w:rPr>
        <w:t>World Book</w:t>
      </w:r>
      <w:r w:rsidR="008E59A6" w:rsidRPr="003A2776">
        <w:rPr>
          <w:i/>
        </w:rPr>
        <w:t xml:space="preserve"> </w:t>
      </w:r>
      <w:r w:rsidR="008E59A6">
        <w:t xml:space="preserve">at 385-386 (Sheller JA, </w:t>
      </w:r>
      <w:r w:rsidR="008E76DF">
        <w:t xml:space="preserve">with </w:t>
      </w:r>
      <w:r w:rsidR="008E59A6">
        <w:t>Clarke JA agreeing)</w:t>
      </w:r>
      <w:r w:rsidR="004E0E7A">
        <w:t>.  For the reasons given in detail earlier, however, the contracts</w:t>
      </w:r>
      <w:r w:rsidR="00131244">
        <w:t>, properly construed,</w:t>
      </w:r>
      <w:r w:rsidR="004E0E7A">
        <w:t xml:space="preserve"> </w:t>
      </w:r>
      <w:r w:rsidR="00EA76F9">
        <w:t>we</w:t>
      </w:r>
      <w:r w:rsidR="00131244">
        <w:t xml:space="preserve">re not </w:t>
      </w:r>
      <w:r w:rsidR="004E0E7A">
        <w:t>contracts for the production of a result</w:t>
      </w:r>
      <w:r w:rsidR="000F0F89">
        <w:t xml:space="preserve"> or product</w:t>
      </w:r>
      <w:r w:rsidR="004E0E7A">
        <w:t xml:space="preserve">.  </w:t>
      </w:r>
      <w:r w:rsidR="00D40B74">
        <w:t>Rather, they were contracts pursuant to which Mr Harrison was paid an hourly rate for the time he spent providing service</w:t>
      </w:r>
      <w:r w:rsidR="00131244">
        <w:t>s</w:t>
      </w:r>
      <w:r w:rsidR="00D40B74">
        <w:t>, th</w:t>
      </w:r>
      <w:r w:rsidR="00131244">
        <w:t>ose</w:t>
      </w:r>
      <w:r w:rsidR="00D40B74">
        <w:t xml:space="preserve"> service</w:t>
      </w:r>
      <w:r w:rsidR="00BB625A">
        <w:t>s</w:t>
      </w:r>
      <w:r w:rsidR="00D40B74">
        <w:t xml:space="preserve"> </w:t>
      </w:r>
      <w:r w:rsidR="00131244">
        <w:t xml:space="preserve">comprising </w:t>
      </w:r>
      <w:r w:rsidR="00D31F79">
        <w:t xml:space="preserve">delivering </w:t>
      </w:r>
      <w:r w:rsidR="00D40B74">
        <w:t>lecture</w:t>
      </w:r>
      <w:r w:rsidR="00D31F79">
        <w:t>s</w:t>
      </w:r>
      <w:r w:rsidR="00D40B74">
        <w:t xml:space="preserve"> </w:t>
      </w:r>
      <w:r w:rsidR="00131244">
        <w:t>and</w:t>
      </w:r>
      <w:r w:rsidR="00D40B74">
        <w:t xml:space="preserve"> </w:t>
      </w:r>
      <w:r w:rsidR="00D31F79">
        <w:t>marking</w:t>
      </w:r>
      <w:r w:rsidR="00D40B74">
        <w:t xml:space="preserve"> assessment</w:t>
      </w:r>
      <w:r w:rsidR="00D31F79">
        <w:t>s</w:t>
      </w:r>
      <w:r w:rsidR="00D40B74">
        <w:t>.</w:t>
      </w:r>
      <w:r w:rsidR="006E71D3">
        <w:t xml:space="preserve">  Mr Harrison was, for all intents and purposes, paid</w:t>
      </w:r>
      <w:r w:rsidR="00D40B74">
        <w:t xml:space="preserve"> </w:t>
      </w:r>
      <w:r w:rsidR="006E71D3">
        <w:t xml:space="preserve">for his labour in delivering lectures and marking assessments. </w:t>
      </w:r>
      <w:r w:rsidR="00D40B74">
        <w:t xml:space="preserve"> </w:t>
      </w:r>
    </w:p>
    <w:p w14:paraId="4E726B5B" w14:textId="1B203625" w:rsidR="00AB227D" w:rsidRDefault="009D785B" w:rsidP="00C44043">
      <w:pPr>
        <w:pStyle w:val="ParaNumbering"/>
      </w:pPr>
      <w:r>
        <w:lastRenderedPageBreak/>
        <w:t>For the reasons given earlier, t</w:t>
      </w:r>
      <w:r w:rsidR="00EA76F9">
        <w:t xml:space="preserve">here is no basis for JMC’s contention that </w:t>
      </w:r>
      <w:r w:rsidR="00D40B74">
        <w:t>there was no correlation b</w:t>
      </w:r>
      <w:r w:rsidR="001A45C0">
        <w:t>etween the hours expended by Mr Harrison in delivering those services and the hourly fee that he was to be paid.</w:t>
      </w:r>
      <w:r w:rsidR="000A03F9">
        <w:t xml:space="preserve">  Nor </w:t>
      </w:r>
      <w:r w:rsidR="000F4258">
        <w:t xml:space="preserve">can the contracts be sensibly </w:t>
      </w:r>
      <w:r w:rsidR="000A03F9">
        <w:t>construe</w:t>
      </w:r>
      <w:r w:rsidR="000F4258">
        <w:t>d</w:t>
      </w:r>
      <w:r w:rsidR="000A03F9">
        <w:t xml:space="preserve"> as providing that</w:t>
      </w:r>
      <w:r w:rsidR="00F43B1B">
        <w:t xml:space="preserve"> Mr Harrison</w:t>
      </w:r>
      <w:r w:rsidR="000F0F89">
        <w:t xml:space="preserve"> was to be paid for producing </w:t>
      </w:r>
      <w:r w:rsidR="00F43B1B">
        <w:t>delivered lecture</w:t>
      </w:r>
      <w:r w:rsidR="000F0F89">
        <w:t>s</w:t>
      </w:r>
      <w:r w:rsidR="00F43B1B">
        <w:t xml:space="preserve">, or marked </w:t>
      </w:r>
      <w:r w:rsidR="008E76DF">
        <w:t>assessments</w:t>
      </w:r>
      <w:r w:rsidR="006E71D3">
        <w:t xml:space="preserve">, or a completed </w:t>
      </w:r>
      <w:r w:rsidR="003D6D82">
        <w:t xml:space="preserve">unit </w:t>
      </w:r>
      <w:r w:rsidR="006E71D3">
        <w:t>of study</w:t>
      </w:r>
      <w:r w:rsidR="00F43B1B">
        <w:t xml:space="preserve">.  That would make a nonsense of the repeated references throughout the </w:t>
      </w:r>
      <w:r w:rsidR="00D31F79">
        <w:t xml:space="preserve">Memoranda </w:t>
      </w:r>
      <w:r w:rsidR="00F43B1B">
        <w:t>to the provision of “service</w:t>
      </w:r>
      <w:r w:rsidR="003D6D82">
        <w:t>s</w:t>
      </w:r>
      <w:r w:rsidR="00F43B1B">
        <w:t xml:space="preserve">”.  Nowhere in the </w:t>
      </w:r>
      <w:r w:rsidR="00D31F79">
        <w:t xml:space="preserve">Memoranda </w:t>
      </w:r>
      <w:r w:rsidR="00F43B1B">
        <w:t xml:space="preserve">is Mr Harrison’s </w:t>
      </w:r>
      <w:r w:rsidR="006E71D3">
        <w:t xml:space="preserve">contractual </w:t>
      </w:r>
      <w:r w:rsidR="00F43B1B">
        <w:t xml:space="preserve">obligation described as being to </w:t>
      </w:r>
      <w:r w:rsidR="00B36C64">
        <w:t>produce a</w:t>
      </w:r>
      <w:r w:rsidR="00053E25">
        <w:t>n identified or identifiable</w:t>
      </w:r>
      <w:r w:rsidR="00B36C64">
        <w:t xml:space="preserve"> product or result. </w:t>
      </w:r>
      <w:r w:rsidR="00A9120E">
        <w:t xml:space="preserve">  </w:t>
      </w:r>
      <w:r w:rsidR="00C44043">
        <w:t xml:space="preserve">It </w:t>
      </w:r>
      <w:r w:rsidR="00A9120E">
        <w:t>would also make a nonsense of the clause</w:t>
      </w:r>
      <w:r w:rsidR="00B91DDE">
        <w:t>s</w:t>
      </w:r>
      <w:r w:rsidR="00A9120E">
        <w:t xml:space="preserve"> which provided that Mr Harrison was to be paid an hourly rate</w:t>
      </w:r>
      <w:r w:rsidR="006D7C05">
        <w:t xml:space="preserve"> and was required to produce, along with his invoices, completed timesheets</w:t>
      </w:r>
      <w:r w:rsidR="00A9120E">
        <w:t>.  If</w:t>
      </w:r>
      <w:r w:rsidR="00A27995">
        <w:t xml:space="preserve"> Mr Harrison was paid for producing a result, it might be expected that clause </w:t>
      </w:r>
      <w:r w:rsidR="00CC7B6A">
        <w:t xml:space="preserve">7 of the Memoranda </w:t>
      </w:r>
      <w:r w:rsidR="00A27995">
        <w:t>would have provided that</w:t>
      </w:r>
      <w:r w:rsidR="004E0E7A">
        <w:t xml:space="preserve"> </w:t>
      </w:r>
      <w:r w:rsidR="00A27995">
        <w:t>Mr Harr</w:t>
      </w:r>
      <w:r w:rsidR="00053E25">
        <w:t>ison be paid a fixed amount once he completed the delivery of a</w:t>
      </w:r>
      <w:r w:rsidR="00A27995">
        <w:t xml:space="preserve"> </w:t>
      </w:r>
      <w:r w:rsidR="000F0F89">
        <w:t xml:space="preserve">particular </w:t>
      </w:r>
      <w:r w:rsidR="00A27995">
        <w:t>lecture</w:t>
      </w:r>
      <w:r w:rsidR="000F0F89">
        <w:t xml:space="preserve"> or series of lectures</w:t>
      </w:r>
      <w:r w:rsidR="00053E25">
        <w:t xml:space="preserve">, or </w:t>
      </w:r>
      <w:r w:rsidR="006D7C05">
        <w:t>completed the marking of a particular</w:t>
      </w:r>
      <w:r w:rsidR="00053E25">
        <w:t xml:space="preserve"> assessment</w:t>
      </w:r>
      <w:r w:rsidR="006D7C05">
        <w:t xml:space="preserve"> or set of assessments</w:t>
      </w:r>
      <w:r w:rsidR="00053E25">
        <w:t xml:space="preserve">, or completed </w:t>
      </w:r>
      <w:r w:rsidR="00C44043">
        <w:t xml:space="preserve">the delivery of a </w:t>
      </w:r>
      <w:r w:rsidR="006D7C05">
        <w:t xml:space="preserve">particular </w:t>
      </w:r>
      <w:r w:rsidR="003D6D82">
        <w:t xml:space="preserve">unit </w:t>
      </w:r>
      <w:r w:rsidR="00C44043">
        <w:t>of study</w:t>
      </w:r>
      <w:r w:rsidR="00A27995">
        <w:t xml:space="preserve">.  </w:t>
      </w:r>
      <w:r w:rsidR="00C44043">
        <w:t xml:space="preserve">That was not how the contracts were expressed.  </w:t>
      </w:r>
    </w:p>
    <w:p w14:paraId="168D60B2" w14:textId="517251F8" w:rsidR="00AC5E34" w:rsidRDefault="00AB227D" w:rsidP="008D2834">
      <w:pPr>
        <w:pStyle w:val="ParaNumbering"/>
      </w:pPr>
      <w:r>
        <w:t>It may also be accepted that</w:t>
      </w:r>
      <w:r w:rsidR="00CC7B6A">
        <w:t>,</w:t>
      </w:r>
      <w:r>
        <w:t xml:space="preserve"> if Mr Harrison had an unlimited </w:t>
      </w:r>
      <w:r w:rsidR="006D7C05">
        <w:t xml:space="preserve">or unilateral </w:t>
      </w:r>
      <w:r>
        <w:t>right to sub-contract or assign the teaching services, it could not be concluded that the contract</w:t>
      </w:r>
      <w:r w:rsidR="00F46F68">
        <w:t>s were</w:t>
      </w:r>
      <w:r>
        <w:t xml:space="preserve"> wholly or principally for his labour: </w:t>
      </w:r>
      <w:r w:rsidRPr="00AB227D">
        <w:rPr>
          <w:i/>
        </w:rPr>
        <w:t>Neale</w:t>
      </w:r>
      <w:r>
        <w:t xml:space="preserve"> at 425.  </w:t>
      </w:r>
      <w:r w:rsidR="00FC686A">
        <w:t xml:space="preserve">As discussed at length earlier, however, Mr Harrison’s right to sub-contract </w:t>
      </w:r>
      <w:r w:rsidR="009D785B">
        <w:t>(</w:t>
      </w:r>
      <w:r w:rsidR="003D6D82">
        <w:t>per clause 5</w:t>
      </w:r>
      <w:r w:rsidR="009D785B">
        <w:t>)</w:t>
      </w:r>
      <w:r w:rsidR="003D6D82">
        <w:t xml:space="preserve"> </w:t>
      </w:r>
      <w:r w:rsidR="00FC686A">
        <w:t>was by no means unlimited</w:t>
      </w:r>
      <w:r w:rsidR="00E650EB">
        <w:t xml:space="preserve"> or unilateral</w:t>
      </w:r>
      <w:r w:rsidR="00FC686A">
        <w:t>.  It could only be exercised with the written consent of JMC</w:t>
      </w:r>
      <w:r w:rsidR="001307BB">
        <w:t>.  JMC effectively had an</w:t>
      </w:r>
      <w:r w:rsidR="00F46F68">
        <w:t xml:space="preserve"> </w:t>
      </w:r>
      <w:r w:rsidR="001307BB">
        <w:t>unfettered discretion to refuse</w:t>
      </w:r>
      <w:r w:rsidR="00D31F79">
        <w:t xml:space="preserve"> to give</w:t>
      </w:r>
      <w:r w:rsidR="001307BB">
        <w:t xml:space="preserve"> its consent.  </w:t>
      </w:r>
      <w:r w:rsidR="001D23FD">
        <w:t>It co</w:t>
      </w:r>
      <w:r w:rsidR="00B90A38">
        <w:t>u</w:t>
      </w:r>
      <w:r w:rsidR="001D23FD">
        <w:t>ld not</w:t>
      </w:r>
      <w:r w:rsidR="00776A2C">
        <w:t>,</w:t>
      </w:r>
      <w:r w:rsidR="001D23FD">
        <w:t xml:space="preserve"> therefore</w:t>
      </w:r>
      <w:r w:rsidR="00776A2C">
        <w:t>,</w:t>
      </w:r>
      <w:r w:rsidR="001D23FD">
        <w:t xml:space="preserve"> be said that Mr Harrison was </w:t>
      </w:r>
      <w:r w:rsidR="00B90A38">
        <w:t>“</w:t>
      </w:r>
      <w:r w:rsidR="001D23FD">
        <w:t xml:space="preserve">free to </w:t>
      </w:r>
      <w:r w:rsidR="00B90A38">
        <w:t xml:space="preserve">do the work himself or </w:t>
      </w:r>
      <w:r w:rsidR="003D6D82">
        <w:t xml:space="preserve">to </w:t>
      </w:r>
      <w:r w:rsidR="00B90A38">
        <w:t xml:space="preserve">employ other persons to carry it out”: </w:t>
      </w:r>
      <w:proofErr w:type="spellStart"/>
      <w:r w:rsidR="00B90A38">
        <w:t>cf</w:t>
      </w:r>
      <w:proofErr w:type="spellEnd"/>
      <w:r w:rsidR="00B90A38">
        <w:t xml:space="preserve"> </w:t>
      </w:r>
      <w:r w:rsidR="00B90A38" w:rsidRPr="00B90A38">
        <w:rPr>
          <w:i/>
        </w:rPr>
        <w:t>Neale</w:t>
      </w:r>
      <w:r w:rsidR="00B90A38">
        <w:t xml:space="preserve"> at 425.  </w:t>
      </w:r>
      <w:r w:rsidR="00FC686A">
        <w:t xml:space="preserve">Construed in the context of the contracts as a whole, the right </w:t>
      </w:r>
      <w:r w:rsidR="00B90A38">
        <w:t xml:space="preserve">to sub-contract or assign </w:t>
      </w:r>
      <w:r w:rsidR="00FC686A">
        <w:t>was narrow and confined an</w:t>
      </w:r>
      <w:r w:rsidR="001307BB">
        <w:t>d</w:t>
      </w:r>
      <w:r w:rsidR="00E650EB">
        <w:t>, having regard to the terms of the contracts as a whole</w:t>
      </w:r>
      <w:r w:rsidR="00FC686A">
        <w:t>, unlikely</w:t>
      </w:r>
      <w:r w:rsidR="001307BB">
        <w:t xml:space="preserve"> to </w:t>
      </w:r>
      <w:r w:rsidR="00E650EB">
        <w:t xml:space="preserve">ever </w:t>
      </w:r>
      <w:r w:rsidR="001307BB">
        <w:t xml:space="preserve">be exercisable or exercised.  The terms of the </w:t>
      </w:r>
      <w:r w:rsidR="00776A2C">
        <w:t>Memoranda</w:t>
      </w:r>
      <w:r w:rsidR="001307BB">
        <w:t>, save for clause 5, plainly envisaged</w:t>
      </w:r>
      <w:r w:rsidR="00437A12">
        <w:t xml:space="preserve"> that Mr Harrison would personally provide the teaching services in accordance with the representations in the recital</w:t>
      </w:r>
      <w:r w:rsidR="00776A2C">
        <w:t>s</w:t>
      </w:r>
      <w:r w:rsidR="00437A12">
        <w:t>.  This was effectively conceded by JMC in the course of its submissions when it accepted that the “default position” was that Mr Harrison would personally deliver the lectures and mark the assessments.</w:t>
      </w:r>
    </w:p>
    <w:p w14:paraId="5234198F" w14:textId="76B20D4B" w:rsidR="00306780" w:rsidRDefault="00AC5E34" w:rsidP="008D2834">
      <w:pPr>
        <w:pStyle w:val="ParaNumbering"/>
      </w:pPr>
      <w:r>
        <w:t xml:space="preserve">The existence of the limited right to sub-contract or assign the teaching services </w:t>
      </w:r>
      <w:r w:rsidR="00FE7375">
        <w:t xml:space="preserve">might perhaps </w:t>
      </w:r>
      <w:r w:rsidR="00E650EB">
        <w:t xml:space="preserve">suggest </w:t>
      </w:r>
      <w:r>
        <w:t xml:space="preserve">that the contracts were </w:t>
      </w:r>
      <w:r w:rsidR="00533C84">
        <w:t xml:space="preserve">not </w:t>
      </w:r>
      <w:r>
        <w:t xml:space="preserve">“wholly” </w:t>
      </w:r>
      <w:r w:rsidR="0024031D">
        <w:t>for the labour of Mr Harrison</w:t>
      </w:r>
      <w:r w:rsidR="00E650EB">
        <w:t>, though even that would be a stretch</w:t>
      </w:r>
      <w:r w:rsidR="0024031D">
        <w:t xml:space="preserve">.  </w:t>
      </w:r>
      <w:r w:rsidR="005C4EF7">
        <w:t xml:space="preserve">It does not, however, </w:t>
      </w:r>
      <w:r w:rsidR="00646B7D">
        <w:t>preclude</w:t>
      </w:r>
      <w:r w:rsidR="0024031D">
        <w:t xml:space="preserve"> a finding that the contract</w:t>
      </w:r>
      <w:r w:rsidR="0034057C">
        <w:t>s were</w:t>
      </w:r>
      <w:r w:rsidR="0024031D">
        <w:t xml:space="preserve"> “principally” for </w:t>
      </w:r>
      <w:r w:rsidR="00FE7375">
        <w:t>the labour of Mr Harris</w:t>
      </w:r>
      <w:r w:rsidR="0024031D">
        <w:t xml:space="preserve">on.  </w:t>
      </w:r>
    </w:p>
    <w:p w14:paraId="48C34FF3" w14:textId="30B05003" w:rsidR="00967295" w:rsidRDefault="0024031D" w:rsidP="008D2834">
      <w:pPr>
        <w:pStyle w:val="ParaNumbering"/>
      </w:pPr>
      <w:r>
        <w:lastRenderedPageBreak/>
        <w:t xml:space="preserve">Properly construed, the contracts </w:t>
      </w:r>
      <w:r w:rsidRPr="00267424">
        <w:t>were</w:t>
      </w:r>
      <w:r>
        <w:t xml:space="preserve"> principally for the lab</w:t>
      </w:r>
      <w:r w:rsidR="008235AA">
        <w:t>our of Mr Harrison.  T</w:t>
      </w:r>
      <w:r w:rsidR="00E766BB">
        <w:t>he substantial or predominant purpose</w:t>
      </w:r>
      <w:r w:rsidR="008235AA">
        <w:t xml:space="preserve"> of the contracts</w:t>
      </w:r>
      <w:r w:rsidR="00776A2C">
        <w:t>,</w:t>
      </w:r>
      <w:r w:rsidR="00E766BB">
        <w:t xml:space="preserve"> </w:t>
      </w:r>
      <w:r w:rsidR="002130C1">
        <w:t xml:space="preserve">objectively </w:t>
      </w:r>
      <w:r w:rsidR="00E766BB">
        <w:t>apparent from their terms</w:t>
      </w:r>
      <w:r w:rsidR="00776A2C">
        <w:t>,</w:t>
      </w:r>
      <w:r w:rsidR="00E766BB">
        <w:t xml:space="preserve"> was that Mr Harrison would personally provide </w:t>
      </w:r>
      <w:r w:rsidR="005C4EF7">
        <w:t xml:space="preserve">his labour in order to provide </w:t>
      </w:r>
      <w:r w:rsidR="00E766BB">
        <w:t>the teaching services in accordance with his representations referred to in the recitals</w:t>
      </w:r>
      <w:r w:rsidR="0034057C">
        <w:t xml:space="preserve"> to the Memoranda</w:t>
      </w:r>
      <w:r w:rsidR="00E766BB">
        <w:t>.</w:t>
      </w:r>
      <w:r w:rsidR="008235AA">
        <w:t xml:space="preserve">  The benefit that JMC obtained from the contracts was principally</w:t>
      </w:r>
      <w:r w:rsidR="00267424">
        <w:t>, if not wholly,</w:t>
      </w:r>
      <w:r w:rsidR="008235AA">
        <w:t xml:space="preserve"> Mr Harrison’s labour in providing the teaching services</w:t>
      </w:r>
      <w:r w:rsidR="0072119C">
        <w:t>, i</w:t>
      </w:r>
      <w:r w:rsidR="00646B7D">
        <w:t>n return for which JMC paid</w:t>
      </w:r>
      <w:r w:rsidR="00306780">
        <w:t xml:space="preserve"> Mr Harrison an</w:t>
      </w:r>
      <w:r w:rsidR="00D95C46">
        <w:t xml:space="preserve"> amount of money calculated by reference to the time that Mr Harrison was engaged providing that labour</w:t>
      </w:r>
      <w:r w:rsidR="008235AA">
        <w:t>.</w:t>
      </w:r>
      <w:r w:rsidR="00646B7D">
        <w:t xml:space="preserve">  Mr Harrison was not contractually obliged to provide any equipment or tools</w:t>
      </w:r>
      <w:r w:rsidR="00306780">
        <w:t xml:space="preserve"> in providing the teaching services</w:t>
      </w:r>
      <w:r w:rsidR="00D95C46">
        <w:t xml:space="preserve">.  Nor could it be said that the services provided by Mr Harrison </w:t>
      </w:r>
      <w:r w:rsidR="00DF74D9">
        <w:t>to JMC under the contract</w:t>
      </w:r>
      <w:r w:rsidR="00533C84">
        <w:t>s</w:t>
      </w:r>
      <w:r w:rsidR="00DF74D9">
        <w:t xml:space="preserve"> </w:t>
      </w:r>
      <w:r w:rsidR="00267424">
        <w:t>involved any material component referable to the use by Mr Harrison of his own equipment.</w:t>
      </w:r>
      <w:r w:rsidR="00646B7D">
        <w:t xml:space="preserve"> </w:t>
      </w:r>
      <w:r w:rsidR="00E766BB">
        <w:t xml:space="preserve"> </w:t>
      </w:r>
      <w:r w:rsidR="00FC686A">
        <w:t xml:space="preserve"> </w:t>
      </w:r>
      <w:r w:rsidR="00A75C9A">
        <w:t xml:space="preserve">  </w:t>
      </w:r>
      <w:r w:rsidR="005A651B">
        <w:t xml:space="preserve">   </w:t>
      </w:r>
    </w:p>
    <w:p w14:paraId="07DEFB77" w14:textId="77777777" w:rsidR="007F5C1E" w:rsidRDefault="007F5C1E" w:rsidP="007F5C1E">
      <w:pPr>
        <w:pStyle w:val="Heading1"/>
      </w:pPr>
      <w:r>
        <w:t>CONCLUSION AND DISPOSITION</w:t>
      </w:r>
    </w:p>
    <w:p w14:paraId="1061C413" w14:textId="1D247DC6" w:rsidR="004C4FC7" w:rsidRDefault="00FE7375" w:rsidP="005F2916">
      <w:pPr>
        <w:pStyle w:val="ParaNumbering"/>
      </w:pPr>
      <w:r>
        <w:t>The Commissioner’s assessments under appeal</w:t>
      </w:r>
      <w:r w:rsidR="005F2916" w:rsidRPr="005F2916">
        <w:t xml:space="preserve"> </w:t>
      </w:r>
      <w:r w:rsidR="005F2916">
        <w:t xml:space="preserve">were </w:t>
      </w:r>
      <w:r w:rsidR="005F2916" w:rsidRPr="005F2916">
        <w:t xml:space="preserve">premised on the finding that Mr Harrison was JMC’s employee for the purposes of the </w:t>
      </w:r>
      <w:r w:rsidR="005F2916">
        <w:t xml:space="preserve">SGA Act, </w:t>
      </w:r>
      <w:r w:rsidR="005F2916" w:rsidRPr="005F2916">
        <w:t>either within the “ordinary meaning” of the term “employee” (s 12(1) of the SG</w:t>
      </w:r>
      <w:r w:rsidR="00776A2C">
        <w:t>A</w:t>
      </w:r>
      <w:r w:rsidR="005F2916" w:rsidRPr="005F2916">
        <w:t xml:space="preserve"> Act), or because he worked under contracts that were “wholly or principally” for his “labour”: s 12(3) of the SGA Act.</w:t>
      </w:r>
      <w:r w:rsidR="005F2916">
        <w:t xml:space="preserve">  JMC’s challenge to the assessments hinged on it demonstrating that </w:t>
      </w:r>
      <w:r w:rsidR="004C4FC7">
        <w:t>Mr Harrison was not its employee</w:t>
      </w:r>
      <w:r w:rsidR="0034057C">
        <w:t>,</w:t>
      </w:r>
      <w:r w:rsidR="004C4FC7">
        <w:t xml:space="preserve"> either at common law or on the basis of the extended meaning of </w:t>
      </w:r>
      <w:r w:rsidR="00533C84">
        <w:t>“</w:t>
      </w:r>
      <w:r w:rsidR="004C4FC7">
        <w:t>employee</w:t>
      </w:r>
      <w:r w:rsidR="00533C84">
        <w:t>”</w:t>
      </w:r>
      <w:r w:rsidR="004C4FC7">
        <w:t xml:space="preserve"> in s 12(3) of the SGA Act.  JMC failed to demonstrate that Mr Harrison was not its employee </w:t>
      </w:r>
      <w:r w:rsidR="0034057C">
        <w:t xml:space="preserve">in either of those respects.  It has </w:t>
      </w:r>
      <w:r w:rsidR="004C4FC7">
        <w:t>accordingly failed to discharge its burden of proving that the assessment</w:t>
      </w:r>
      <w:r w:rsidR="00533C84">
        <w:t>s were</w:t>
      </w:r>
      <w:r w:rsidR="004C4FC7">
        <w:t xml:space="preserve"> excessive</w:t>
      </w:r>
      <w:r w:rsidR="00776A2C">
        <w:t>,</w:t>
      </w:r>
      <w:r w:rsidR="004C4FC7">
        <w:t xml:space="preserve"> or otherwise incorrect</w:t>
      </w:r>
      <w:r w:rsidR="00E37704">
        <w:t>.</w:t>
      </w:r>
    </w:p>
    <w:p w14:paraId="1F4146A6" w14:textId="2C718CBF" w:rsidR="00125E89" w:rsidRPr="00125E89" w:rsidRDefault="00326654" w:rsidP="00125E89">
      <w:pPr>
        <w:pStyle w:val="ParaNumbering"/>
      </w:pPr>
      <w:r>
        <w:t xml:space="preserve">JMC’s application must accordingly be dismissed with costs. </w:t>
      </w:r>
      <w:r w:rsidR="004C4FC7">
        <w:t xml:space="preserve"> </w:t>
      </w:r>
      <w:r w:rsidR="005F2916">
        <w:t xml:space="preserve"> </w:t>
      </w:r>
      <w:r w:rsidR="005F2916" w:rsidRPr="005F2916">
        <w:t xml:space="preserve"> </w:t>
      </w:r>
    </w:p>
    <w:p w14:paraId="306985BF" w14:textId="77777777" w:rsidR="00125E89" w:rsidRDefault="00125E89" w:rsidP="00125E89">
      <w:pPr>
        <w:pStyle w:val="BodyText"/>
      </w:pPr>
      <w:bookmarkStart w:id="21" w:name="Certification"/>
    </w:p>
    <w:tbl>
      <w:tblPr>
        <w:tblW w:w="0" w:type="auto"/>
        <w:tblLook w:val="04A0" w:firstRow="1" w:lastRow="0" w:firstColumn="1" w:lastColumn="0" w:noHBand="0" w:noVBand="1"/>
      </w:tblPr>
      <w:tblGrid>
        <w:gridCol w:w="3794"/>
      </w:tblGrid>
      <w:tr w:rsidR="00125E89" w:rsidRPr="00125E89" w14:paraId="41FC74B9" w14:textId="77777777">
        <w:tc>
          <w:tcPr>
            <w:tcW w:w="3794" w:type="dxa"/>
            <w:shd w:val="clear" w:color="auto" w:fill="auto"/>
          </w:tcPr>
          <w:p w14:paraId="5B3CAE6D" w14:textId="7FBB887D" w:rsidR="00125E89" w:rsidRPr="00125E89" w:rsidRDefault="00125E89" w:rsidP="00125E89">
            <w:pPr>
              <w:pStyle w:val="Normal1linespace"/>
            </w:pPr>
            <w:r w:rsidRPr="00125E89">
              <w:t xml:space="preserve">I certify that the preceding </w:t>
            </w:r>
            <w:bookmarkStart w:id="22" w:name="NumberWord"/>
            <w:r>
              <w:t>two hundred and one</w:t>
            </w:r>
            <w:bookmarkEnd w:id="22"/>
            <w:r w:rsidRPr="00125E89">
              <w:t xml:space="preserve"> (</w:t>
            </w:r>
            <w:bookmarkStart w:id="23" w:name="NumberNumeral"/>
            <w:r>
              <w:t>201</w:t>
            </w:r>
            <w:bookmarkEnd w:id="23"/>
            <w:r w:rsidRPr="00125E89">
              <w:t xml:space="preserve">) numbered </w:t>
            </w:r>
            <w:bookmarkStart w:id="24" w:name="CertPara"/>
            <w:r>
              <w:t>paragraphs are</w:t>
            </w:r>
            <w:bookmarkEnd w:id="24"/>
            <w:r w:rsidRPr="00125E89">
              <w:t xml:space="preserve"> a true copy of the Reasons for Judgment of </w:t>
            </w:r>
            <w:bookmarkStart w:id="25" w:name="bkHonourable"/>
            <w:r w:rsidRPr="00125E89">
              <w:t xml:space="preserve">the Honourable </w:t>
            </w:r>
            <w:bookmarkStart w:id="26" w:name="Justice"/>
            <w:bookmarkEnd w:id="25"/>
            <w:r w:rsidR="00A12671">
              <w:t>Justice</w:t>
            </w:r>
            <w:r>
              <w:t xml:space="preserve"> Wigney</w:t>
            </w:r>
            <w:bookmarkEnd w:id="26"/>
            <w:r w:rsidRPr="00125E89">
              <w:t>.</w:t>
            </w:r>
          </w:p>
        </w:tc>
      </w:tr>
    </w:tbl>
    <w:p w14:paraId="4B7AA027" w14:textId="5531D29C" w:rsidR="00125E89" w:rsidRDefault="00125E89" w:rsidP="00125E89">
      <w:pPr>
        <w:pStyle w:val="BodyText"/>
      </w:pPr>
    </w:p>
    <w:p w14:paraId="3A5ECE69" w14:textId="62D2B33F" w:rsidR="00125E89" w:rsidRDefault="00125E89" w:rsidP="00125E89">
      <w:pPr>
        <w:pStyle w:val="BodyText"/>
      </w:pPr>
      <w:r>
        <w:t xml:space="preserve">Associate: </w:t>
      </w:r>
    </w:p>
    <w:p w14:paraId="62216E9B" w14:textId="77777777" w:rsidR="00125E89" w:rsidRDefault="00125E89" w:rsidP="00125E89">
      <w:pPr>
        <w:pStyle w:val="BodyText"/>
      </w:pPr>
    </w:p>
    <w:p w14:paraId="11ABB717" w14:textId="6A7557CC" w:rsidR="00CD1346" w:rsidRDefault="00125E89" w:rsidP="00125E89">
      <w:pPr>
        <w:pStyle w:val="BodyText"/>
        <w:tabs>
          <w:tab w:val="left" w:pos="1134"/>
        </w:tabs>
      </w:pPr>
      <w:r>
        <w:t>Dated:</w:t>
      </w:r>
      <w:r>
        <w:tab/>
      </w:r>
      <w:bookmarkStart w:id="27" w:name="CertifyDated"/>
      <w:r>
        <w:t>29 June 2022</w:t>
      </w:r>
      <w:bookmarkEnd w:id="27"/>
      <w:bookmarkEnd w:id="21"/>
    </w:p>
    <w:sectPr w:rsidR="00CD1346" w:rsidSect="00A84FD0">
      <w:headerReference w:type="even" r:id="rId14"/>
      <w:headerReference w:type="default" r:id="rId15"/>
      <w:footerReference w:type="default" r:id="rId16"/>
      <w:headerReference w:type="first" r:id="rId17"/>
      <w:footerReference w:type="first" r:id="rId18"/>
      <w:endnotePr>
        <w:numFmt w:val="decimal"/>
      </w:endnotePr>
      <w:pgSz w:w="11907" w:h="16840" w:code="9"/>
      <w:pgMar w:top="1440" w:right="1440" w:bottom="1440" w:left="1440" w:header="851" w:footer="851"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65C56" w14:textId="77777777" w:rsidR="00F43456" w:rsidRDefault="00F43456">
      <w:pPr>
        <w:spacing w:line="20" w:lineRule="exact"/>
      </w:pPr>
    </w:p>
    <w:p w14:paraId="58C14840" w14:textId="77777777" w:rsidR="00F43456" w:rsidRDefault="00F43456"/>
    <w:p w14:paraId="09FDA694" w14:textId="77777777" w:rsidR="00F43456" w:rsidRDefault="00F43456"/>
  </w:endnote>
  <w:endnote w:type="continuationSeparator" w:id="0">
    <w:p w14:paraId="1CA32F41" w14:textId="77777777" w:rsidR="00F43456" w:rsidRDefault="00F43456">
      <w:r>
        <w:t xml:space="preserve"> </w:t>
      </w:r>
    </w:p>
    <w:p w14:paraId="3B58958C" w14:textId="77777777" w:rsidR="00F43456" w:rsidRDefault="00F43456"/>
    <w:p w14:paraId="506DF9E5" w14:textId="77777777" w:rsidR="00F43456" w:rsidRDefault="00F43456"/>
  </w:endnote>
  <w:endnote w:type="continuationNotice" w:id="1">
    <w:p w14:paraId="1983C74C" w14:textId="77777777" w:rsidR="00F43456" w:rsidRDefault="00F43456">
      <w:r>
        <w:t xml:space="preserve"> </w:t>
      </w:r>
    </w:p>
    <w:p w14:paraId="6F816B73" w14:textId="77777777" w:rsidR="00F43456" w:rsidRDefault="00F43456"/>
    <w:p w14:paraId="5304077F" w14:textId="77777777" w:rsidR="00F43456" w:rsidRDefault="00F43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2BDBC" w14:textId="1AFE90AF" w:rsidR="00F43456" w:rsidRPr="00C47B9D" w:rsidRDefault="00F43456" w:rsidP="00B2435E">
    <w:pPr>
      <w:pStyle w:val="Footer"/>
      <w:tabs>
        <w:tab w:val="clear" w:pos="4320"/>
        <w:tab w:val="clear" w:pos="8640"/>
        <w:tab w:val="right" w:pos="8931"/>
      </w:tabs>
      <w:spacing w:before="180" w:line="240" w:lineRule="auto"/>
      <w:jc w:val="left"/>
      <w:rPr>
        <w:bCs/>
        <w:sz w:val="18"/>
        <w:szCs w:val="18"/>
      </w:rPr>
    </w:pPr>
    <w:r w:rsidRPr="00F76A9B">
      <w:rPr>
        <w:bCs/>
        <w:noProof/>
        <w:sz w:val="18"/>
        <w:szCs w:val="18"/>
        <w:lang w:eastAsia="en-AU"/>
      </w:rPr>
      <mc:AlternateContent>
        <mc:Choice Requires="wps">
          <w:drawing>
            <wp:anchor distT="0" distB="0" distL="114300" distR="114300" simplePos="0" relativeHeight="251659264" behindDoc="0" locked="0" layoutInCell="1" allowOverlap="1" wp14:anchorId="2D6C7C73" wp14:editId="35EF2237">
              <wp:simplePos x="0" y="0"/>
              <wp:positionH relativeFrom="column">
                <wp:posOffset>-28575</wp:posOffset>
              </wp:positionH>
              <wp:positionV relativeFrom="paragraph">
                <wp:posOffset>-635</wp:posOffset>
              </wp:positionV>
              <wp:extent cx="29432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943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8C69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05pt" to="22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" strokecolor="black [3213]"/>
          </w:pict>
        </mc:Fallback>
      </mc:AlternateContent>
    </w:r>
    <w:sdt>
      <w:sdtPr>
        <w:rPr>
          <w:bCs/>
          <w:sz w:val="18"/>
          <w:szCs w:val="18"/>
        </w:rPr>
        <w:tag w:val="MNC"/>
        <w:id w:val="1707292070"/>
        <w:dataBinding w:prefixMappings="xmlns:ns0='http://schemas.globalmacros.com/FCA'" w:xpath="/ns0:root[1]/ns0:Name[1]" w:storeItemID="{687E7CCB-4AA5-44E7-B148-17BA2B6F57C0}"/>
        <w:text w:multiLine="1"/>
      </w:sdtPr>
      <w:sdtEndPr/>
      <w:sdtContent>
        <w:r>
          <w:rPr>
            <w:bCs/>
            <w:sz w:val="18"/>
            <w:szCs w:val="18"/>
          </w:rPr>
          <w:t>JMC Pty Limited v Commissioner of Taxation [2022] FCA 750</w:t>
        </w:r>
      </w:sdtContent>
    </w:sdt>
  </w:p>
  <w:p w14:paraId="69A59BBA" w14:textId="573A8765" w:rsidR="00F43456" w:rsidRPr="00A436E8" w:rsidRDefault="00F43456" w:rsidP="00A436E8">
    <w:pPr>
      <w:pStyle w:val="Footer"/>
      <w:jc w:val="center"/>
      <w:rPr>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E2AA8" w14:textId="7DA8100F" w:rsidR="00F43456" w:rsidRPr="00C47B9D" w:rsidRDefault="00F43456" w:rsidP="00E94CBF">
    <w:pPr>
      <w:pStyle w:val="Footer"/>
      <w:tabs>
        <w:tab w:val="clear" w:pos="4320"/>
        <w:tab w:val="clear" w:pos="8640"/>
        <w:tab w:val="right" w:pos="8931"/>
      </w:tabs>
      <w:spacing w:before="180" w:line="240" w:lineRule="auto"/>
      <w:jc w:val="left"/>
      <w:rPr>
        <w:bCs/>
        <w:sz w:val="18"/>
        <w:szCs w:val="18"/>
      </w:rPr>
    </w:pPr>
    <w:r w:rsidRPr="00F76A9B">
      <w:rPr>
        <w:bCs/>
        <w:noProof/>
        <w:sz w:val="18"/>
        <w:szCs w:val="18"/>
        <w:lang w:eastAsia="en-AU"/>
      </w:rPr>
      <mc:AlternateContent>
        <mc:Choice Requires="wps">
          <w:drawing>
            <wp:anchor distT="0" distB="0" distL="114300" distR="114300" simplePos="0" relativeHeight="251663360" behindDoc="0" locked="0" layoutInCell="1" allowOverlap="1" wp14:anchorId="32007B09" wp14:editId="577CE70D">
              <wp:simplePos x="0" y="0"/>
              <wp:positionH relativeFrom="column">
                <wp:posOffset>-28575</wp:posOffset>
              </wp:positionH>
              <wp:positionV relativeFrom="paragraph">
                <wp:posOffset>21590</wp:posOffset>
              </wp:positionV>
              <wp:extent cx="29432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943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6540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pt,1.7pt" to="2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" strokecolor="black [3213]"/>
          </w:pict>
        </mc:Fallback>
      </mc:AlternateContent>
    </w:r>
    <w:sdt>
      <w:sdtPr>
        <w:rPr>
          <w:bCs/>
          <w:sz w:val="18"/>
          <w:szCs w:val="18"/>
        </w:rPr>
        <w:tag w:val="MNC"/>
        <w:id w:val="-831216538"/>
        <w:placeholder>
          <w:docPart w:val="96BB8998268945FE8AAAB71D118CD55E"/>
        </w:placeholder>
        <w:dataBinding w:prefixMappings="xmlns:ns0='http://schemas.globalmacros.com/FCA'" w:xpath="/ns0:root[1]/ns0:Name[1]" w:storeItemID="{687E7CCB-4AA5-44E7-B148-17BA2B6F57C0}"/>
        <w:text w:multiLine="1"/>
      </w:sdtPr>
      <w:sdtEndPr/>
      <w:sdtContent>
        <w:r>
          <w:rPr>
            <w:bCs/>
            <w:sz w:val="18"/>
            <w:szCs w:val="18"/>
          </w:rPr>
          <w:t>JMC Pty Limited v Commissioner of Taxation [2022] FCA 750</w:t>
        </w:r>
      </w:sdtContent>
    </w:sdt>
    <w:r>
      <w:rPr>
        <w:bCs/>
        <w:sz w:val="18"/>
        <w:szCs w:val="18"/>
      </w:rPr>
      <w:tab/>
    </w:r>
    <w:r w:rsidRPr="00EA7F6D">
      <w:rPr>
        <w:bCs/>
        <w:sz w:val="20"/>
      </w:rPr>
      <w:fldChar w:fldCharType="begin"/>
    </w:r>
    <w:r w:rsidRPr="00EA7F6D">
      <w:rPr>
        <w:bCs/>
        <w:sz w:val="20"/>
      </w:rPr>
      <w:instrText xml:space="preserve"> PAGE   \* MERGEFORMAT </w:instrText>
    </w:r>
    <w:r w:rsidRPr="00EA7F6D">
      <w:rPr>
        <w:bCs/>
        <w:sz w:val="20"/>
      </w:rPr>
      <w:fldChar w:fldCharType="separate"/>
    </w:r>
    <w:r>
      <w:rPr>
        <w:bCs/>
        <w:sz w:val="20"/>
      </w:rPr>
      <w:t>ii</w:t>
    </w:r>
    <w:r w:rsidRPr="00EA7F6D">
      <w:rPr>
        <w:bCs/>
        <w:noProof/>
        <w:sz w:val="20"/>
      </w:rPr>
      <w:fldChar w:fldCharType="end"/>
    </w:r>
  </w:p>
  <w:p w14:paraId="61376531" w14:textId="314D14A7" w:rsidR="00F43456" w:rsidRPr="00A84FD0" w:rsidRDefault="00F43456" w:rsidP="00A84FD0">
    <w:pPr>
      <w:pStyle w:val="Footer"/>
      <w:jc w:val="center"/>
      <w:rPr>
        <w:sz w:val="28"/>
      </w:rPr>
    </w:pPr>
    <w:r>
      <w:rPr>
        <w:b/>
        <w:sz w:val="28"/>
      </w:rPr>
      <w:t xml:space="preserve">DRAFT - Judgment Template v.1.3 - </w:t>
    </w:r>
    <w:r>
      <w:rPr>
        <w:b/>
        <w:sz w:val="28"/>
      </w:rPr>
      <w:fldChar w:fldCharType="begin"/>
    </w:r>
    <w:r>
      <w:rPr>
        <w:b/>
        <w:sz w:val="28"/>
      </w:rPr>
      <w:instrText xml:space="preserve"> DATE  \@ "d MMMM yyyy"  \* MERGEFORMAT </w:instrText>
    </w:r>
    <w:r>
      <w:rPr>
        <w:b/>
        <w:sz w:val="28"/>
      </w:rPr>
      <w:fldChar w:fldCharType="separate"/>
    </w:r>
    <w:r w:rsidR="00CB7038">
      <w:rPr>
        <w:b/>
        <w:noProof/>
        <w:sz w:val="28"/>
      </w:rPr>
      <w:t>29 June 2022</w:t>
    </w:r>
    <w:r>
      <w:rPr>
        <w:b/>
        <w:sz w:val="28"/>
      </w:rPr>
      <w:fldChar w:fldCharType="end"/>
    </w:r>
    <w:r>
      <w:rPr>
        <w:b/>
        <w:sz w:val="28"/>
      </w:rPr>
      <w:t xml:space="preserve"> </w:t>
    </w:r>
    <w:r>
      <w:rPr>
        <w:b/>
        <w:sz w:val="28"/>
      </w:rPr>
      <w:fldChar w:fldCharType="begin"/>
    </w:r>
    <w:r>
      <w:rPr>
        <w:b/>
        <w:sz w:val="28"/>
      </w:rPr>
      <w:instrText xml:space="preserve"> TIME  \@ "h:mm am/pm"  \* MERGEFORMAT </w:instrText>
    </w:r>
    <w:r>
      <w:rPr>
        <w:b/>
        <w:sz w:val="28"/>
      </w:rPr>
      <w:fldChar w:fldCharType="separate"/>
    </w:r>
    <w:r w:rsidR="00CB7038">
      <w:rPr>
        <w:b/>
        <w:noProof/>
        <w:sz w:val="28"/>
      </w:rPr>
      <w:t>2:21 PM</w:t>
    </w:r>
    <w:r>
      <w:rPr>
        <w:b/>
        <w:sz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2D770" w14:textId="0B50FE68" w:rsidR="00F43456" w:rsidRPr="00C47B9D" w:rsidRDefault="00F43456" w:rsidP="00B2435E">
    <w:pPr>
      <w:pStyle w:val="Footer"/>
      <w:tabs>
        <w:tab w:val="clear" w:pos="4320"/>
        <w:tab w:val="clear" w:pos="8640"/>
        <w:tab w:val="right" w:pos="8931"/>
      </w:tabs>
      <w:spacing w:before="180" w:line="240" w:lineRule="auto"/>
      <w:jc w:val="left"/>
      <w:rPr>
        <w:bCs/>
        <w:sz w:val="18"/>
        <w:szCs w:val="18"/>
      </w:rPr>
    </w:pPr>
    <w:r w:rsidRPr="00F76A9B">
      <w:rPr>
        <w:bCs/>
        <w:noProof/>
        <w:sz w:val="18"/>
        <w:szCs w:val="18"/>
        <w:lang w:eastAsia="en-AU"/>
      </w:rPr>
      <mc:AlternateContent>
        <mc:Choice Requires="wps">
          <w:drawing>
            <wp:anchor distT="0" distB="0" distL="114300" distR="114300" simplePos="0" relativeHeight="251661312" behindDoc="0" locked="0" layoutInCell="1" allowOverlap="1" wp14:anchorId="6DB8D54E" wp14:editId="66DC0DA4">
              <wp:simplePos x="0" y="0"/>
              <wp:positionH relativeFrom="column">
                <wp:posOffset>-28575</wp:posOffset>
              </wp:positionH>
              <wp:positionV relativeFrom="paragraph">
                <wp:posOffset>21590</wp:posOffset>
              </wp:positionV>
              <wp:extent cx="29432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943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1DB5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7pt" to="2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" strokecolor="black [3213]"/>
          </w:pict>
        </mc:Fallback>
      </mc:AlternateContent>
    </w:r>
    <w:sdt>
      <w:sdtPr>
        <w:rPr>
          <w:bCs/>
          <w:sz w:val="18"/>
          <w:szCs w:val="18"/>
        </w:rPr>
        <w:tag w:val="MNC"/>
        <w:id w:val="510263260"/>
        <w:placeholder>
          <w:docPart w:val="6DEBC2C9F80E416A8E68A4BD7BA4AF7F"/>
        </w:placeholder>
        <w:dataBinding w:prefixMappings="xmlns:ns0='http://schemas.globalmacros.com/FCA'" w:xpath="/ns0:root[1]/ns0:Name[1]" w:storeItemID="{687E7CCB-4AA5-44E7-B148-17BA2B6F57C0}"/>
        <w:text w:multiLine="1"/>
      </w:sdtPr>
      <w:sdtEndPr/>
      <w:sdtContent>
        <w:r>
          <w:rPr>
            <w:bCs/>
            <w:sz w:val="18"/>
            <w:szCs w:val="18"/>
          </w:rPr>
          <w:t>JMC Pty Limited v Commissioner of Taxation [2022] FCA 750</w:t>
        </w:r>
      </w:sdtContent>
    </w:sdt>
    <w:r>
      <w:rPr>
        <w:bCs/>
        <w:sz w:val="18"/>
        <w:szCs w:val="18"/>
      </w:rPr>
      <w:tab/>
    </w:r>
    <w:r w:rsidRPr="00EA7F6D">
      <w:rPr>
        <w:bCs/>
        <w:sz w:val="20"/>
      </w:rPr>
      <w:fldChar w:fldCharType="begin"/>
    </w:r>
    <w:r w:rsidRPr="00EA7F6D">
      <w:rPr>
        <w:bCs/>
        <w:sz w:val="20"/>
      </w:rPr>
      <w:instrText xml:space="preserve"> PAGE   \* MERGEFORMAT </w:instrText>
    </w:r>
    <w:r w:rsidRPr="00EA7F6D">
      <w:rPr>
        <w:bCs/>
        <w:sz w:val="20"/>
      </w:rPr>
      <w:fldChar w:fldCharType="separate"/>
    </w:r>
    <w:r w:rsidR="00CB7038">
      <w:rPr>
        <w:bCs/>
        <w:noProof/>
        <w:sz w:val="20"/>
      </w:rPr>
      <w:t>i</w:t>
    </w:r>
    <w:r w:rsidRPr="00EA7F6D">
      <w:rPr>
        <w:bCs/>
        <w:noProof/>
        <w:sz w:val="20"/>
      </w:rPr>
      <w:fldChar w:fldCharType="end"/>
    </w:r>
  </w:p>
  <w:p w14:paraId="0B3FD176" w14:textId="4585DA5B" w:rsidR="00F43456" w:rsidRPr="00A436E8" w:rsidRDefault="00F43456" w:rsidP="00A436E8">
    <w:pPr>
      <w:pStyle w:val="Footer"/>
      <w:jc w:val="center"/>
      <w:rPr>
        <w:sz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3267F" w14:textId="68A9FC73" w:rsidR="00F43456" w:rsidRPr="00C47B9D" w:rsidRDefault="00F43456" w:rsidP="00B2435E">
    <w:pPr>
      <w:pStyle w:val="Footer"/>
      <w:tabs>
        <w:tab w:val="clear" w:pos="4320"/>
        <w:tab w:val="clear" w:pos="8640"/>
        <w:tab w:val="right" w:pos="8931"/>
      </w:tabs>
      <w:spacing w:before="180" w:line="240" w:lineRule="auto"/>
      <w:jc w:val="left"/>
      <w:rPr>
        <w:bCs/>
        <w:sz w:val="18"/>
        <w:szCs w:val="18"/>
      </w:rPr>
    </w:pPr>
    <w:r w:rsidRPr="00F76A9B">
      <w:rPr>
        <w:bCs/>
        <w:noProof/>
        <w:sz w:val="18"/>
        <w:szCs w:val="18"/>
        <w:lang w:eastAsia="en-AU"/>
      </w:rPr>
      <mc:AlternateContent>
        <mc:Choice Requires="wps">
          <w:drawing>
            <wp:anchor distT="0" distB="0" distL="114300" distR="114300" simplePos="0" relativeHeight="251667456" behindDoc="0" locked="0" layoutInCell="1" allowOverlap="1" wp14:anchorId="2304339B" wp14:editId="733C91C7">
              <wp:simplePos x="0" y="0"/>
              <wp:positionH relativeFrom="column">
                <wp:posOffset>-28575</wp:posOffset>
              </wp:positionH>
              <wp:positionV relativeFrom="paragraph">
                <wp:posOffset>21590</wp:posOffset>
              </wp:positionV>
              <wp:extent cx="29432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943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24C1F"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1.7pt" to="2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" strokecolor="black [3213]"/>
          </w:pict>
        </mc:Fallback>
      </mc:AlternateContent>
    </w:r>
    <w:sdt>
      <w:sdtPr>
        <w:rPr>
          <w:bCs/>
          <w:sz w:val="18"/>
          <w:szCs w:val="18"/>
        </w:rPr>
        <w:tag w:val="MNC"/>
        <w:id w:val="1095746746"/>
        <w:placeholder>
          <w:docPart w:val="D6A463F952BF45FC97E66F3A920843A2"/>
        </w:placeholder>
        <w:dataBinding w:prefixMappings="xmlns:ns0='http://schemas.globalmacros.com/FCA'" w:xpath="/ns0:root[1]/ns0:Name[1]" w:storeItemID="{687E7CCB-4AA5-44E7-B148-17BA2B6F57C0}"/>
        <w:text w:multiLine="1"/>
      </w:sdtPr>
      <w:sdtEndPr/>
      <w:sdtContent>
        <w:r>
          <w:rPr>
            <w:bCs/>
            <w:sz w:val="18"/>
            <w:szCs w:val="18"/>
          </w:rPr>
          <w:t>JMC Pty Limited v Commissioner of Taxation [2022] FCA 750</w:t>
        </w:r>
      </w:sdtContent>
    </w:sdt>
    <w:r>
      <w:rPr>
        <w:bCs/>
        <w:sz w:val="18"/>
        <w:szCs w:val="18"/>
      </w:rPr>
      <w:tab/>
    </w:r>
    <w:r w:rsidRPr="00EA7F6D">
      <w:rPr>
        <w:bCs/>
        <w:sz w:val="20"/>
      </w:rPr>
      <w:fldChar w:fldCharType="begin"/>
    </w:r>
    <w:r w:rsidRPr="00EA7F6D">
      <w:rPr>
        <w:bCs/>
        <w:sz w:val="20"/>
      </w:rPr>
      <w:instrText xml:space="preserve"> PAGE   \* MERGEFORMAT </w:instrText>
    </w:r>
    <w:r w:rsidRPr="00EA7F6D">
      <w:rPr>
        <w:bCs/>
        <w:sz w:val="20"/>
      </w:rPr>
      <w:fldChar w:fldCharType="separate"/>
    </w:r>
    <w:r w:rsidR="00CB7038">
      <w:rPr>
        <w:bCs/>
        <w:noProof/>
        <w:sz w:val="20"/>
      </w:rPr>
      <w:t>28</w:t>
    </w:r>
    <w:r w:rsidRPr="00EA7F6D">
      <w:rPr>
        <w:bCs/>
        <w:noProof/>
        <w:sz w:val="20"/>
      </w:rPr>
      <w:fldChar w:fldCharType="end"/>
    </w:r>
  </w:p>
  <w:p w14:paraId="4D88B020" w14:textId="18EDC7CA" w:rsidR="00F43456" w:rsidRPr="00A84FD0" w:rsidRDefault="00F43456" w:rsidP="00A84FD0">
    <w:pPr>
      <w:pStyle w:val="Footer"/>
      <w:jc w:val="center"/>
      <w:rPr>
        <w:sz w:val="2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3E89" w14:textId="62123DF4" w:rsidR="00F43456" w:rsidRPr="00C47B9D" w:rsidRDefault="00F43456" w:rsidP="00B2435E">
    <w:pPr>
      <w:pStyle w:val="Footer"/>
      <w:tabs>
        <w:tab w:val="clear" w:pos="4320"/>
        <w:tab w:val="clear" w:pos="8640"/>
        <w:tab w:val="right" w:pos="8931"/>
      </w:tabs>
      <w:spacing w:before="180" w:line="240" w:lineRule="auto"/>
      <w:jc w:val="left"/>
      <w:rPr>
        <w:bCs/>
        <w:sz w:val="18"/>
        <w:szCs w:val="18"/>
      </w:rPr>
    </w:pPr>
    <w:r w:rsidRPr="00F76A9B">
      <w:rPr>
        <w:bCs/>
        <w:noProof/>
        <w:sz w:val="18"/>
        <w:szCs w:val="18"/>
        <w:lang w:eastAsia="en-AU"/>
      </w:rPr>
      <mc:AlternateContent>
        <mc:Choice Requires="wps">
          <w:drawing>
            <wp:anchor distT="0" distB="0" distL="114300" distR="114300" simplePos="0" relativeHeight="251665408" behindDoc="0" locked="0" layoutInCell="1" allowOverlap="1" wp14:anchorId="75B182A4" wp14:editId="35EDB774">
              <wp:simplePos x="0" y="0"/>
              <wp:positionH relativeFrom="column">
                <wp:posOffset>-28575</wp:posOffset>
              </wp:positionH>
              <wp:positionV relativeFrom="paragraph">
                <wp:posOffset>21590</wp:posOffset>
              </wp:positionV>
              <wp:extent cx="29432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943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0581C"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1.7pt" to="2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" strokecolor="black [3213]"/>
          </w:pict>
        </mc:Fallback>
      </mc:AlternateContent>
    </w:r>
    <w:sdt>
      <w:sdtPr>
        <w:rPr>
          <w:bCs/>
          <w:sz w:val="18"/>
          <w:szCs w:val="18"/>
        </w:rPr>
        <w:tag w:val="MNC"/>
        <w:id w:val="-1532949365"/>
        <w:placeholder>
          <w:docPart w:val="181F829AA3F7401AA824B81162CA07DE"/>
        </w:placeholder>
        <w:dataBinding w:prefixMappings="xmlns:ns0='http://schemas.globalmacros.com/FCA'" w:xpath="/ns0:root[1]/ns0:Name[1]" w:storeItemID="{687E7CCB-4AA5-44E7-B148-17BA2B6F57C0}"/>
        <w:text w:multiLine="1"/>
      </w:sdtPr>
      <w:sdtEndPr/>
      <w:sdtContent>
        <w:r>
          <w:rPr>
            <w:bCs/>
            <w:sz w:val="18"/>
            <w:szCs w:val="18"/>
          </w:rPr>
          <w:t>JMC Pty Limited v Commissioner of Taxation [2022] FCA 750</w:t>
        </w:r>
      </w:sdtContent>
    </w:sdt>
    <w:r>
      <w:rPr>
        <w:bCs/>
        <w:sz w:val="18"/>
        <w:szCs w:val="18"/>
      </w:rPr>
      <w:tab/>
    </w:r>
    <w:r w:rsidRPr="00EA7F6D">
      <w:rPr>
        <w:bCs/>
        <w:sz w:val="20"/>
      </w:rPr>
      <w:fldChar w:fldCharType="begin"/>
    </w:r>
    <w:r w:rsidRPr="00EA7F6D">
      <w:rPr>
        <w:bCs/>
        <w:sz w:val="20"/>
      </w:rPr>
      <w:instrText xml:space="preserve"> PAGE   \* MERGEFORMAT </w:instrText>
    </w:r>
    <w:r w:rsidRPr="00EA7F6D">
      <w:rPr>
        <w:bCs/>
        <w:sz w:val="20"/>
      </w:rPr>
      <w:fldChar w:fldCharType="separate"/>
    </w:r>
    <w:r w:rsidR="00CB7038">
      <w:rPr>
        <w:bCs/>
        <w:noProof/>
        <w:sz w:val="20"/>
      </w:rPr>
      <w:t>1</w:t>
    </w:r>
    <w:r w:rsidRPr="00EA7F6D">
      <w:rPr>
        <w:bCs/>
        <w:noProof/>
        <w:sz w:val="20"/>
      </w:rPr>
      <w:fldChar w:fldCharType="end"/>
    </w:r>
  </w:p>
  <w:p w14:paraId="2CDAFD57" w14:textId="18063E0E" w:rsidR="00F43456" w:rsidRPr="00A84FD0" w:rsidRDefault="00F43456" w:rsidP="00A84FD0">
    <w:pPr>
      <w:pStyle w:val="Footer"/>
      <w:jc w:val="cen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D2F00" w14:textId="77777777" w:rsidR="00F43456" w:rsidRDefault="00F43456"/>
  </w:footnote>
  <w:footnote w:type="continuationSeparator" w:id="0">
    <w:p w14:paraId="176E9402" w14:textId="77777777" w:rsidR="00F43456" w:rsidRDefault="00F43456">
      <w:r>
        <w:continuationSeparator/>
      </w:r>
    </w:p>
    <w:p w14:paraId="0830BCB7" w14:textId="77777777" w:rsidR="00F43456" w:rsidRDefault="00F43456"/>
    <w:p w14:paraId="50C45D7F" w14:textId="77777777" w:rsidR="00F43456" w:rsidRDefault="00F434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57AB5" w14:textId="77777777" w:rsidR="00F43456" w:rsidRDefault="00F43456">
    <w:pPr>
      <w:tabs>
        <w:tab w:val="center" w:pos="4512"/>
      </w:tabs>
      <w:suppressAutoHyphen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5A182" w14:textId="77777777" w:rsidR="00F43456" w:rsidRDefault="00F43456">
    <w:pPr>
      <w:pStyle w:val="Header"/>
      <w:tabs>
        <w:tab w:val="clear" w:pos="4320"/>
        <w:tab w:val="clear" w:pos="8640"/>
      </w:tabs>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2EDA8" w14:textId="77777777" w:rsidR="00F43456" w:rsidRDefault="00F43456"/>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B7344" w14:textId="77777777" w:rsidR="00F43456" w:rsidRDefault="00F43456">
    <w:pPr>
      <w:tabs>
        <w:tab w:val="center" w:pos="4512"/>
      </w:tabs>
      <w:suppressAutoHyphen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51DF2" w14:textId="77777777" w:rsidR="00F43456" w:rsidRDefault="00F43456" w:rsidP="00A436E8">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3ACB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04AF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63689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B2294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E2E9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26AA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947F0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5AED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EC11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6DC14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E2A2F"/>
    <w:multiLevelType w:val="multilevel"/>
    <w:tmpl w:val="F61AF490"/>
    <w:styleLink w:val="FCListNoalt"/>
    <w:lvl w:ilvl="0">
      <w:start w:val="1"/>
      <w:numFmt w:val="lowerLetter"/>
      <w:lvlRestart w:val="0"/>
      <w:pStyle w:val="ListNo1alt"/>
      <w:lvlText w:val="(%1)"/>
      <w:lvlJc w:val="left"/>
      <w:pPr>
        <w:tabs>
          <w:tab w:val="num" w:pos="720"/>
        </w:tabs>
        <w:ind w:left="720" w:hanging="720"/>
      </w:pPr>
      <w:rPr>
        <w:rFonts w:ascii="Times New Roman" w:hAnsi="Times New Roman" w:hint="default"/>
      </w:rPr>
    </w:lvl>
    <w:lvl w:ilvl="1">
      <w:start w:val="1"/>
      <w:numFmt w:val="lowerRoman"/>
      <w:pStyle w:val="ListNo2alt"/>
      <w:lvlText w:val="(%2)"/>
      <w:lvlJc w:val="left"/>
      <w:pPr>
        <w:tabs>
          <w:tab w:val="num" w:pos="1440"/>
        </w:tabs>
        <w:ind w:left="1440" w:hanging="720"/>
      </w:pPr>
      <w:rPr>
        <w:rFonts w:hint="default"/>
      </w:rPr>
    </w:lvl>
    <w:lvl w:ilvl="2">
      <w:start w:val="1"/>
      <w:numFmt w:val="upperLetter"/>
      <w:pStyle w:val="ListNo3alt"/>
      <w:lvlText w:val="(%3)"/>
      <w:lvlJc w:val="left"/>
      <w:pPr>
        <w:tabs>
          <w:tab w:val="num" w:pos="2160"/>
        </w:tabs>
        <w:ind w:left="2160" w:hanging="720"/>
      </w:pPr>
      <w:rPr>
        <w:rFonts w:hint="default"/>
      </w:rPr>
    </w:lvl>
    <w:lvl w:ilvl="3">
      <w:numFmt w:val="none"/>
      <w:lvlRestart w:val="0"/>
      <w:suff w:val="nothing"/>
      <w:lvlText w:val=""/>
      <w:lvlJc w:val="left"/>
      <w:pPr>
        <w:ind w:left="-32767" w:firstLine="0"/>
      </w:pPr>
      <w:rPr>
        <w:rFonts w:hint="default"/>
      </w:rPr>
    </w:lvl>
    <w:lvl w:ilvl="4">
      <w:start w:val="1"/>
      <w:numFmt w:val="none"/>
      <w:lvlRestart w:val="0"/>
      <w:suff w:val="nothing"/>
      <w:lvlText w:val=""/>
      <w:lvlJc w:val="left"/>
      <w:pPr>
        <w:ind w:left="-32767"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abstractNum w:abstractNumId="11" w15:restartNumberingAfterBreak="0">
    <w:nsid w:val="0B9B7C7A"/>
    <w:multiLevelType w:val="hybridMultilevel"/>
    <w:tmpl w:val="0D8E828C"/>
    <w:lvl w:ilvl="0" w:tplc="E5462CDA">
      <w:start w:val="1"/>
      <w:numFmt w:val="bullet"/>
      <w:pStyle w:val="Quote2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168F28D0"/>
    <w:multiLevelType w:val="multilevel"/>
    <w:tmpl w:val="D26E5E56"/>
    <w:lvl w:ilvl="0">
      <w:start w:val="1"/>
      <w:numFmt w:val="bullet"/>
      <w:pStyle w:val="FCBullets"/>
      <w:lvlText w:val=""/>
      <w:lvlJc w:val="left"/>
      <w:pPr>
        <w:tabs>
          <w:tab w:val="num" w:pos="2160"/>
        </w:tabs>
        <w:ind w:left="2160" w:hanging="720"/>
      </w:pPr>
      <w:rPr>
        <w:rFonts w:ascii="Symbol" w:hAnsi="Symbol" w:hint="default"/>
      </w:rPr>
    </w:lvl>
    <w:lvl w:ilvl="1">
      <w:start w:val="1"/>
      <w:numFmt w:val="bullet"/>
      <w:pStyle w:val="FCBullets2"/>
      <w:lvlText w:val=""/>
      <w:lvlJc w:val="left"/>
      <w:pPr>
        <w:tabs>
          <w:tab w:val="num" w:pos="2880"/>
        </w:tabs>
        <w:ind w:left="2880" w:hanging="720"/>
      </w:pPr>
      <w:rPr>
        <w:rFonts w:ascii="Symbol" w:hAnsi="Symbol" w:hint="default"/>
        <w:sz w:val="24"/>
      </w:rPr>
    </w:lvl>
    <w:lvl w:ilvl="2">
      <w:start w:val="1"/>
      <w:numFmt w:val="decimal"/>
      <w:lvlText w:val="%1.%2.%3"/>
      <w:lvlJc w:val="left"/>
      <w:pPr>
        <w:tabs>
          <w:tab w:val="num" w:pos="3600"/>
        </w:tabs>
        <w:ind w:left="3600" w:hanging="72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none"/>
      <w:lvlText w:val=""/>
      <w:lvlJc w:val="left"/>
      <w:pPr>
        <w:tabs>
          <w:tab w:val="num" w:pos="4320"/>
        </w:tabs>
        <w:ind w:left="4178" w:hanging="941"/>
      </w:pPr>
      <w:rPr>
        <w:rFonts w:hint="default"/>
      </w:rPr>
    </w:lvl>
    <w:lvl w:ilvl="6">
      <w:start w:val="1"/>
      <w:numFmt w:val="none"/>
      <w:lvlText w:val=""/>
      <w:lvlJc w:val="left"/>
      <w:pPr>
        <w:tabs>
          <w:tab w:val="num" w:pos="5040"/>
        </w:tabs>
        <w:ind w:left="4677" w:hanging="1077"/>
      </w:pPr>
      <w:rPr>
        <w:rFonts w:hint="default"/>
      </w:rPr>
    </w:lvl>
    <w:lvl w:ilvl="7">
      <w:start w:val="1"/>
      <w:numFmt w:val="none"/>
      <w:lvlText w:val=""/>
      <w:lvlJc w:val="left"/>
      <w:pPr>
        <w:tabs>
          <w:tab w:val="num" w:pos="5397"/>
        </w:tabs>
        <w:ind w:left="5182" w:hanging="1225"/>
      </w:pPr>
      <w:rPr>
        <w:rFonts w:hint="default"/>
      </w:rPr>
    </w:lvl>
    <w:lvl w:ilvl="8">
      <w:start w:val="1"/>
      <w:numFmt w:val="none"/>
      <w:lvlText w:val=""/>
      <w:lvlJc w:val="left"/>
      <w:pPr>
        <w:tabs>
          <w:tab w:val="num" w:pos="6117"/>
        </w:tabs>
        <w:ind w:left="5760" w:hanging="1440"/>
      </w:pPr>
      <w:rPr>
        <w:rFonts w:hint="default"/>
      </w:rPr>
    </w:lvl>
  </w:abstractNum>
  <w:abstractNum w:abstractNumId="13" w15:restartNumberingAfterBreak="0">
    <w:nsid w:val="1C1468D3"/>
    <w:multiLevelType w:val="multilevel"/>
    <w:tmpl w:val="0F0EC90E"/>
    <w:styleLink w:val="FCListNo"/>
    <w:lvl w:ilvl="0">
      <w:start w:val="1"/>
      <w:numFmt w:val="decimal"/>
      <w:lvlRestart w:val="0"/>
      <w:pStyle w:val="ListNo1"/>
      <w:lvlText w:val="(%1)"/>
      <w:lvlJc w:val="left"/>
      <w:pPr>
        <w:tabs>
          <w:tab w:val="num" w:pos="720"/>
        </w:tabs>
        <w:ind w:left="720" w:hanging="720"/>
      </w:pPr>
      <w:rPr>
        <w:rFonts w:ascii="Times New Roman" w:hAnsi="Times New Roman" w:hint="default"/>
      </w:rPr>
    </w:lvl>
    <w:lvl w:ilvl="1">
      <w:start w:val="1"/>
      <w:numFmt w:val="lowerLetter"/>
      <w:pStyle w:val="ListNo2"/>
      <w:lvlText w:val="(%2)"/>
      <w:lvlJc w:val="left"/>
      <w:pPr>
        <w:tabs>
          <w:tab w:val="num" w:pos="1440"/>
        </w:tabs>
        <w:ind w:left="1440" w:hanging="720"/>
      </w:pPr>
      <w:rPr>
        <w:rFonts w:hint="default"/>
      </w:rPr>
    </w:lvl>
    <w:lvl w:ilvl="2">
      <w:start w:val="1"/>
      <w:numFmt w:val="lowerRoman"/>
      <w:pStyle w:val="ListNo3"/>
      <w:lvlText w:val="(%3)"/>
      <w:lvlJc w:val="left"/>
      <w:pPr>
        <w:tabs>
          <w:tab w:val="num" w:pos="2160"/>
        </w:tabs>
        <w:ind w:left="2160" w:hanging="720"/>
      </w:pPr>
      <w:rPr>
        <w:rFonts w:hint="default"/>
      </w:rPr>
    </w:lvl>
    <w:lvl w:ilvl="3">
      <w:numFmt w:val="none"/>
      <w:lvlRestart w:val="0"/>
      <w:suff w:val="nothing"/>
      <w:lvlText w:val=""/>
      <w:lvlJc w:val="left"/>
      <w:pPr>
        <w:ind w:left="-32767" w:firstLine="0"/>
      </w:pPr>
      <w:rPr>
        <w:rFonts w:hint="default"/>
      </w:rPr>
    </w:lvl>
    <w:lvl w:ilvl="4">
      <w:start w:val="1"/>
      <w:numFmt w:val="none"/>
      <w:lvlRestart w:val="0"/>
      <w:suff w:val="nothing"/>
      <w:lvlText w:val=""/>
      <w:lvlJc w:val="left"/>
      <w:pPr>
        <w:ind w:left="-32767"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abstractNum w:abstractNumId="14" w15:restartNumberingAfterBreak="0">
    <w:nsid w:val="29AE3DD1"/>
    <w:multiLevelType w:val="singleLevel"/>
    <w:tmpl w:val="5C92B9B0"/>
    <w:lvl w:ilvl="0">
      <w:start w:val="1"/>
      <w:numFmt w:val="decimal"/>
      <w:lvlRestart w:val="0"/>
      <w:pStyle w:val="ParaNumbering"/>
      <w:lvlText w:val="%1"/>
      <w:lvlJc w:val="left"/>
      <w:pPr>
        <w:tabs>
          <w:tab w:val="num" w:pos="720"/>
        </w:tabs>
        <w:ind w:left="0" w:hanging="720"/>
      </w:pPr>
      <w:rPr>
        <w:rFonts w:hint="default"/>
        <w:sz w:val="20"/>
      </w:rPr>
    </w:lvl>
  </w:abstractNum>
  <w:abstractNum w:abstractNumId="15" w15:restartNumberingAfterBreak="0">
    <w:nsid w:val="2AD4345C"/>
    <w:multiLevelType w:val="multilevel"/>
    <w:tmpl w:val="A1C8FFD0"/>
    <w:styleLink w:val="FCOrders"/>
    <w:lvl w:ilvl="0">
      <w:start w:val="1"/>
      <w:numFmt w:val="decimal"/>
      <w:pStyle w:val="Order1"/>
      <w:lvlText w:val="%1."/>
      <w:lvlJc w:val="left"/>
      <w:pPr>
        <w:tabs>
          <w:tab w:val="num" w:pos="720"/>
        </w:tabs>
        <w:ind w:left="720" w:hanging="720"/>
      </w:pPr>
      <w:rPr>
        <w:rFonts w:ascii="Times New Roman" w:hAnsi="Times New Roman" w:hint="default"/>
        <w:sz w:val="24"/>
      </w:rPr>
    </w:lvl>
    <w:lvl w:ilvl="1">
      <w:start w:val="1"/>
      <w:numFmt w:val="lowerLetter"/>
      <w:pStyle w:val="Order2"/>
      <w:lvlText w:val="(%2)"/>
      <w:lvlJc w:val="left"/>
      <w:pPr>
        <w:tabs>
          <w:tab w:val="num" w:pos="1440"/>
        </w:tabs>
        <w:ind w:left="1440" w:hanging="720"/>
      </w:pPr>
      <w:rPr>
        <w:rFonts w:hint="default"/>
      </w:rPr>
    </w:lvl>
    <w:lvl w:ilvl="2">
      <w:start w:val="1"/>
      <w:numFmt w:val="lowerRoman"/>
      <w:pStyle w:val="Order3"/>
      <w:lvlText w:val="(%3)"/>
      <w:lvlJc w:val="left"/>
      <w:pPr>
        <w:tabs>
          <w:tab w:val="num" w:pos="1440"/>
        </w:tabs>
        <w:ind w:left="2160" w:hanging="720"/>
      </w:pPr>
      <w:rPr>
        <w:rFonts w:hint="default"/>
      </w:rPr>
    </w:lvl>
    <w:lvl w:ilvl="3">
      <w:start w:val="1"/>
      <w:numFmt w:val="upperLetter"/>
      <w:pStyle w:val="Order4"/>
      <w:lvlText w:val="%4."/>
      <w:lvlJc w:val="left"/>
      <w:pPr>
        <w:tabs>
          <w:tab w:val="num" w:pos="2160"/>
        </w:tabs>
        <w:ind w:left="2880" w:hanging="720"/>
      </w:pPr>
      <w:rPr>
        <w:rFonts w:hint="default"/>
      </w:rPr>
    </w:lvl>
    <w:lvl w:ilvl="4">
      <w:numFmt w:val="none"/>
      <w:lvlRestart w:val="0"/>
      <w:suff w:val="nothing"/>
      <w:lvlText w:val=""/>
      <w:lvlJc w:val="left"/>
      <w:pPr>
        <w:ind w:left="-32767"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16" w15:restartNumberingAfterBreak="0">
    <w:nsid w:val="2AF11FCB"/>
    <w:multiLevelType w:val="hybridMultilevel"/>
    <w:tmpl w:val="94A6534E"/>
    <w:lvl w:ilvl="0" w:tplc="31029F3C">
      <w:start w:val="1"/>
      <w:numFmt w:val="bullet"/>
      <w:pStyle w:val="Quote4Bullet"/>
      <w:lvlText w:val=""/>
      <w:lvlJc w:val="left"/>
      <w:pPr>
        <w:ind w:left="3600" w:hanging="360"/>
      </w:pPr>
      <w:rPr>
        <w:rFonts w:ascii="Symbol" w:hAnsi="Symbol" w:hint="default"/>
        <w:sz w:val="16"/>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7" w15:restartNumberingAfterBreak="0">
    <w:nsid w:val="32D95B3D"/>
    <w:multiLevelType w:val="multilevel"/>
    <w:tmpl w:val="253A8338"/>
    <w:styleLink w:val="FCNotes"/>
    <w:lvl w:ilvl="0">
      <w:start w:val="1"/>
      <w:numFmt w:val="upperLetter"/>
      <w:pStyle w:val="Notes"/>
      <w:lvlText w:val="%1."/>
      <w:lvlJc w:val="left"/>
      <w:pPr>
        <w:tabs>
          <w:tab w:val="num" w:pos="720"/>
        </w:tabs>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3561E2E"/>
    <w:multiLevelType w:val="hybridMultilevel"/>
    <w:tmpl w:val="433821BE"/>
    <w:lvl w:ilvl="0" w:tplc="DE3AD0E2">
      <w:start w:val="1"/>
      <w:numFmt w:val="bullet"/>
      <w:pStyle w:val="Quote3Bullet"/>
      <w:lvlText w:val=""/>
      <w:lvlJc w:val="left"/>
      <w:pPr>
        <w:ind w:left="2880" w:hanging="360"/>
      </w:pPr>
      <w:rPr>
        <w:rFonts w:ascii="Wingdings" w:hAnsi="Wingdings" w:hint="default"/>
      </w:rPr>
    </w:lvl>
    <w:lvl w:ilvl="1" w:tplc="0C090003">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9" w15:restartNumberingAfterBreak="0">
    <w:nsid w:val="3F932137"/>
    <w:multiLevelType w:val="hybridMultilevel"/>
    <w:tmpl w:val="774298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817A7"/>
    <w:multiLevelType w:val="multilevel"/>
    <w:tmpl w:val="0F0EC90E"/>
    <w:numStyleLink w:val="FCListNo"/>
  </w:abstractNum>
  <w:abstractNum w:abstractNumId="21" w15:restartNumberingAfterBreak="0">
    <w:nsid w:val="49B30D2B"/>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A736C9D"/>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668713DD"/>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6F9B6398"/>
    <w:multiLevelType w:val="hybridMultilevel"/>
    <w:tmpl w:val="0E4CBD92"/>
    <w:lvl w:ilvl="0" w:tplc="907C4790">
      <w:start w:val="1"/>
      <w:numFmt w:val="bullet"/>
      <w:pStyle w:val="Quote1Bullet"/>
      <w:lvlText w:val=""/>
      <w:lvlJc w:val="left"/>
      <w:pPr>
        <w:ind w:left="1457" w:hanging="360"/>
      </w:pPr>
      <w:rPr>
        <w:rFonts w:ascii="Wingdings" w:hAnsi="Wingdings" w:hint="default"/>
      </w:rPr>
    </w:lvl>
    <w:lvl w:ilvl="1" w:tplc="0C090003" w:tentative="1">
      <w:start w:val="1"/>
      <w:numFmt w:val="bullet"/>
      <w:lvlText w:val="o"/>
      <w:lvlJc w:val="left"/>
      <w:pPr>
        <w:ind w:left="2177" w:hanging="360"/>
      </w:pPr>
      <w:rPr>
        <w:rFonts w:ascii="Courier New" w:hAnsi="Courier New" w:cs="Courier New" w:hint="default"/>
      </w:rPr>
    </w:lvl>
    <w:lvl w:ilvl="2" w:tplc="0C090005" w:tentative="1">
      <w:start w:val="1"/>
      <w:numFmt w:val="bullet"/>
      <w:lvlText w:val=""/>
      <w:lvlJc w:val="left"/>
      <w:pPr>
        <w:ind w:left="2897" w:hanging="360"/>
      </w:pPr>
      <w:rPr>
        <w:rFonts w:ascii="Wingdings" w:hAnsi="Wingdings" w:hint="default"/>
      </w:rPr>
    </w:lvl>
    <w:lvl w:ilvl="3" w:tplc="0C090001" w:tentative="1">
      <w:start w:val="1"/>
      <w:numFmt w:val="bullet"/>
      <w:lvlText w:val=""/>
      <w:lvlJc w:val="left"/>
      <w:pPr>
        <w:ind w:left="3617" w:hanging="360"/>
      </w:pPr>
      <w:rPr>
        <w:rFonts w:ascii="Symbol" w:hAnsi="Symbol" w:hint="default"/>
      </w:rPr>
    </w:lvl>
    <w:lvl w:ilvl="4" w:tplc="0C090003" w:tentative="1">
      <w:start w:val="1"/>
      <w:numFmt w:val="bullet"/>
      <w:lvlText w:val="o"/>
      <w:lvlJc w:val="left"/>
      <w:pPr>
        <w:ind w:left="4337" w:hanging="360"/>
      </w:pPr>
      <w:rPr>
        <w:rFonts w:ascii="Courier New" w:hAnsi="Courier New" w:cs="Courier New" w:hint="default"/>
      </w:rPr>
    </w:lvl>
    <w:lvl w:ilvl="5" w:tplc="0C090005" w:tentative="1">
      <w:start w:val="1"/>
      <w:numFmt w:val="bullet"/>
      <w:lvlText w:val=""/>
      <w:lvlJc w:val="left"/>
      <w:pPr>
        <w:ind w:left="5057" w:hanging="360"/>
      </w:pPr>
      <w:rPr>
        <w:rFonts w:ascii="Wingdings" w:hAnsi="Wingdings" w:hint="default"/>
      </w:rPr>
    </w:lvl>
    <w:lvl w:ilvl="6" w:tplc="0C090001" w:tentative="1">
      <w:start w:val="1"/>
      <w:numFmt w:val="bullet"/>
      <w:lvlText w:val=""/>
      <w:lvlJc w:val="left"/>
      <w:pPr>
        <w:ind w:left="5777" w:hanging="360"/>
      </w:pPr>
      <w:rPr>
        <w:rFonts w:ascii="Symbol" w:hAnsi="Symbol" w:hint="default"/>
      </w:rPr>
    </w:lvl>
    <w:lvl w:ilvl="7" w:tplc="0C090003" w:tentative="1">
      <w:start w:val="1"/>
      <w:numFmt w:val="bullet"/>
      <w:lvlText w:val="o"/>
      <w:lvlJc w:val="left"/>
      <w:pPr>
        <w:ind w:left="6497" w:hanging="360"/>
      </w:pPr>
      <w:rPr>
        <w:rFonts w:ascii="Courier New" w:hAnsi="Courier New" w:cs="Courier New" w:hint="default"/>
      </w:rPr>
    </w:lvl>
    <w:lvl w:ilvl="8" w:tplc="0C090005" w:tentative="1">
      <w:start w:val="1"/>
      <w:numFmt w:val="bullet"/>
      <w:lvlText w:val=""/>
      <w:lvlJc w:val="left"/>
      <w:pPr>
        <w:ind w:left="7217" w:hanging="360"/>
      </w:pPr>
      <w:rPr>
        <w:rFonts w:ascii="Wingdings" w:hAnsi="Wingdings" w:hint="default"/>
      </w:rPr>
    </w:lvl>
  </w:abstractNum>
  <w:abstractNum w:abstractNumId="25" w15:restartNumberingAfterBreak="0">
    <w:nsid w:val="7D0861FF"/>
    <w:multiLevelType w:val="multilevel"/>
    <w:tmpl w:val="1BC46E94"/>
    <w:lvl w:ilvl="0">
      <w:start w:val="1"/>
      <w:numFmt w:val="decimal"/>
      <w:lvlRestart w:val="0"/>
      <w:pStyle w:val="fcHeading1"/>
      <w:lvlText w:val="%1."/>
      <w:lvlJc w:val="left"/>
      <w:pPr>
        <w:tabs>
          <w:tab w:val="num" w:pos="1134"/>
        </w:tabs>
        <w:ind w:left="1134" w:hanging="1134"/>
      </w:pPr>
      <w:rPr>
        <w:rFonts w:hint="default"/>
      </w:rPr>
    </w:lvl>
    <w:lvl w:ilvl="1">
      <w:start w:val="1"/>
      <w:numFmt w:val="decimal"/>
      <w:pStyle w:val="fcHeading2"/>
      <w:lvlText w:val="%1.%2"/>
      <w:lvlJc w:val="left"/>
      <w:pPr>
        <w:tabs>
          <w:tab w:val="num" w:pos="1134"/>
        </w:tabs>
        <w:ind w:left="1134" w:hanging="1134"/>
      </w:pPr>
      <w:rPr>
        <w:rFonts w:hint="default"/>
      </w:rPr>
    </w:lvl>
    <w:lvl w:ilvl="2">
      <w:start w:val="1"/>
      <w:numFmt w:val="decimal"/>
      <w:pStyle w:val="fcHeading3"/>
      <w:lvlText w:val="%1.%2.%3"/>
      <w:lvlJc w:val="left"/>
      <w:pPr>
        <w:tabs>
          <w:tab w:val="num" w:pos="1134"/>
        </w:tabs>
        <w:ind w:left="1134" w:hanging="1134"/>
      </w:pPr>
      <w:rPr>
        <w:rFonts w:hint="default"/>
      </w:rPr>
    </w:lvl>
    <w:lvl w:ilvl="3">
      <w:start w:val="1"/>
      <w:numFmt w:val="decimal"/>
      <w:pStyle w:val="fcHeading4"/>
      <w:lvlText w:val="%1.%2.%3.%4"/>
      <w:lvlJc w:val="left"/>
      <w:pPr>
        <w:tabs>
          <w:tab w:val="num" w:pos="1134"/>
        </w:tabs>
        <w:ind w:left="1134" w:hanging="1134"/>
      </w:pPr>
      <w:rPr>
        <w:rFonts w:hint="default"/>
      </w:rPr>
    </w:lvl>
    <w:lvl w:ilvl="4">
      <w:start w:val="1"/>
      <w:numFmt w:val="decimal"/>
      <w:pStyle w:val="fcHeading5"/>
      <w:lvlText w:val="%1.%2.%3.%4.%5"/>
      <w:lvlJc w:val="left"/>
      <w:pPr>
        <w:tabs>
          <w:tab w:val="num" w:pos="1134"/>
        </w:tabs>
        <w:ind w:left="1134" w:hanging="1134"/>
      </w:pPr>
      <w:rPr>
        <w:rFonts w:hint="default"/>
      </w:rPr>
    </w:lvl>
    <w:lvl w:ilvl="5">
      <w:start w:val="1"/>
      <w:numFmt w:val="none"/>
      <w:lvlText w:val=""/>
      <w:lvlJc w:val="left"/>
      <w:pPr>
        <w:tabs>
          <w:tab w:val="num" w:pos="2880"/>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3957"/>
        </w:tabs>
        <w:ind w:left="3742" w:hanging="1225"/>
      </w:pPr>
      <w:rPr>
        <w:rFonts w:hint="default"/>
      </w:rPr>
    </w:lvl>
    <w:lvl w:ilvl="8">
      <w:start w:val="1"/>
      <w:numFmt w:val="none"/>
      <w:lvlText w:val=""/>
      <w:lvlJc w:val="left"/>
      <w:pPr>
        <w:tabs>
          <w:tab w:val="num" w:pos="4677"/>
        </w:tabs>
        <w:ind w:left="4320" w:hanging="1440"/>
      </w:pPr>
      <w:rPr>
        <w:rFont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1"/>
  </w:num>
  <w:num w:numId="14">
    <w:abstractNumId w:val="22"/>
  </w:num>
  <w:num w:numId="15">
    <w:abstractNumId w:val="25"/>
  </w:num>
  <w:num w:numId="16">
    <w:abstractNumId w:val="13"/>
  </w:num>
  <w:num w:numId="17">
    <w:abstractNumId w:val="24"/>
  </w:num>
  <w:num w:numId="18">
    <w:abstractNumId w:val="11"/>
  </w:num>
  <w:num w:numId="19">
    <w:abstractNumId w:val="18"/>
  </w:num>
  <w:num w:numId="20">
    <w:abstractNumId w:val="15"/>
  </w:num>
  <w:num w:numId="21">
    <w:abstractNumId w:val="16"/>
  </w:num>
  <w:num w:numId="22">
    <w:abstractNumId w:val="20"/>
  </w:num>
  <w:num w:numId="23">
    <w:abstractNumId w:val="10"/>
  </w:num>
  <w:num w:numId="24">
    <w:abstractNumId w:val="10"/>
  </w:num>
  <w:num w:numId="25">
    <w:abstractNumId w:val="12"/>
  </w:num>
  <w:num w:numId="26">
    <w:abstractNumId w:val="17"/>
  </w:num>
  <w:num w:numId="27">
    <w:abstractNumId w:val="17"/>
  </w:num>
  <w:num w:numId="28">
    <w:abstractNumId w:val="17"/>
  </w:num>
  <w:num w:numId="29">
    <w:abstractNumId w:val="19"/>
  </w:num>
  <w:num w:numId="30">
    <w:abstractNumId w:val="15"/>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131078" w:nlCheck="1" w:checkStyle="1"/>
  <w:activeWritingStyle w:appName="MSWord" w:lang="en-AU" w:vendorID="8" w:dllVersion="513"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35841"/>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AndAnother" w:val="True"/>
    <w:docVar w:name="APPAndOthers" w:val="False"/>
    <w:docVar w:name="Applicant" w:val="JMC Pty Limited (ACN 003 572 012)"/>
    <w:docVar w:name="CounselParties" w:val="Applicant"/>
    <w:docVar w:name="CounselType" w:val="Counsel for the "/>
    <w:docVar w:name="Court" w:val="Federal Court of Australia (FCA)"/>
    <w:docVar w:name="Cross1AndAnother" w:val="True"/>
    <w:docVar w:name="Cross1AndOthers" w:val="False"/>
    <w:docVar w:name="Cross2AndAnother" w:val="True"/>
    <w:docVar w:name="Cross2AndOthers" w:val="False"/>
    <w:docVar w:name="Defenders" w:val="(and another named in the Schedule)"/>
    <w:docVar w:name="Division" w:val="FCA General Division"/>
    <w:docVar w:name="DocCreated" w:val="True"/>
    <w:docVar w:name="FileNumbers" w:val="NSD 175 of 2020"/>
    <w:docVar w:name="Initiators" w:val="(and another named in the Schedule)"/>
    <w:docVar w:name="Judgdate" w:val="29 June 2022"/>
    <w:docVar w:name="Judge" w:val="Wigney"/>
    <w:docVar w:name="JudgeType" w:val="Justices"/>
    <w:docVar w:name="lstEntryList" w:val="-1"/>
    <w:docVar w:name="NSD" w:val="NSD "/>
    <w:docVar w:name="NumApps" w:val="1"/>
    <w:docVar w:name="NumApps_" w:val="1"/>
    <w:docVar w:name="NumCrossResps" w:val="0"/>
    <w:docVar w:name="NumDefs" w:val="1"/>
    <w:docVar w:name="NumOthers" w:val="0"/>
    <w:docVar w:name="OtherNum" w:val="0"/>
    <w:docVar w:name="Parties1" w:val="Applicant"/>
    <w:docVar w:name="Parties2" w:val="Respondent"/>
    <w:docVar w:name="Parties3" w:val="Cross-Appellant"/>
    <w:docVar w:name="Parties4" w:val="Cross-Defendant"/>
    <w:docVar w:name="Parties5" w:val="Intervener"/>
    <w:docVar w:name="Place" w:val="N/A FCA"/>
    <w:docVar w:name="PracticeArea" w:val="Taxation"/>
    <w:docVar w:name="RESAndAnother" w:val="True"/>
    <w:docVar w:name="RESAndOthers" w:val="False"/>
    <w:docVar w:name="Respondent" w:val="Commissioner of Taxation"/>
    <w:docVar w:name="ResState" w:val="New South Wales"/>
    <w:docVar w:name="SubArea" w:val="(none)"/>
  </w:docVars>
  <w:rsids>
    <w:rsidRoot w:val="00587C45"/>
    <w:rsid w:val="0000019B"/>
    <w:rsid w:val="0000034D"/>
    <w:rsid w:val="00000747"/>
    <w:rsid w:val="000012BD"/>
    <w:rsid w:val="00001E0D"/>
    <w:rsid w:val="00004A1F"/>
    <w:rsid w:val="00005C91"/>
    <w:rsid w:val="00005EFF"/>
    <w:rsid w:val="000100EB"/>
    <w:rsid w:val="000115C5"/>
    <w:rsid w:val="0001308F"/>
    <w:rsid w:val="0001344F"/>
    <w:rsid w:val="00013BF2"/>
    <w:rsid w:val="000145FC"/>
    <w:rsid w:val="0001469E"/>
    <w:rsid w:val="00015993"/>
    <w:rsid w:val="00016809"/>
    <w:rsid w:val="00021CCB"/>
    <w:rsid w:val="00022289"/>
    <w:rsid w:val="000237E9"/>
    <w:rsid w:val="000256F4"/>
    <w:rsid w:val="00027398"/>
    <w:rsid w:val="0003019A"/>
    <w:rsid w:val="0003082E"/>
    <w:rsid w:val="00030A3F"/>
    <w:rsid w:val="00031A42"/>
    <w:rsid w:val="0003201A"/>
    <w:rsid w:val="0003207A"/>
    <w:rsid w:val="00032A58"/>
    <w:rsid w:val="00032F9F"/>
    <w:rsid w:val="00033099"/>
    <w:rsid w:val="00034ADC"/>
    <w:rsid w:val="00034D4F"/>
    <w:rsid w:val="0003501F"/>
    <w:rsid w:val="000355BB"/>
    <w:rsid w:val="00036A9A"/>
    <w:rsid w:val="00036C08"/>
    <w:rsid w:val="00037A7C"/>
    <w:rsid w:val="000404EF"/>
    <w:rsid w:val="000406F6"/>
    <w:rsid w:val="00041C07"/>
    <w:rsid w:val="0004299E"/>
    <w:rsid w:val="00042A5B"/>
    <w:rsid w:val="00043AEB"/>
    <w:rsid w:val="00045A52"/>
    <w:rsid w:val="00045BB7"/>
    <w:rsid w:val="00047D52"/>
    <w:rsid w:val="00053C83"/>
    <w:rsid w:val="00053E25"/>
    <w:rsid w:val="000541D2"/>
    <w:rsid w:val="00055719"/>
    <w:rsid w:val="0005641B"/>
    <w:rsid w:val="0005786D"/>
    <w:rsid w:val="000609CC"/>
    <w:rsid w:val="0006196A"/>
    <w:rsid w:val="00061F64"/>
    <w:rsid w:val="0006412E"/>
    <w:rsid w:val="000650F0"/>
    <w:rsid w:val="00066849"/>
    <w:rsid w:val="0007005E"/>
    <w:rsid w:val="00070E88"/>
    <w:rsid w:val="000713F3"/>
    <w:rsid w:val="00071FB3"/>
    <w:rsid w:val="000747B4"/>
    <w:rsid w:val="0007647F"/>
    <w:rsid w:val="00077768"/>
    <w:rsid w:val="00081497"/>
    <w:rsid w:val="000814B1"/>
    <w:rsid w:val="00082AEB"/>
    <w:rsid w:val="000831EC"/>
    <w:rsid w:val="00083CD8"/>
    <w:rsid w:val="00084126"/>
    <w:rsid w:val="00084CDF"/>
    <w:rsid w:val="00085255"/>
    <w:rsid w:val="00085FDF"/>
    <w:rsid w:val="0008670F"/>
    <w:rsid w:val="00087AB3"/>
    <w:rsid w:val="00090440"/>
    <w:rsid w:val="0009064C"/>
    <w:rsid w:val="0009165A"/>
    <w:rsid w:val="00092025"/>
    <w:rsid w:val="00095CB0"/>
    <w:rsid w:val="00097397"/>
    <w:rsid w:val="000A03F9"/>
    <w:rsid w:val="000A2C42"/>
    <w:rsid w:val="000A2E76"/>
    <w:rsid w:val="000A3B61"/>
    <w:rsid w:val="000A4807"/>
    <w:rsid w:val="000A4BE4"/>
    <w:rsid w:val="000A5198"/>
    <w:rsid w:val="000A5302"/>
    <w:rsid w:val="000B38D6"/>
    <w:rsid w:val="000B4280"/>
    <w:rsid w:val="000B5BA9"/>
    <w:rsid w:val="000B6DDC"/>
    <w:rsid w:val="000B7629"/>
    <w:rsid w:val="000C023E"/>
    <w:rsid w:val="000C2EF5"/>
    <w:rsid w:val="000C31F4"/>
    <w:rsid w:val="000C405D"/>
    <w:rsid w:val="000C5195"/>
    <w:rsid w:val="000C5AE7"/>
    <w:rsid w:val="000C62EF"/>
    <w:rsid w:val="000C738A"/>
    <w:rsid w:val="000D02CB"/>
    <w:rsid w:val="000D1AF9"/>
    <w:rsid w:val="000D1EC2"/>
    <w:rsid w:val="000D2137"/>
    <w:rsid w:val="000D3FD2"/>
    <w:rsid w:val="000D4B2E"/>
    <w:rsid w:val="000D52F0"/>
    <w:rsid w:val="000D56CB"/>
    <w:rsid w:val="000E1175"/>
    <w:rsid w:val="000E15BC"/>
    <w:rsid w:val="000E2C48"/>
    <w:rsid w:val="000E35ED"/>
    <w:rsid w:val="000E3FC8"/>
    <w:rsid w:val="000E4D30"/>
    <w:rsid w:val="000E51F6"/>
    <w:rsid w:val="000E7BAE"/>
    <w:rsid w:val="000F0F89"/>
    <w:rsid w:val="000F133D"/>
    <w:rsid w:val="000F34D9"/>
    <w:rsid w:val="000F4258"/>
    <w:rsid w:val="000F5369"/>
    <w:rsid w:val="000F54E8"/>
    <w:rsid w:val="000F62F4"/>
    <w:rsid w:val="000F68BD"/>
    <w:rsid w:val="000F7329"/>
    <w:rsid w:val="001003D7"/>
    <w:rsid w:val="001010EE"/>
    <w:rsid w:val="00101208"/>
    <w:rsid w:val="0010144B"/>
    <w:rsid w:val="001016ED"/>
    <w:rsid w:val="00103AB0"/>
    <w:rsid w:val="00104819"/>
    <w:rsid w:val="00104918"/>
    <w:rsid w:val="00104FC2"/>
    <w:rsid w:val="0010536B"/>
    <w:rsid w:val="00106926"/>
    <w:rsid w:val="0011145C"/>
    <w:rsid w:val="001128BD"/>
    <w:rsid w:val="00113876"/>
    <w:rsid w:val="0011419D"/>
    <w:rsid w:val="00114B02"/>
    <w:rsid w:val="00114FC9"/>
    <w:rsid w:val="001156D2"/>
    <w:rsid w:val="0012083C"/>
    <w:rsid w:val="00122253"/>
    <w:rsid w:val="001226C0"/>
    <w:rsid w:val="001238CE"/>
    <w:rsid w:val="00125E89"/>
    <w:rsid w:val="0012606E"/>
    <w:rsid w:val="00126EC8"/>
    <w:rsid w:val="00126F93"/>
    <w:rsid w:val="0012731C"/>
    <w:rsid w:val="00127660"/>
    <w:rsid w:val="001307BB"/>
    <w:rsid w:val="00130DCC"/>
    <w:rsid w:val="00131244"/>
    <w:rsid w:val="00132054"/>
    <w:rsid w:val="00132309"/>
    <w:rsid w:val="0013253F"/>
    <w:rsid w:val="00132611"/>
    <w:rsid w:val="001334F4"/>
    <w:rsid w:val="00134905"/>
    <w:rsid w:val="00134964"/>
    <w:rsid w:val="00134C30"/>
    <w:rsid w:val="001351B9"/>
    <w:rsid w:val="0014032B"/>
    <w:rsid w:val="001406E3"/>
    <w:rsid w:val="001426C7"/>
    <w:rsid w:val="00145D96"/>
    <w:rsid w:val="00146A20"/>
    <w:rsid w:val="00146A21"/>
    <w:rsid w:val="00150A06"/>
    <w:rsid w:val="00155CD2"/>
    <w:rsid w:val="001564C4"/>
    <w:rsid w:val="00161310"/>
    <w:rsid w:val="0016362A"/>
    <w:rsid w:val="00164815"/>
    <w:rsid w:val="00165124"/>
    <w:rsid w:val="00165B47"/>
    <w:rsid w:val="00166AC2"/>
    <w:rsid w:val="00167283"/>
    <w:rsid w:val="00170FC4"/>
    <w:rsid w:val="001727A4"/>
    <w:rsid w:val="0017376C"/>
    <w:rsid w:val="001738AB"/>
    <w:rsid w:val="001739B1"/>
    <w:rsid w:val="00173D38"/>
    <w:rsid w:val="001753C1"/>
    <w:rsid w:val="00175732"/>
    <w:rsid w:val="001765E0"/>
    <w:rsid w:val="00177759"/>
    <w:rsid w:val="00177D95"/>
    <w:rsid w:val="00180BB3"/>
    <w:rsid w:val="00181BE2"/>
    <w:rsid w:val="0018286D"/>
    <w:rsid w:val="001837A2"/>
    <w:rsid w:val="00183F5A"/>
    <w:rsid w:val="00185DD6"/>
    <w:rsid w:val="00185E6B"/>
    <w:rsid w:val="00186169"/>
    <w:rsid w:val="00187298"/>
    <w:rsid w:val="00187BBC"/>
    <w:rsid w:val="00187DEB"/>
    <w:rsid w:val="001908BB"/>
    <w:rsid w:val="00192B8D"/>
    <w:rsid w:val="0019324F"/>
    <w:rsid w:val="001932F3"/>
    <w:rsid w:val="00193C57"/>
    <w:rsid w:val="001942B6"/>
    <w:rsid w:val="001953EB"/>
    <w:rsid w:val="00195A52"/>
    <w:rsid w:val="001965D4"/>
    <w:rsid w:val="001974EE"/>
    <w:rsid w:val="00197934"/>
    <w:rsid w:val="001A0B8E"/>
    <w:rsid w:val="001A1030"/>
    <w:rsid w:val="001A2533"/>
    <w:rsid w:val="001A2B40"/>
    <w:rsid w:val="001A4309"/>
    <w:rsid w:val="001A45C0"/>
    <w:rsid w:val="001A46AE"/>
    <w:rsid w:val="001A6C52"/>
    <w:rsid w:val="001A79AE"/>
    <w:rsid w:val="001B1053"/>
    <w:rsid w:val="001B14AC"/>
    <w:rsid w:val="001B2F6D"/>
    <w:rsid w:val="001B3AE2"/>
    <w:rsid w:val="001B4963"/>
    <w:rsid w:val="001B76E4"/>
    <w:rsid w:val="001B7940"/>
    <w:rsid w:val="001C0BE0"/>
    <w:rsid w:val="001C0FBE"/>
    <w:rsid w:val="001C171A"/>
    <w:rsid w:val="001C2D94"/>
    <w:rsid w:val="001C2FE0"/>
    <w:rsid w:val="001C37CA"/>
    <w:rsid w:val="001C4085"/>
    <w:rsid w:val="001C4990"/>
    <w:rsid w:val="001C4AA8"/>
    <w:rsid w:val="001C71A3"/>
    <w:rsid w:val="001D0529"/>
    <w:rsid w:val="001D070C"/>
    <w:rsid w:val="001D1499"/>
    <w:rsid w:val="001D1536"/>
    <w:rsid w:val="001D23FD"/>
    <w:rsid w:val="001D4303"/>
    <w:rsid w:val="001D5FCD"/>
    <w:rsid w:val="001D608F"/>
    <w:rsid w:val="001D6746"/>
    <w:rsid w:val="001D68C0"/>
    <w:rsid w:val="001D6AE9"/>
    <w:rsid w:val="001D7620"/>
    <w:rsid w:val="001E096B"/>
    <w:rsid w:val="001E0C61"/>
    <w:rsid w:val="001E2FFF"/>
    <w:rsid w:val="001E3B49"/>
    <w:rsid w:val="001E4A05"/>
    <w:rsid w:val="001E53B8"/>
    <w:rsid w:val="001E5DB9"/>
    <w:rsid w:val="001E6952"/>
    <w:rsid w:val="001E6A19"/>
    <w:rsid w:val="001E7388"/>
    <w:rsid w:val="001E7493"/>
    <w:rsid w:val="001E7F93"/>
    <w:rsid w:val="001F094F"/>
    <w:rsid w:val="001F13DD"/>
    <w:rsid w:val="001F1812"/>
    <w:rsid w:val="001F2473"/>
    <w:rsid w:val="001F27AB"/>
    <w:rsid w:val="001F2DBC"/>
    <w:rsid w:val="001F3B4C"/>
    <w:rsid w:val="001F3C87"/>
    <w:rsid w:val="001F4432"/>
    <w:rsid w:val="001F57BC"/>
    <w:rsid w:val="001F6244"/>
    <w:rsid w:val="001F73E8"/>
    <w:rsid w:val="0020000C"/>
    <w:rsid w:val="00201151"/>
    <w:rsid w:val="0020205F"/>
    <w:rsid w:val="0020262C"/>
    <w:rsid w:val="00202723"/>
    <w:rsid w:val="00203B96"/>
    <w:rsid w:val="00204BF1"/>
    <w:rsid w:val="0020621C"/>
    <w:rsid w:val="0020662B"/>
    <w:rsid w:val="002069E8"/>
    <w:rsid w:val="00210E73"/>
    <w:rsid w:val="00211A3E"/>
    <w:rsid w:val="00211D4C"/>
    <w:rsid w:val="0021219A"/>
    <w:rsid w:val="002130C1"/>
    <w:rsid w:val="00213F20"/>
    <w:rsid w:val="00214055"/>
    <w:rsid w:val="00214F63"/>
    <w:rsid w:val="0021532F"/>
    <w:rsid w:val="0021599B"/>
    <w:rsid w:val="00215BCA"/>
    <w:rsid w:val="00215E82"/>
    <w:rsid w:val="00216087"/>
    <w:rsid w:val="002160F5"/>
    <w:rsid w:val="002171AE"/>
    <w:rsid w:val="00217AC4"/>
    <w:rsid w:val="00221461"/>
    <w:rsid w:val="00221AA8"/>
    <w:rsid w:val="00222C3F"/>
    <w:rsid w:val="00224537"/>
    <w:rsid w:val="00224E22"/>
    <w:rsid w:val="0022522A"/>
    <w:rsid w:val="00226D01"/>
    <w:rsid w:val="002303E2"/>
    <w:rsid w:val="00231C14"/>
    <w:rsid w:val="002338CE"/>
    <w:rsid w:val="00235183"/>
    <w:rsid w:val="00235956"/>
    <w:rsid w:val="00235DB4"/>
    <w:rsid w:val="002363A0"/>
    <w:rsid w:val="00236B09"/>
    <w:rsid w:val="00237E91"/>
    <w:rsid w:val="0024031D"/>
    <w:rsid w:val="00241D92"/>
    <w:rsid w:val="002426A8"/>
    <w:rsid w:val="002426C7"/>
    <w:rsid w:val="002439A3"/>
    <w:rsid w:val="00243E06"/>
    <w:rsid w:val="00243E5E"/>
    <w:rsid w:val="0024421B"/>
    <w:rsid w:val="00244663"/>
    <w:rsid w:val="00244E5A"/>
    <w:rsid w:val="00246023"/>
    <w:rsid w:val="002467A6"/>
    <w:rsid w:val="002479A8"/>
    <w:rsid w:val="00247A2C"/>
    <w:rsid w:val="00247C9A"/>
    <w:rsid w:val="002507C7"/>
    <w:rsid w:val="00250B35"/>
    <w:rsid w:val="0025160C"/>
    <w:rsid w:val="00251D11"/>
    <w:rsid w:val="002534D0"/>
    <w:rsid w:val="002535D0"/>
    <w:rsid w:val="0025393B"/>
    <w:rsid w:val="002539B3"/>
    <w:rsid w:val="00256336"/>
    <w:rsid w:val="00257045"/>
    <w:rsid w:val="00257C3E"/>
    <w:rsid w:val="0026026E"/>
    <w:rsid w:val="002602C2"/>
    <w:rsid w:val="00261AC6"/>
    <w:rsid w:val="00263A4C"/>
    <w:rsid w:val="00265302"/>
    <w:rsid w:val="00265528"/>
    <w:rsid w:val="002666C9"/>
    <w:rsid w:val="00267424"/>
    <w:rsid w:val="00270136"/>
    <w:rsid w:val="002704F4"/>
    <w:rsid w:val="00270D09"/>
    <w:rsid w:val="00270FD7"/>
    <w:rsid w:val="00271367"/>
    <w:rsid w:val="00271EE0"/>
    <w:rsid w:val="00274070"/>
    <w:rsid w:val="00274F5B"/>
    <w:rsid w:val="00275142"/>
    <w:rsid w:val="00275EF6"/>
    <w:rsid w:val="002774F6"/>
    <w:rsid w:val="00280836"/>
    <w:rsid w:val="002810AB"/>
    <w:rsid w:val="00281654"/>
    <w:rsid w:val="00281A80"/>
    <w:rsid w:val="00282E1A"/>
    <w:rsid w:val="00283065"/>
    <w:rsid w:val="002840F1"/>
    <w:rsid w:val="00285922"/>
    <w:rsid w:val="00285EEB"/>
    <w:rsid w:val="002871AD"/>
    <w:rsid w:val="00287BB4"/>
    <w:rsid w:val="00287F49"/>
    <w:rsid w:val="00291039"/>
    <w:rsid w:val="0029113B"/>
    <w:rsid w:val="0029147C"/>
    <w:rsid w:val="002934C0"/>
    <w:rsid w:val="00293E1F"/>
    <w:rsid w:val="002956F5"/>
    <w:rsid w:val="00296907"/>
    <w:rsid w:val="00297410"/>
    <w:rsid w:val="0029764C"/>
    <w:rsid w:val="002A0491"/>
    <w:rsid w:val="002A1B50"/>
    <w:rsid w:val="002A1D7F"/>
    <w:rsid w:val="002A21BC"/>
    <w:rsid w:val="002A2536"/>
    <w:rsid w:val="002A3EB5"/>
    <w:rsid w:val="002A3F2F"/>
    <w:rsid w:val="002A7620"/>
    <w:rsid w:val="002B0005"/>
    <w:rsid w:val="002B001F"/>
    <w:rsid w:val="002B08AB"/>
    <w:rsid w:val="002B0E91"/>
    <w:rsid w:val="002B132C"/>
    <w:rsid w:val="002B3F23"/>
    <w:rsid w:val="002B4EB5"/>
    <w:rsid w:val="002B5AF5"/>
    <w:rsid w:val="002B6379"/>
    <w:rsid w:val="002B6779"/>
    <w:rsid w:val="002B71C0"/>
    <w:rsid w:val="002B7A34"/>
    <w:rsid w:val="002C2348"/>
    <w:rsid w:val="002C2531"/>
    <w:rsid w:val="002C27C2"/>
    <w:rsid w:val="002C31AD"/>
    <w:rsid w:val="002C4805"/>
    <w:rsid w:val="002C5C44"/>
    <w:rsid w:val="002C5F4A"/>
    <w:rsid w:val="002C6488"/>
    <w:rsid w:val="002C7385"/>
    <w:rsid w:val="002D2DBB"/>
    <w:rsid w:val="002D37D8"/>
    <w:rsid w:val="002D54A6"/>
    <w:rsid w:val="002D568A"/>
    <w:rsid w:val="002D609F"/>
    <w:rsid w:val="002D60F8"/>
    <w:rsid w:val="002D75E7"/>
    <w:rsid w:val="002E0D0F"/>
    <w:rsid w:val="002E1577"/>
    <w:rsid w:val="002E17B8"/>
    <w:rsid w:val="002E227C"/>
    <w:rsid w:val="002E3779"/>
    <w:rsid w:val="002E5465"/>
    <w:rsid w:val="002E548C"/>
    <w:rsid w:val="002E5BF9"/>
    <w:rsid w:val="002E6A7A"/>
    <w:rsid w:val="002E6BE2"/>
    <w:rsid w:val="002E7770"/>
    <w:rsid w:val="002E7F08"/>
    <w:rsid w:val="002F0C71"/>
    <w:rsid w:val="002F1DE0"/>
    <w:rsid w:val="002F1E3B"/>
    <w:rsid w:val="002F1E49"/>
    <w:rsid w:val="002F23C1"/>
    <w:rsid w:val="002F4E9C"/>
    <w:rsid w:val="002F6043"/>
    <w:rsid w:val="002F6C3F"/>
    <w:rsid w:val="002F6E15"/>
    <w:rsid w:val="00302F4E"/>
    <w:rsid w:val="00304066"/>
    <w:rsid w:val="003041F8"/>
    <w:rsid w:val="003065AB"/>
    <w:rsid w:val="00306780"/>
    <w:rsid w:val="00310325"/>
    <w:rsid w:val="00311AE1"/>
    <w:rsid w:val="0031256C"/>
    <w:rsid w:val="00314D6C"/>
    <w:rsid w:val="00315247"/>
    <w:rsid w:val="0031603C"/>
    <w:rsid w:val="00316086"/>
    <w:rsid w:val="00316D2A"/>
    <w:rsid w:val="00320DE7"/>
    <w:rsid w:val="003217CA"/>
    <w:rsid w:val="00322A7C"/>
    <w:rsid w:val="00322EEC"/>
    <w:rsid w:val="00323061"/>
    <w:rsid w:val="0032370C"/>
    <w:rsid w:val="00326654"/>
    <w:rsid w:val="00326FC5"/>
    <w:rsid w:val="00327618"/>
    <w:rsid w:val="003309DA"/>
    <w:rsid w:val="00330D68"/>
    <w:rsid w:val="003311C9"/>
    <w:rsid w:val="003319B5"/>
    <w:rsid w:val="00331C8C"/>
    <w:rsid w:val="00333190"/>
    <w:rsid w:val="0033372C"/>
    <w:rsid w:val="00334B34"/>
    <w:rsid w:val="00337862"/>
    <w:rsid w:val="003402D3"/>
    <w:rsid w:val="003404D8"/>
    <w:rsid w:val="0034057C"/>
    <w:rsid w:val="0034068E"/>
    <w:rsid w:val="003422E6"/>
    <w:rsid w:val="00343ABC"/>
    <w:rsid w:val="00343E6D"/>
    <w:rsid w:val="003463FE"/>
    <w:rsid w:val="003472FC"/>
    <w:rsid w:val="003478D0"/>
    <w:rsid w:val="00347D41"/>
    <w:rsid w:val="00350CCD"/>
    <w:rsid w:val="003510B3"/>
    <w:rsid w:val="00353389"/>
    <w:rsid w:val="00353CCA"/>
    <w:rsid w:val="003541B7"/>
    <w:rsid w:val="00354F91"/>
    <w:rsid w:val="003554B3"/>
    <w:rsid w:val="003557F7"/>
    <w:rsid w:val="00356632"/>
    <w:rsid w:val="00357C7E"/>
    <w:rsid w:val="003606EE"/>
    <w:rsid w:val="00363F7D"/>
    <w:rsid w:val="00364824"/>
    <w:rsid w:val="003653B6"/>
    <w:rsid w:val="00365890"/>
    <w:rsid w:val="003674CD"/>
    <w:rsid w:val="003700B9"/>
    <w:rsid w:val="00370327"/>
    <w:rsid w:val="00371ECA"/>
    <w:rsid w:val="00372DBB"/>
    <w:rsid w:val="00373793"/>
    <w:rsid w:val="00374CC4"/>
    <w:rsid w:val="00374E5E"/>
    <w:rsid w:val="003774B2"/>
    <w:rsid w:val="003800C5"/>
    <w:rsid w:val="00380F2D"/>
    <w:rsid w:val="003845A9"/>
    <w:rsid w:val="003849C7"/>
    <w:rsid w:val="003850C9"/>
    <w:rsid w:val="00386451"/>
    <w:rsid w:val="0038763B"/>
    <w:rsid w:val="00390883"/>
    <w:rsid w:val="00391A3F"/>
    <w:rsid w:val="003922F8"/>
    <w:rsid w:val="0039233E"/>
    <w:rsid w:val="00393C8D"/>
    <w:rsid w:val="00395B24"/>
    <w:rsid w:val="003A05E1"/>
    <w:rsid w:val="003A2776"/>
    <w:rsid w:val="003A2D38"/>
    <w:rsid w:val="003A4A03"/>
    <w:rsid w:val="003A5987"/>
    <w:rsid w:val="003A67E0"/>
    <w:rsid w:val="003A7429"/>
    <w:rsid w:val="003A7ECC"/>
    <w:rsid w:val="003B160C"/>
    <w:rsid w:val="003B16D5"/>
    <w:rsid w:val="003B1A17"/>
    <w:rsid w:val="003B2C72"/>
    <w:rsid w:val="003B3D2D"/>
    <w:rsid w:val="003B58B4"/>
    <w:rsid w:val="003B5CA4"/>
    <w:rsid w:val="003B7A72"/>
    <w:rsid w:val="003C1333"/>
    <w:rsid w:val="003C20FF"/>
    <w:rsid w:val="003C40E3"/>
    <w:rsid w:val="003C5311"/>
    <w:rsid w:val="003C550A"/>
    <w:rsid w:val="003C6055"/>
    <w:rsid w:val="003C62B1"/>
    <w:rsid w:val="003C737A"/>
    <w:rsid w:val="003C7B92"/>
    <w:rsid w:val="003D0356"/>
    <w:rsid w:val="003D0D96"/>
    <w:rsid w:val="003D11B7"/>
    <w:rsid w:val="003D2650"/>
    <w:rsid w:val="003D304C"/>
    <w:rsid w:val="003D3691"/>
    <w:rsid w:val="003D37ED"/>
    <w:rsid w:val="003D5387"/>
    <w:rsid w:val="003D560C"/>
    <w:rsid w:val="003D5ADA"/>
    <w:rsid w:val="003D5C00"/>
    <w:rsid w:val="003D6D82"/>
    <w:rsid w:val="003D7C30"/>
    <w:rsid w:val="003D7E86"/>
    <w:rsid w:val="003E16A4"/>
    <w:rsid w:val="003E1C29"/>
    <w:rsid w:val="003E25E9"/>
    <w:rsid w:val="003E2B57"/>
    <w:rsid w:val="003E3154"/>
    <w:rsid w:val="003E33C8"/>
    <w:rsid w:val="003E4B26"/>
    <w:rsid w:val="003E4CE1"/>
    <w:rsid w:val="003E5874"/>
    <w:rsid w:val="003E72D3"/>
    <w:rsid w:val="003E72D7"/>
    <w:rsid w:val="003F193E"/>
    <w:rsid w:val="003F194D"/>
    <w:rsid w:val="003F1C6B"/>
    <w:rsid w:val="003F242C"/>
    <w:rsid w:val="003F2508"/>
    <w:rsid w:val="003F34F1"/>
    <w:rsid w:val="003F4B20"/>
    <w:rsid w:val="003F617A"/>
    <w:rsid w:val="003F64B4"/>
    <w:rsid w:val="003F6B91"/>
    <w:rsid w:val="003F7314"/>
    <w:rsid w:val="00400E65"/>
    <w:rsid w:val="00403023"/>
    <w:rsid w:val="004031D8"/>
    <w:rsid w:val="0040519E"/>
    <w:rsid w:val="004076DC"/>
    <w:rsid w:val="004104B6"/>
    <w:rsid w:val="00411AE8"/>
    <w:rsid w:val="004123DA"/>
    <w:rsid w:val="004126DD"/>
    <w:rsid w:val="00413B74"/>
    <w:rsid w:val="0041546D"/>
    <w:rsid w:val="00415731"/>
    <w:rsid w:val="00415BEF"/>
    <w:rsid w:val="00415E99"/>
    <w:rsid w:val="00416449"/>
    <w:rsid w:val="00416DCE"/>
    <w:rsid w:val="00417760"/>
    <w:rsid w:val="00420F41"/>
    <w:rsid w:val="004214A1"/>
    <w:rsid w:val="00432856"/>
    <w:rsid w:val="004342F3"/>
    <w:rsid w:val="00434B49"/>
    <w:rsid w:val="004355B4"/>
    <w:rsid w:val="00435916"/>
    <w:rsid w:val="00435C5F"/>
    <w:rsid w:val="00435F6D"/>
    <w:rsid w:val="00436155"/>
    <w:rsid w:val="00436460"/>
    <w:rsid w:val="004371B2"/>
    <w:rsid w:val="00437A12"/>
    <w:rsid w:val="0044035A"/>
    <w:rsid w:val="00440C4B"/>
    <w:rsid w:val="00441E98"/>
    <w:rsid w:val="00443D01"/>
    <w:rsid w:val="00443FDB"/>
    <w:rsid w:val="0044493E"/>
    <w:rsid w:val="00445921"/>
    <w:rsid w:val="00446009"/>
    <w:rsid w:val="00446459"/>
    <w:rsid w:val="00446636"/>
    <w:rsid w:val="00446995"/>
    <w:rsid w:val="00450367"/>
    <w:rsid w:val="00450F3A"/>
    <w:rsid w:val="004532F7"/>
    <w:rsid w:val="004534D8"/>
    <w:rsid w:val="0045352A"/>
    <w:rsid w:val="00455FA5"/>
    <w:rsid w:val="004577FC"/>
    <w:rsid w:val="00457BEA"/>
    <w:rsid w:val="0046013D"/>
    <w:rsid w:val="004615BA"/>
    <w:rsid w:val="00461FA0"/>
    <w:rsid w:val="00462AC5"/>
    <w:rsid w:val="00462D13"/>
    <w:rsid w:val="00464D51"/>
    <w:rsid w:val="00466ECA"/>
    <w:rsid w:val="0046702B"/>
    <w:rsid w:val="00472027"/>
    <w:rsid w:val="0047321C"/>
    <w:rsid w:val="004761F3"/>
    <w:rsid w:val="004804CF"/>
    <w:rsid w:val="004808E2"/>
    <w:rsid w:val="00480D3C"/>
    <w:rsid w:val="00483314"/>
    <w:rsid w:val="00484962"/>
    <w:rsid w:val="00484F6D"/>
    <w:rsid w:val="00484FB7"/>
    <w:rsid w:val="0048554D"/>
    <w:rsid w:val="004863D4"/>
    <w:rsid w:val="00490169"/>
    <w:rsid w:val="00490B58"/>
    <w:rsid w:val="00490C6C"/>
    <w:rsid w:val="00491315"/>
    <w:rsid w:val="00492B85"/>
    <w:rsid w:val="0049338A"/>
    <w:rsid w:val="00493D79"/>
    <w:rsid w:val="0049417F"/>
    <w:rsid w:val="004965A7"/>
    <w:rsid w:val="0049673B"/>
    <w:rsid w:val="00496CD7"/>
    <w:rsid w:val="00496D41"/>
    <w:rsid w:val="0049750D"/>
    <w:rsid w:val="004A0187"/>
    <w:rsid w:val="004A0276"/>
    <w:rsid w:val="004A15D5"/>
    <w:rsid w:val="004A1BB9"/>
    <w:rsid w:val="004A2D87"/>
    <w:rsid w:val="004A3EAE"/>
    <w:rsid w:val="004A4E49"/>
    <w:rsid w:val="004A64BE"/>
    <w:rsid w:val="004A6602"/>
    <w:rsid w:val="004A78E7"/>
    <w:rsid w:val="004B1C47"/>
    <w:rsid w:val="004B29F5"/>
    <w:rsid w:val="004B3EFA"/>
    <w:rsid w:val="004B3FB4"/>
    <w:rsid w:val="004B73A9"/>
    <w:rsid w:val="004C00EF"/>
    <w:rsid w:val="004C0770"/>
    <w:rsid w:val="004C1B4C"/>
    <w:rsid w:val="004C2A87"/>
    <w:rsid w:val="004C4D7B"/>
    <w:rsid w:val="004C4ED3"/>
    <w:rsid w:val="004C4FC7"/>
    <w:rsid w:val="004C667B"/>
    <w:rsid w:val="004C6C2C"/>
    <w:rsid w:val="004C6F0C"/>
    <w:rsid w:val="004C7ECD"/>
    <w:rsid w:val="004D2EA5"/>
    <w:rsid w:val="004D32A6"/>
    <w:rsid w:val="004D3C28"/>
    <w:rsid w:val="004D40A5"/>
    <w:rsid w:val="004D52DE"/>
    <w:rsid w:val="004D53E5"/>
    <w:rsid w:val="004D66F4"/>
    <w:rsid w:val="004D72C9"/>
    <w:rsid w:val="004D738C"/>
    <w:rsid w:val="004D7950"/>
    <w:rsid w:val="004E05A3"/>
    <w:rsid w:val="004E0E7A"/>
    <w:rsid w:val="004E11B6"/>
    <w:rsid w:val="004E1780"/>
    <w:rsid w:val="004E2490"/>
    <w:rsid w:val="004E3339"/>
    <w:rsid w:val="004E45D1"/>
    <w:rsid w:val="004E6DC4"/>
    <w:rsid w:val="004E7644"/>
    <w:rsid w:val="004E7799"/>
    <w:rsid w:val="004F0234"/>
    <w:rsid w:val="004F131F"/>
    <w:rsid w:val="004F21C1"/>
    <w:rsid w:val="004F26FD"/>
    <w:rsid w:val="004F4F25"/>
    <w:rsid w:val="004F6DC8"/>
    <w:rsid w:val="004F6E56"/>
    <w:rsid w:val="00500637"/>
    <w:rsid w:val="00501266"/>
    <w:rsid w:val="005013C6"/>
    <w:rsid w:val="00501A12"/>
    <w:rsid w:val="005022EA"/>
    <w:rsid w:val="00502ADE"/>
    <w:rsid w:val="0050309C"/>
    <w:rsid w:val="00506755"/>
    <w:rsid w:val="00506ACD"/>
    <w:rsid w:val="00510EEF"/>
    <w:rsid w:val="0051327C"/>
    <w:rsid w:val="0051346D"/>
    <w:rsid w:val="00513EAE"/>
    <w:rsid w:val="0051434F"/>
    <w:rsid w:val="0051466F"/>
    <w:rsid w:val="005147E0"/>
    <w:rsid w:val="00516806"/>
    <w:rsid w:val="005176D8"/>
    <w:rsid w:val="0052098C"/>
    <w:rsid w:val="00522406"/>
    <w:rsid w:val="00522B99"/>
    <w:rsid w:val="0052375F"/>
    <w:rsid w:val="005257D2"/>
    <w:rsid w:val="00525A49"/>
    <w:rsid w:val="00525CBB"/>
    <w:rsid w:val="005262D1"/>
    <w:rsid w:val="0053056F"/>
    <w:rsid w:val="00530876"/>
    <w:rsid w:val="00530D5F"/>
    <w:rsid w:val="0053158D"/>
    <w:rsid w:val="0053179C"/>
    <w:rsid w:val="00532980"/>
    <w:rsid w:val="00532B04"/>
    <w:rsid w:val="00533C84"/>
    <w:rsid w:val="00535613"/>
    <w:rsid w:val="005359EB"/>
    <w:rsid w:val="00535A4C"/>
    <w:rsid w:val="00535CD8"/>
    <w:rsid w:val="00540481"/>
    <w:rsid w:val="0054254A"/>
    <w:rsid w:val="0054268E"/>
    <w:rsid w:val="005428A9"/>
    <w:rsid w:val="00543F94"/>
    <w:rsid w:val="0054492B"/>
    <w:rsid w:val="0054500B"/>
    <w:rsid w:val="00546520"/>
    <w:rsid w:val="005466B5"/>
    <w:rsid w:val="00550B1F"/>
    <w:rsid w:val="00551276"/>
    <w:rsid w:val="00551FC8"/>
    <w:rsid w:val="00554314"/>
    <w:rsid w:val="005571EC"/>
    <w:rsid w:val="00560D04"/>
    <w:rsid w:val="0056233C"/>
    <w:rsid w:val="00562829"/>
    <w:rsid w:val="005629B3"/>
    <w:rsid w:val="005643BC"/>
    <w:rsid w:val="00565475"/>
    <w:rsid w:val="005659AA"/>
    <w:rsid w:val="00566989"/>
    <w:rsid w:val="00566D5F"/>
    <w:rsid w:val="00570123"/>
    <w:rsid w:val="0057128A"/>
    <w:rsid w:val="0057196C"/>
    <w:rsid w:val="005723CC"/>
    <w:rsid w:val="005724F6"/>
    <w:rsid w:val="00572906"/>
    <w:rsid w:val="00572FE6"/>
    <w:rsid w:val="00573AC4"/>
    <w:rsid w:val="00573C39"/>
    <w:rsid w:val="0057424C"/>
    <w:rsid w:val="0057426A"/>
    <w:rsid w:val="005754B8"/>
    <w:rsid w:val="005765E4"/>
    <w:rsid w:val="005801FC"/>
    <w:rsid w:val="0058435D"/>
    <w:rsid w:val="00584C43"/>
    <w:rsid w:val="00584D03"/>
    <w:rsid w:val="005858D4"/>
    <w:rsid w:val="00585BA9"/>
    <w:rsid w:val="00586FAA"/>
    <w:rsid w:val="00587359"/>
    <w:rsid w:val="00587BD1"/>
    <w:rsid w:val="00587C45"/>
    <w:rsid w:val="00587D5F"/>
    <w:rsid w:val="00590D5E"/>
    <w:rsid w:val="00593364"/>
    <w:rsid w:val="00593841"/>
    <w:rsid w:val="00595016"/>
    <w:rsid w:val="00595197"/>
    <w:rsid w:val="0059642F"/>
    <w:rsid w:val="00597A4A"/>
    <w:rsid w:val="00597AAE"/>
    <w:rsid w:val="00597CD6"/>
    <w:rsid w:val="005A0FCC"/>
    <w:rsid w:val="005A222C"/>
    <w:rsid w:val="005A29E1"/>
    <w:rsid w:val="005A3A71"/>
    <w:rsid w:val="005A47C2"/>
    <w:rsid w:val="005A4DF8"/>
    <w:rsid w:val="005A4FF1"/>
    <w:rsid w:val="005A5032"/>
    <w:rsid w:val="005A55E4"/>
    <w:rsid w:val="005A651B"/>
    <w:rsid w:val="005A6923"/>
    <w:rsid w:val="005A7873"/>
    <w:rsid w:val="005A78C8"/>
    <w:rsid w:val="005B01F0"/>
    <w:rsid w:val="005B0401"/>
    <w:rsid w:val="005B07E5"/>
    <w:rsid w:val="005B09D8"/>
    <w:rsid w:val="005B1326"/>
    <w:rsid w:val="005B1426"/>
    <w:rsid w:val="005B2FDA"/>
    <w:rsid w:val="005B3A80"/>
    <w:rsid w:val="005B3F79"/>
    <w:rsid w:val="005B6A77"/>
    <w:rsid w:val="005C02D2"/>
    <w:rsid w:val="005C0A8E"/>
    <w:rsid w:val="005C1767"/>
    <w:rsid w:val="005C185C"/>
    <w:rsid w:val="005C3A45"/>
    <w:rsid w:val="005C3F67"/>
    <w:rsid w:val="005C42EF"/>
    <w:rsid w:val="005C487E"/>
    <w:rsid w:val="005C4D97"/>
    <w:rsid w:val="005C4EF7"/>
    <w:rsid w:val="005C5EC3"/>
    <w:rsid w:val="005D1A46"/>
    <w:rsid w:val="005D2160"/>
    <w:rsid w:val="005D2E06"/>
    <w:rsid w:val="005D30B9"/>
    <w:rsid w:val="005D34FA"/>
    <w:rsid w:val="005D4728"/>
    <w:rsid w:val="005D4A76"/>
    <w:rsid w:val="005D738F"/>
    <w:rsid w:val="005D7736"/>
    <w:rsid w:val="005E02F5"/>
    <w:rsid w:val="005E0510"/>
    <w:rsid w:val="005E061F"/>
    <w:rsid w:val="005E0B86"/>
    <w:rsid w:val="005E176E"/>
    <w:rsid w:val="005E218E"/>
    <w:rsid w:val="005E24EC"/>
    <w:rsid w:val="005E26E7"/>
    <w:rsid w:val="005E27FD"/>
    <w:rsid w:val="005E35A0"/>
    <w:rsid w:val="005E456B"/>
    <w:rsid w:val="005E4BF0"/>
    <w:rsid w:val="005E5888"/>
    <w:rsid w:val="005E5BBE"/>
    <w:rsid w:val="005E63CD"/>
    <w:rsid w:val="005E6C3E"/>
    <w:rsid w:val="005E6CB1"/>
    <w:rsid w:val="005E6F1F"/>
    <w:rsid w:val="005E7446"/>
    <w:rsid w:val="005F0D1B"/>
    <w:rsid w:val="005F1865"/>
    <w:rsid w:val="005F1979"/>
    <w:rsid w:val="005F2916"/>
    <w:rsid w:val="005F3F0D"/>
    <w:rsid w:val="005F4CBA"/>
    <w:rsid w:val="005F54DA"/>
    <w:rsid w:val="005F58E1"/>
    <w:rsid w:val="005F7B8D"/>
    <w:rsid w:val="006007BD"/>
    <w:rsid w:val="006008EF"/>
    <w:rsid w:val="006013C8"/>
    <w:rsid w:val="00601D49"/>
    <w:rsid w:val="0060270D"/>
    <w:rsid w:val="00603AC1"/>
    <w:rsid w:val="00604342"/>
    <w:rsid w:val="00604611"/>
    <w:rsid w:val="0061124F"/>
    <w:rsid w:val="00611586"/>
    <w:rsid w:val="00612A9D"/>
    <w:rsid w:val="00612D26"/>
    <w:rsid w:val="00612FC5"/>
    <w:rsid w:val="0061391B"/>
    <w:rsid w:val="00613D4F"/>
    <w:rsid w:val="00615855"/>
    <w:rsid w:val="00620DA8"/>
    <w:rsid w:val="00621136"/>
    <w:rsid w:val="0062168F"/>
    <w:rsid w:val="00621887"/>
    <w:rsid w:val="00622FD9"/>
    <w:rsid w:val="00624520"/>
    <w:rsid w:val="00625D1D"/>
    <w:rsid w:val="00626CFD"/>
    <w:rsid w:val="006271F5"/>
    <w:rsid w:val="006277ED"/>
    <w:rsid w:val="00630ADA"/>
    <w:rsid w:val="00630ED3"/>
    <w:rsid w:val="006318C9"/>
    <w:rsid w:val="00632300"/>
    <w:rsid w:val="006329B5"/>
    <w:rsid w:val="00632BB7"/>
    <w:rsid w:val="0063341A"/>
    <w:rsid w:val="00634A30"/>
    <w:rsid w:val="00635737"/>
    <w:rsid w:val="00635B36"/>
    <w:rsid w:val="00636608"/>
    <w:rsid w:val="00636871"/>
    <w:rsid w:val="0063716C"/>
    <w:rsid w:val="00640E57"/>
    <w:rsid w:val="00640EE1"/>
    <w:rsid w:val="00640F4E"/>
    <w:rsid w:val="00643DE0"/>
    <w:rsid w:val="0064437D"/>
    <w:rsid w:val="00644E85"/>
    <w:rsid w:val="00645A61"/>
    <w:rsid w:val="00646B7D"/>
    <w:rsid w:val="00647054"/>
    <w:rsid w:val="006516D8"/>
    <w:rsid w:val="006516E5"/>
    <w:rsid w:val="00652C52"/>
    <w:rsid w:val="00652D4F"/>
    <w:rsid w:val="006536AF"/>
    <w:rsid w:val="00654C0B"/>
    <w:rsid w:val="0065546B"/>
    <w:rsid w:val="00655958"/>
    <w:rsid w:val="00655C17"/>
    <w:rsid w:val="00656331"/>
    <w:rsid w:val="0065749C"/>
    <w:rsid w:val="00657A3F"/>
    <w:rsid w:val="00657A7A"/>
    <w:rsid w:val="0066063F"/>
    <w:rsid w:val="006612B8"/>
    <w:rsid w:val="00662BB0"/>
    <w:rsid w:val="00662E61"/>
    <w:rsid w:val="0066315B"/>
    <w:rsid w:val="00663878"/>
    <w:rsid w:val="006640C6"/>
    <w:rsid w:val="00664A40"/>
    <w:rsid w:val="00664BD7"/>
    <w:rsid w:val="00667299"/>
    <w:rsid w:val="00667773"/>
    <w:rsid w:val="006679E1"/>
    <w:rsid w:val="006701CE"/>
    <w:rsid w:val="006706C9"/>
    <w:rsid w:val="00670743"/>
    <w:rsid w:val="00670C18"/>
    <w:rsid w:val="006715CB"/>
    <w:rsid w:val="0067253B"/>
    <w:rsid w:val="00672B21"/>
    <w:rsid w:val="0068021C"/>
    <w:rsid w:val="00680A85"/>
    <w:rsid w:val="00681232"/>
    <w:rsid w:val="00681ADF"/>
    <w:rsid w:val="00682F16"/>
    <w:rsid w:val="006834DD"/>
    <w:rsid w:val="006836DC"/>
    <w:rsid w:val="00683770"/>
    <w:rsid w:val="00683995"/>
    <w:rsid w:val="00683FC3"/>
    <w:rsid w:val="00684766"/>
    <w:rsid w:val="00684AC1"/>
    <w:rsid w:val="00684CE2"/>
    <w:rsid w:val="006857F8"/>
    <w:rsid w:val="00685B05"/>
    <w:rsid w:val="006866A7"/>
    <w:rsid w:val="00690EE2"/>
    <w:rsid w:val="00690EF6"/>
    <w:rsid w:val="006935C3"/>
    <w:rsid w:val="00693854"/>
    <w:rsid w:val="006939F5"/>
    <w:rsid w:val="00693AF4"/>
    <w:rsid w:val="00694071"/>
    <w:rsid w:val="0069429B"/>
    <w:rsid w:val="00694BEB"/>
    <w:rsid w:val="00696858"/>
    <w:rsid w:val="006A06F3"/>
    <w:rsid w:val="006A0E20"/>
    <w:rsid w:val="006A24E3"/>
    <w:rsid w:val="006A2C7E"/>
    <w:rsid w:val="006A341D"/>
    <w:rsid w:val="006A435B"/>
    <w:rsid w:val="006A5695"/>
    <w:rsid w:val="006A5742"/>
    <w:rsid w:val="006A58DB"/>
    <w:rsid w:val="006B0439"/>
    <w:rsid w:val="006B0979"/>
    <w:rsid w:val="006B359E"/>
    <w:rsid w:val="006B3904"/>
    <w:rsid w:val="006B3A9A"/>
    <w:rsid w:val="006B5B7D"/>
    <w:rsid w:val="006B5FAC"/>
    <w:rsid w:val="006B6013"/>
    <w:rsid w:val="006B7AA1"/>
    <w:rsid w:val="006C08E4"/>
    <w:rsid w:val="006C0BD9"/>
    <w:rsid w:val="006C0DF8"/>
    <w:rsid w:val="006C20CD"/>
    <w:rsid w:val="006C34C2"/>
    <w:rsid w:val="006C3C2A"/>
    <w:rsid w:val="006C53D5"/>
    <w:rsid w:val="006C5B46"/>
    <w:rsid w:val="006C5F23"/>
    <w:rsid w:val="006C6D0A"/>
    <w:rsid w:val="006C6E39"/>
    <w:rsid w:val="006C6FFC"/>
    <w:rsid w:val="006C70CC"/>
    <w:rsid w:val="006C7184"/>
    <w:rsid w:val="006D0761"/>
    <w:rsid w:val="006D0ECF"/>
    <w:rsid w:val="006D12B9"/>
    <w:rsid w:val="006D1881"/>
    <w:rsid w:val="006D1937"/>
    <w:rsid w:val="006D395F"/>
    <w:rsid w:val="006D3D5B"/>
    <w:rsid w:val="006D4C92"/>
    <w:rsid w:val="006D4DAD"/>
    <w:rsid w:val="006D4EB6"/>
    <w:rsid w:val="006D7C05"/>
    <w:rsid w:val="006D7FBC"/>
    <w:rsid w:val="006E131A"/>
    <w:rsid w:val="006E1701"/>
    <w:rsid w:val="006E2382"/>
    <w:rsid w:val="006E33DC"/>
    <w:rsid w:val="006E35BF"/>
    <w:rsid w:val="006E43F3"/>
    <w:rsid w:val="006E5232"/>
    <w:rsid w:val="006E71D3"/>
    <w:rsid w:val="006E7850"/>
    <w:rsid w:val="006F05DF"/>
    <w:rsid w:val="006F19D8"/>
    <w:rsid w:val="006F1E64"/>
    <w:rsid w:val="006F293A"/>
    <w:rsid w:val="006F46D6"/>
    <w:rsid w:val="006F4BBB"/>
    <w:rsid w:val="006F4E6C"/>
    <w:rsid w:val="006F55D0"/>
    <w:rsid w:val="00700336"/>
    <w:rsid w:val="00700583"/>
    <w:rsid w:val="007019DA"/>
    <w:rsid w:val="007028D9"/>
    <w:rsid w:val="00702C3D"/>
    <w:rsid w:val="00702CC8"/>
    <w:rsid w:val="007048CF"/>
    <w:rsid w:val="00705543"/>
    <w:rsid w:val="00707218"/>
    <w:rsid w:val="00707F8C"/>
    <w:rsid w:val="007103F2"/>
    <w:rsid w:val="0071061C"/>
    <w:rsid w:val="00710D04"/>
    <w:rsid w:val="00711389"/>
    <w:rsid w:val="00711576"/>
    <w:rsid w:val="00712B1D"/>
    <w:rsid w:val="00712B62"/>
    <w:rsid w:val="00714435"/>
    <w:rsid w:val="00714631"/>
    <w:rsid w:val="00715751"/>
    <w:rsid w:val="007164A2"/>
    <w:rsid w:val="007171BA"/>
    <w:rsid w:val="00717616"/>
    <w:rsid w:val="0071767E"/>
    <w:rsid w:val="00717895"/>
    <w:rsid w:val="00720DD6"/>
    <w:rsid w:val="0072119C"/>
    <w:rsid w:val="00723DF8"/>
    <w:rsid w:val="00724246"/>
    <w:rsid w:val="00725EAA"/>
    <w:rsid w:val="0072667F"/>
    <w:rsid w:val="00726743"/>
    <w:rsid w:val="00726B50"/>
    <w:rsid w:val="007325D9"/>
    <w:rsid w:val="0073413F"/>
    <w:rsid w:val="007346E2"/>
    <w:rsid w:val="00734F80"/>
    <w:rsid w:val="0073583B"/>
    <w:rsid w:val="007360CA"/>
    <w:rsid w:val="00736AC7"/>
    <w:rsid w:val="00741780"/>
    <w:rsid w:val="0074197B"/>
    <w:rsid w:val="00741DB3"/>
    <w:rsid w:val="007421FE"/>
    <w:rsid w:val="00742AD4"/>
    <w:rsid w:val="00743392"/>
    <w:rsid w:val="0074667B"/>
    <w:rsid w:val="007468E7"/>
    <w:rsid w:val="007470BD"/>
    <w:rsid w:val="00747C89"/>
    <w:rsid w:val="00756595"/>
    <w:rsid w:val="00756A3D"/>
    <w:rsid w:val="00757A1C"/>
    <w:rsid w:val="00760060"/>
    <w:rsid w:val="00760121"/>
    <w:rsid w:val="00760EC0"/>
    <w:rsid w:val="007615A7"/>
    <w:rsid w:val="00762671"/>
    <w:rsid w:val="00763893"/>
    <w:rsid w:val="00763B81"/>
    <w:rsid w:val="0076447D"/>
    <w:rsid w:val="00765054"/>
    <w:rsid w:val="00765877"/>
    <w:rsid w:val="00765F57"/>
    <w:rsid w:val="00766132"/>
    <w:rsid w:val="00766779"/>
    <w:rsid w:val="00767016"/>
    <w:rsid w:val="007677BE"/>
    <w:rsid w:val="00770521"/>
    <w:rsid w:val="007711BD"/>
    <w:rsid w:val="00771BDE"/>
    <w:rsid w:val="00773A5B"/>
    <w:rsid w:val="007746FB"/>
    <w:rsid w:val="00774E03"/>
    <w:rsid w:val="00776A2C"/>
    <w:rsid w:val="00776D47"/>
    <w:rsid w:val="0077794F"/>
    <w:rsid w:val="0078003A"/>
    <w:rsid w:val="0078006E"/>
    <w:rsid w:val="0078013C"/>
    <w:rsid w:val="00780771"/>
    <w:rsid w:val="00780C20"/>
    <w:rsid w:val="00781BCF"/>
    <w:rsid w:val="00781C08"/>
    <w:rsid w:val="00782652"/>
    <w:rsid w:val="00782E6D"/>
    <w:rsid w:val="0078311E"/>
    <w:rsid w:val="00783BD6"/>
    <w:rsid w:val="0078564D"/>
    <w:rsid w:val="00786901"/>
    <w:rsid w:val="007911B9"/>
    <w:rsid w:val="00791E88"/>
    <w:rsid w:val="00792140"/>
    <w:rsid w:val="007929CF"/>
    <w:rsid w:val="00793EE4"/>
    <w:rsid w:val="0079523B"/>
    <w:rsid w:val="007957B7"/>
    <w:rsid w:val="00795B22"/>
    <w:rsid w:val="00796734"/>
    <w:rsid w:val="00796E66"/>
    <w:rsid w:val="00796F4A"/>
    <w:rsid w:val="00797387"/>
    <w:rsid w:val="00797BA8"/>
    <w:rsid w:val="00797D08"/>
    <w:rsid w:val="007A081D"/>
    <w:rsid w:val="007A31BB"/>
    <w:rsid w:val="007A3A9E"/>
    <w:rsid w:val="007A4116"/>
    <w:rsid w:val="007A49E7"/>
    <w:rsid w:val="007A4C1D"/>
    <w:rsid w:val="007A6F28"/>
    <w:rsid w:val="007A76DC"/>
    <w:rsid w:val="007A7722"/>
    <w:rsid w:val="007B03C6"/>
    <w:rsid w:val="007B0DB1"/>
    <w:rsid w:val="007B1918"/>
    <w:rsid w:val="007B1A7A"/>
    <w:rsid w:val="007B506B"/>
    <w:rsid w:val="007B5297"/>
    <w:rsid w:val="007B5656"/>
    <w:rsid w:val="007B5673"/>
    <w:rsid w:val="007B675E"/>
    <w:rsid w:val="007B7169"/>
    <w:rsid w:val="007B7238"/>
    <w:rsid w:val="007B76FF"/>
    <w:rsid w:val="007C1BDE"/>
    <w:rsid w:val="007C2396"/>
    <w:rsid w:val="007C3813"/>
    <w:rsid w:val="007C3BF6"/>
    <w:rsid w:val="007C43BF"/>
    <w:rsid w:val="007C4A92"/>
    <w:rsid w:val="007C50B0"/>
    <w:rsid w:val="007C66DA"/>
    <w:rsid w:val="007C678A"/>
    <w:rsid w:val="007C67B3"/>
    <w:rsid w:val="007C740F"/>
    <w:rsid w:val="007C7EAE"/>
    <w:rsid w:val="007D09CE"/>
    <w:rsid w:val="007D0BCA"/>
    <w:rsid w:val="007D0FD2"/>
    <w:rsid w:val="007D1704"/>
    <w:rsid w:val="007D2EF8"/>
    <w:rsid w:val="007D561F"/>
    <w:rsid w:val="007D74D5"/>
    <w:rsid w:val="007D7F0C"/>
    <w:rsid w:val="007D7FD2"/>
    <w:rsid w:val="007E13D9"/>
    <w:rsid w:val="007E28AF"/>
    <w:rsid w:val="007E2AEC"/>
    <w:rsid w:val="007E3C27"/>
    <w:rsid w:val="007E41BE"/>
    <w:rsid w:val="007E4DB6"/>
    <w:rsid w:val="007E4F9E"/>
    <w:rsid w:val="007E5E25"/>
    <w:rsid w:val="007E6733"/>
    <w:rsid w:val="007E7CD4"/>
    <w:rsid w:val="007E7F8E"/>
    <w:rsid w:val="007F02D0"/>
    <w:rsid w:val="007F079B"/>
    <w:rsid w:val="007F12AC"/>
    <w:rsid w:val="007F1DF8"/>
    <w:rsid w:val="007F3B7A"/>
    <w:rsid w:val="007F4501"/>
    <w:rsid w:val="007F5A38"/>
    <w:rsid w:val="007F5C1E"/>
    <w:rsid w:val="007F60DF"/>
    <w:rsid w:val="007F6A3D"/>
    <w:rsid w:val="007F6AAD"/>
    <w:rsid w:val="007F72E5"/>
    <w:rsid w:val="00800B2B"/>
    <w:rsid w:val="00801800"/>
    <w:rsid w:val="00801861"/>
    <w:rsid w:val="00801B5B"/>
    <w:rsid w:val="008051A9"/>
    <w:rsid w:val="00805A30"/>
    <w:rsid w:val="008070B6"/>
    <w:rsid w:val="00807210"/>
    <w:rsid w:val="00811062"/>
    <w:rsid w:val="008116AE"/>
    <w:rsid w:val="00811D50"/>
    <w:rsid w:val="008139B6"/>
    <w:rsid w:val="00813D5D"/>
    <w:rsid w:val="008149B0"/>
    <w:rsid w:val="008149DF"/>
    <w:rsid w:val="008158B5"/>
    <w:rsid w:val="00815EC0"/>
    <w:rsid w:val="008216E7"/>
    <w:rsid w:val="008235AA"/>
    <w:rsid w:val="00823814"/>
    <w:rsid w:val="00823D43"/>
    <w:rsid w:val="00825BE6"/>
    <w:rsid w:val="00825C56"/>
    <w:rsid w:val="008276B4"/>
    <w:rsid w:val="00831927"/>
    <w:rsid w:val="00831AB8"/>
    <w:rsid w:val="008323FF"/>
    <w:rsid w:val="008329FA"/>
    <w:rsid w:val="00837288"/>
    <w:rsid w:val="008407D3"/>
    <w:rsid w:val="00841BD3"/>
    <w:rsid w:val="00841F5C"/>
    <w:rsid w:val="0084273D"/>
    <w:rsid w:val="0084330A"/>
    <w:rsid w:val="008442D2"/>
    <w:rsid w:val="00844BA2"/>
    <w:rsid w:val="00844E3F"/>
    <w:rsid w:val="00845A83"/>
    <w:rsid w:val="00845CD1"/>
    <w:rsid w:val="00845F9B"/>
    <w:rsid w:val="0084610F"/>
    <w:rsid w:val="008463E1"/>
    <w:rsid w:val="00846BB9"/>
    <w:rsid w:val="008473ED"/>
    <w:rsid w:val="00852E1D"/>
    <w:rsid w:val="00853C98"/>
    <w:rsid w:val="00857FC3"/>
    <w:rsid w:val="008620C0"/>
    <w:rsid w:val="008632B1"/>
    <w:rsid w:val="00863E56"/>
    <w:rsid w:val="008641C6"/>
    <w:rsid w:val="008649D5"/>
    <w:rsid w:val="008650CD"/>
    <w:rsid w:val="008651DE"/>
    <w:rsid w:val="00866E19"/>
    <w:rsid w:val="00870214"/>
    <w:rsid w:val="008712BB"/>
    <w:rsid w:val="00872FEF"/>
    <w:rsid w:val="00877143"/>
    <w:rsid w:val="0088220A"/>
    <w:rsid w:val="008830E7"/>
    <w:rsid w:val="00883658"/>
    <w:rsid w:val="00884EB1"/>
    <w:rsid w:val="00885E1E"/>
    <w:rsid w:val="00886143"/>
    <w:rsid w:val="0088615A"/>
    <w:rsid w:val="008875C4"/>
    <w:rsid w:val="00890904"/>
    <w:rsid w:val="00890EDE"/>
    <w:rsid w:val="00892B38"/>
    <w:rsid w:val="00893759"/>
    <w:rsid w:val="0089401A"/>
    <w:rsid w:val="008946AE"/>
    <w:rsid w:val="00896A65"/>
    <w:rsid w:val="008970B9"/>
    <w:rsid w:val="00897A30"/>
    <w:rsid w:val="008A1741"/>
    <w:rsid w:val="008A1AF2"/>
    <w:rsid w:val="008A1DBF"/>
    <w:rsid w:val="008A2484"/>
    <w:rsid w:val="008A309C"/>
    <w:rsid w:val="008A52F3"/>
    <w:rsid w:val="008A5553"/>
    <w:rsid w:val="008B0573"/>
    <w:rsid w:val="008B2135"/>
    <w:rsid w:val="008B2287"/>
    <w:rsid w:val="008B2974"/>
    <w:rsid w:val="008B2A89"/>
    <w:rsid w:val="008B2D16"/>
    <w:rsid w:val="008C26D9"/>
    <w:rsid w:val="008C27B8"/>
    <w:rsid w:val="008C3C3D"/>
    <w:rsid w:val="008C3D62"/>
    <w:rsid w:val="008C459D"/>
    <w:rsid w:val="008C51B2"/>
    <w:rsid w:val="008C6D50"/>
    <w:rsid w:val="008C7167"/>
    <w:rsid w:val="008C7503"/>
    <w:rsid w:val="008D0D7E"/>
    <w:rsid w:val="008D1617"/>
    <w:rsid w:val="008D2834"/>
    <w:rsid w:val="008D2866"/>
    <w:rsid w:val="008D330F"/>
    <w:rsid w:val="008D3625"/>
    <w:rsid w:val="008D39EB"/>
    <w:rsid w:val="008D4171"/>
    <w:rsid w:val="008D46BB"/>
    <w:rsid w:val="008D48C1"/>
    <w:rsid w:val="008D6023"/>
    <w:rsid w:val="008E0995"/>
    <w:rsid w:val="008E0C51"/>
    <w:rsid w:val="008E11F0"/>
    <w:rsid w:val="008E38E1"/>
    <w:rsid w:val="008E4679"/>
    <w:rsid w:val="008E4AC6"/>
    <w:rsid w:val="008E59A6"/>
    <w:rsid w:val="008E6315"/>
    <w:rsid w:val="008E7046"/>
    <w:rsid w:val="008E76DF"/>
    <w:rsid w:val="008F0480"/>
    <w:rsid w:val="008F07FC"/>
    <w:rsid w:val="008F0B3B"/>
    <w:rsid w:val="008F0B4E"/>
    <w:rsid w:val="008F11E0"/>
    <w:rsid w:val="008F3EA7"/>
    <w:rsid w:val="008F4905"/>
    <w:rsid w:val="008F5C1E"/>
    <w:rsid w:val="008F5E0A"/>
    <w:rsid w:val="008F748E"/>
    <w:rsid w:val="008F78BC"/>
    <w:rsid w:val="008F7B63"/>
    <w:rsid w:val="008F7D58"/>
    <w:rsid w:val="008F7D6A"/>
    <w:rsid w:val="0090116F"/>
    <w:rsid w:val="00901C86"/>
    <w:rsid w:val="00903603"/>
    <w:rsid w:val="00903A77"/>
    <w:rsid w:val="00903B0C"/>
    <w:rsid w:val="00904250"/>
    <w:rsid w:val="009054CB"/>
    <w:rsid w:val="00906D95"/>
    <w:rsid w:val="00906FFA"/>
    <w:rsid w:val="009071B8"/>
    <w:rsid w:val="009077E0"/>
    <w:rsid w:val="009105D0"/>
    <w:rsid w:val="009110EB"/>
    <w:rsid w:val="009118EE"/>
    <w:rsid w:val="00911E72"/>
    <w:rsid w:val="00911F8D"/>
    <w:rsid w:val="00912511"/>
    <w:rsid w:val="00912EA6"/>
    <w:rsid w:val="00912F94"/>
    <w:rsid w:val="009133CD"/>
    <w:rsid w:val="00914027"/>
    <w:rsid w:val="00916920"/>
    <w:rsid w:val="00916F63"/>
    <w:rsid w:val="009171BC"/>
    <w:rsid w:val="0092001B"/>
    <w:rsid w:val="00920A58"/>
    <w:rsid w:val="009235BA"/>
    <w:rsid w:val="0092497E"/>
    <w:rsid w:val="0092590B"/>
    <w:rsid w:val="00925BF3"/>
    <w:rsid w:val="00925E60"/>
    <w:rsid w:val="009264B3"/>
    <w:rsid w:val="00927776"/>
    <w:rsid w:val="009307DC"/>
    <w:rsid w:val="00930F26"/>
    <w:rsid w:val="00931D3D"/>
    <w:rsid w:val="00931E4C"/>
    <w:rsid w:val="0093515B"/>
    <w:rsid w:val="009365E0"/>
    <w:rsid w:val="009367AC"/>
    <w:rsid w:val="00936960"/>
    <w:rsid w:val="00936CE1"/>
    <w:rsid w:val="0093768D"/>
    <w:rsid w:val="00940BB9"/>
    <w:rsid w:val="00940F56"/>
    <w:rsid w:val="009419FE"/>
    <w:rsid w:val="00941DE8"/>
    <w:rsid w:val="009420BE"/>
    <w:rsid w:val="00942BA2"/>
    <w:rsid w:val="00942E36"/>
    <w:rsid w:val="009432B7"/>
    <w:rsid w:val="009438C0"/>
    <w:rsid w:val="00944C86"/>
    <w:rsid w:val="00944CC8"/>
    <w:rsid w:val="00944DF1"/>
    <w:rsid w:val="00944E4D"/>
    <w:rsid w:val="00945743"/>
    <w:rsid w:val="009463BF"/>
    <w:rsid w:val="00947C02"/>
    <w:rsid w:val="00950758"/>
    <w:rsid w:val="00950BE6"/>
    <w:rsid w:val="009512E8"/>
    <w:rsid w:val="00952387"/>
    <w:rsid w:val="009530E3"/>
    <w:rsid w:val="009533AC"/>
    <w:rsid w:val="00956F74"/>
    <w:rsid w:val="00957DE8"/>
    <w:rsid w:val="00957E5F"/>
    <w:rsid w:val="00960591"/>
    <w:rsid w:val="00960ECB"/>
    <w:rsid w:val="009615D6"/>
    <w:rsid w:val="00962D5A"/>
    <w:rsid w:val="00967295"/>
    <w:rsid w:val="00967855"/>
    <w:rsid w:val="00971153"/>
    <w:rsid w:val="00971400"/>
    <w:rsid w:val="00971BE6"/>
    <w:rsid w:val="00971CD1"/>
    <w:rsid w:val="00972B97"/>
    <w:rsid w:val="00973377"/>
    <w:rsid w:val="00973702"/>
    <w:rsid w:val="00973C38"/>
    <w:rsid w:val="009746A9"/>
    <w:rsid w:val="00974709"/>
    <w:rsid w:val="00976A3D"/>
    <w:rsid w:val="009801AE"/>
    <w:rsid w:val="00980736"/>
    <w:rsid w:val="00980877"/>
    <w:rsid w:val="00981412"/>
    <w:rsid w:val="00981A39"/>
    <w:rsid w:val="0098203F"/>
    <w:rsid w:val="00982D56"/>
    <w:rsid w:val="00983B38"/>
    <w:rsid w:val="00983DBF"/>
    <w:rsid w:val="0098434D"/>
    <w:rsid w:val="00984D46"/>
    <w:rsid w:val="00985F00"/>
    <w:rsid w:val="00987097"/>
    <w:rsid w:val="009873FA"/>
    <w:rsid w:val="00990092"/>
    <w:rsid w:val="0099031F"/>
    <w:rsid w:val="00991123"/>
    <w:rsid w:val="00991CAB"/>
    <w:rsid w:val="009930C0"/>
    <w:rsid w:val="00994F82"/>
    <w:rsid w:val="00994FE4"/>
    <w:rsid w:val="0099560A"/>
    <w:rsid w:val="009961B5"/>
    <w:rsid w:val="00996CC9"/>
    <w:rsid w:val="00997277"/>
    <w:rsid w:val="00997C31"/>
    <w:rsid w:val="009A1687"/>
    <w:rsid w:val="009A2BBC"/>
    <w:rsid w:val="009A3A9C"/>
    <w:rsid w:val="009A4664"/>
    <w:rsid w:val="009A472D"/>
    <w:rsid w:val="009A5089"/>
    <w:rsid w:val="009A678A"/>
    <w:rsid w:val="009A6A41"/>
    <w:rsid w:val="009A7661"/>
    <w:rsid w:val="009A7BBC"/>
    <w:rsid w:val="009B046C"/>
    <w:rsid w:val="009B13FA"/>
    <w:rsid w:val="009B18D1"/>
    <w:rsid w:val="009B1C89"/>
    <w:rsid w:val="009B1E2D"/>
    <w:rsid w:val="009B1FF3"/>
    <w:rsid w:val="009B2061"/>
    <w:rsid w:val="009B44A8"/>
    <w:rsid w:val="009B4653"/>
    <w:rsid w:val="009B5428"/>
    <w:rsid w:val="009B5525"/>
    <w:rsid w:val="009B7AFC"/>
    <w:rsid w:val="009C1A8E"/>
    <w:rsid w:val="009C3EE9"/>
    <w:rsid w:val="009C4DC0"/>
    <w:rsid w:val="009C59FB"/>
    <w:rsid w:val="009C6F3B"/>
    <w:rsid w:val="009C79FD"/>
    <w:rsid w:val="009D0537"/>
    <w:rsid w:val="009D0C37"/>
    <w:rsid w:val="009D1467"/>
    <w:rsid w:val="009D19CE"/>
    <w:rsid w:val="009D2030"/>
    <w:rsid w:val="009D3147"/>
    <w:rsid w:val="009D328D"/>
    <w:rsid w:val="009D785B"/>
    <w:rsid w:val="009E1485"/>
    <w:rsid w:val="009E1586"/>
    <w:rsid w:val="009E18B8"/>
    <w:rsid w:val="009E1BF8"/>
    <w:rsid w:val="009E4402"/>
    <w:rsid w:val="009E4FA6"/>
    <w:rsid w:val="009E54D9"/>
    <w:rsid w:val="009E7997"/>
    <w:rsid w:val="009E7D93"/>
    <w:rsid w:val="009E7F24"/>
    <w:rsid w:val="009F051C"/>
    <w:rsid w:val="009F398F"/>
    <w:rsid w:val="009F3A3C"/>
    <w:rsid w:val="009F3C34"/>
    <w:rsid w:val="009F462C"/>
    <w:rsid w:val="009F489D"/>
    <w:rsid w:val="009F5176"/>
    <w:rsid w:val="009F51F9"/>
    <w:rsid w:val="009F5C33"/>
    <w:rsid w:val="009F6796"/>
    <w:rsid w:val="00A0137B"/>
    <w:rsid w:val="00A026F0"/>
    <w:rsid w:val="00A03156"/>
    <w:rsid w:val="00A03EAC"/>
    <w:rsid w:val="00A04094"/>
    <w:rsid w:val="00A0411A"/>
    <w:rsid w:val="00A04628"/>
    <w:rsid w:val="00A048EC"/>
    <w:rsid w:val="00A04DBB"/>
    <w:rsid w:val="00A05340"/>
    <w:rsid w:val="00A0543E"/>
    <w:rsid w:val="00A07A3E"/>
    <w:rsid w:val="00A07EA0"/>
    <w:rsid w:val="00A10F7A"/>
    <w:rsid w:val="00A10FD2"/>
    <w:rsid w:val="00A11CA6"/>
    <w:rsid w:val="00A12671"/>
    <w:rsid w:val="00A153B9"/>
    <w:rsid w:val="00A16917"/>
    <w:rsid w:val="00A20C49"/>
    <w:rsid w:val="00A21FD9"/>
    <w:rsid w:val="00A22932"/>
    <w:rsid w:val="00A24542"/>
    <w:rsid w:val="00A25AE7"/>
    <w:rsid w:val="00A25B85"/>
    <w:rsid w:val="00A269CA"/>
    <w:rsid w:val="00A26C38"/>
    <w:rsid w:val="00A278CE"/>
    <w:rsid w:val="00A27995"/>
    <w:rsid w:val="00A31748"/>
    <w:rsid w:val="00A32348"/>
    <w:rsid w:val="00A33091"/>
    <w:rsid w:val="00A336EE"/>
    <w:rsid w:val="00A33F46"/>
    <w:rsid w:val="00A33FB9"/>
    <w:rsid w:val="00A3427E"/>
    <w:rsid w:val="00A359AC"/>
    <w:rsid w:val="00A36ADF"/>
    <w:rsid w:val="00A36B0C"/>
    <w:rsid w:val="00A402BA"/>
    <w:rsid w:val="00A40D67"/>
    <w:rsid w:val="00A40F83"/>
    <w:rsid w:val="00A410FB"/>
    <w:rsid w:val="00A41413"/>
    <w:rsid w:val="00A41EA2"/>
    <w:rsid w:val="00A4201D"/>
    <w:rsid w:val="00A428FE"/>
    <w:rsid w:val="00A431E6"/>
    <w:rsid w:val="00A436E8"/>
    <w:rsid w:val="00A43B6C"/>
    <w:rsid w:val="00A45FB1"/>
    <w:rsid w:val="00A462B4"/>
    <w:rsid w:val="00A46A0F"/>
    <w:rsid w:val="00A46CCC"/>
    <w:rsid w:val="00A47996"/>
    <w:rsid w:val="00A50342"/>
    <w:rsid w:val="00A51CFE"/>
    <w:rsid w:val="00A5204D"/>
    <w:rsid w:val="00A53109"/>
    <w:rsid w:val="00A536C9"/>
    <w:rsid w:val="00A55065"/>
    <w:rsid w:val="00A553A1"/>
    <w:rsid w:val="00A561E6"/>
    <w:rsid w:val="00A5644D"/>
    <w:rsid w:val="00A568B0"/>
    <w:rsid w:val="00A56E77"/>
    <w:rsid w:val="00A5773D"/>
    <w:rsid w:val="00A57D56"/>
    <w:rsid w:val="00A57D5A"/>
    <w:rsid w:val="00A60370"/>
    <w:rsid w:val="00A60627"/>
    <w:rsid w:val="00A61605"/>
    <w:rsid w:val="00A61A5C"/>
    <w:rsid w:val="00A646F9"/>
    <w:rsid w:val="00A65F97"/>
    <w:rsid w:val="00A676B2"/>
    <w:rsid w:val="00A677D4"/>
    <w:rsid w:val="00A67D10"/>
    <w:rsid w:val="00A7016B"/>
    <w:rsid w:val="00A70C30"/>
    <w:rsid w:val="00A71B63"/>
    <w:rsid w:val="00A73070"/>
    <w:rsid w:val="00A73B04"/>
    <w:rsid w:val="00A73CEB"/>
    <w:rsid w:val="00A7477E"/>
    <w:rsid w:val="00A75C9A"/>
    <w:rsid w:val="00A76C13"/>
    <w:rsid w:val="00A81116"/>
    <w:rsid w:val="00A81F28"/>
    <w:rsid w:val="00A83742"/>
    <w:rsid w:val="00A84FD0"/>
    <w:rsid w:val="00A86919"/>
    <w:rsid w:val="00A86C6A"/>
    <w:rsid w:val="00A872D6"/>
    <w:rsid w:val="00A90444"/>
    <w:rsid w:val="00A9120E"/>
    <w:rsid w:val="00A91772"/>
    <w:rsid w:val="00A924E0"/>
    <w:rsid w:val="00A92643"/>
    <w:rsid w:val="00A92E79"/>
    <w:rsid w:val="00A94AC3"/>
    <w:rsid w:val="00A950B6"/>
    <w:rsid w:val="00A950EB"/>
    <w:rsid w:val="00A95203"/>
    <w:rsid w:val="00A95D45"/>
    <w:rsid w:val="00A96476"/>
    <w:rsid w:val="00A96F36"/>
    <w:rsid w:val="00A978A2"/>
    <w:rsid w:val="00A97DF8"/>
    <w:rsid w:val="00AA30A2"/>
    <w:rsid w:val="00AA3EA8"/>
    <w:rsid w:val="00AA4750"/>
    <w:rsid w:val="00AA7345"/>
    <w:rsid w:val="00AB04B5"/>
    <w:rsid w:val="00AB1D5F"/>
    <w:rsid w:val="00AB227D"/>
    <w:rsid w:val="00AB41C1"/>
    <w:rsid w:val="00AB4CF2"/>
    <w:rsid w:val="00AB5686"/>
    <w:rsid w:val="00AB6CCA"/>
    <w:rsid w:val="00AC223F"/>
    <w:rsid w:val="00AC33B1"/>
    <w:rsid w:val="00AC59AB"/>
    <w:rsid w:val="00AC5E34"/>
    <w:rsid w:val="00AC5F83"/>
    <w:rsid w:val="00AC6F44"/>
    <w:rsid w:val="00AD12A8"/>
    <w:rsid w:val="00AD19E9"/>
    <w:rsid w:val="00AD3EDB"/>
    <w:rsid w:val="00AD6EE6"/>
    <w:rsid w:val="00AD7216"/>
    <w:rsid w:val="00AE023F"/>
    <w:rsid w:val="00AE454F"/>
    <w:rsid w:val="00AE67A7"/>
    <w:rsid w:val="00AE7FF7"/>
    <w:rsid w:val="00AF3577"/>
    <w:rsid w:val="00AF35F9"/>
    <w:rsid w:val="00AF5475"/>
    <w:rsid w:val="00AF5F52"/>
    <w:rsid w:val="00AF7D5A"/>
    <w:rsid w:val="00B00B57"/>
    <w:rsid w:val="00B01BDB"/>
    <w:rsid w:val="00B02313"/>
    <w:rsid w:val="00B034B5"/>
    <w:rsid w:val="00B038C1"/>
    <w:rsid w:val="00B0424C"/>
    <w:rsid w:val="00B05C7D"/>
    <w:rsid w:val="00B06575"/>
    <w:rsid w:val="00B104D1"/>
    <w:rsid w:val="00B12AA4"/>
    <w:rsid w:val="00B13392"/>
    <w:rsid w:val="00B13493"/>
    <w:rsid w:val="00B13D70"/>
    <w:rsid w:val="00B15D57"/>
    <w:rsid w:val="00B16347"/>
    <w:rsid w:val="00B1748F"/>
    <w:rsid w:val="00B17D3F"/>
    <w:rsid w:val="00B17D6E"/>
    <w:rsid w:val="00B20691"/>
    <w:rsid w:val="00B216A9"/>
    <w:rsid w:val="00B23830"/>
    <w:rsid w:val="00B23971"/>
    <w:rsid w:val="00B2435E"/>
    <w:rsid w:val="00B24653"/>
    <w:rsid w:val="00B3038A"/>
    <w:rsid w:val="00B30392"/>
    <w:rsid w:val="00B30FBA"/>
    <w:rsid w:val="00B33203"/>
    <w:rsid w:val="00B3389E"/>
    <w:rsid w:val="00B33B68"/>
    <w:rsid w:val="00B346C3"/>
    <w:rsid w:val="00B34791"/>
    <w:rsid w:val="00B35F44"/>
    <w:rsid w:val="00B36890"/>
    <w:rsid w:val="00B36C64"/>
    <w:rsid w:val="00B40011"/>
    <w:rsid w:val="00B4005C"/>
    <w:rsid w:val="00B4066F"/>
    <w:rsid w:val="00B40AD2"/>
    <w:rsid w:val="00B4227E"/>
    <w:rsid w:val="00B4471C"/>
    <w:rsid w:val="00B44AFF"/>
    <w:rsid w:val="00B451A6"/>
    <w:rsid w:val="00B457AF"/>
    <w:rsid w:val="00B46307"/>
    <w:rsid w:val="00B46A9B"/>
    <w:rsid w:val="00B516B9"/>
    <w:rsid w:val="00B51DAC"/>
    <w:rsid w:val="00B53075"/>
    <w:rsid w:val="00B546D5"/>
    <w:rsid w:val="00B5668E"/>
    <w:rsid w:val="00B56D6E"/>
    <w:rsid w:val="00B60367"/>
    <w:rsid w:val="00B60BC8"/>
    <w:rsid w:val="00B60E95"/>
    <w:rsid w:val="00B63820"/>
    <w:rsid w:val="00B63EAF"/>
    <w:rsid w:val="00B64347"/>
    <w:rsid w:val="00B64E6B"/>
    <w:rsid w:val="00B65DC6"/>
    <w:rsid w:val="00B65E96"/>
    <w:rsid w:val="00B6785C"/>
    <w:rsid w:val="00B67AC2"/>
    <w:rsid w:val="00B70EFD"/>
    <w:rsid w:val="00B71C15"/>
    <w:rsid w:val="00B722DE"/>
    <w:rsid w:val="00B74A11"/>
    <w:rsid w:val="00B751E3"/>
    <w:rsid w:val="00B75BA6"/>
    <w:rsid w:val="00B766C4"/>
    <w:rsid w:val="00B76880"/>
    <w:rsid w:val="00B76C44"/>
    <w:rsid w:val="00B777BC"/>
    <w:rsid w:val="00B77C49"/>
    <w:rsid w:val="00B8184A"/>
    <w:rsid w:val="00B82283"/>
    <w:rsid w:val="00B828D8"/>
    <w:rsid w:val="00B831BC"/>
    <w:rsid w:val="00B83F87"/>
    <w:rsid w:val="00B84ADA"/>
    <w:rsid w:val="00B87CDC"/>
    <w:rsid w:val="00B90A38"/>
    <w:rsid w:val="00B9108B"/>
    <w:rsid w:val="00B910C1"/>
    <w:rsid w:val="00B9143E"/>
    <w:rsid w:val="00B91871"/>
    <w:rsid w:val="00B91DDE"/>
    <w:rsid w:val="00B91FDA"/>
    <w:rsid w:val="00B9356C"/>
    <w:rsid w:val="00B94CB8"/>
    <w:rsid w:val="00B9614B"/>
    <w:rsid w:val="00B96621"/>
    <w:rsid w:val="00BA0656"/>
    <w:rsid w:val="00BA2CA4"/>
    <w:rsid w:val="00BA2EFA"/>
    <w:rsid w:val="00BA3DBC"/>
    <w:rsid w:val="00BA4771"/>
    <w:rsid w:val="00BA5351"/>
    <w:rsid w:val="00BA707A"/>
    <w:rsid w:val="00BB0D27"/>
    <w:rsid w:val="00BB18A0"/>
    <w:rsid w:val="00BB1AFB"/>
    <w:rsid w:val="00BB2310"/>
    <w:rsid w:val="00BB27AE"/>
    <w:rsid w:val="00BB29AC"/>
    <w:rsid w:val="00BB2DA2"/>
    <w:rsid w:val="00BB2E60"/>
    <w:rsid w:val="00BB56DC"/>
    <w:rsid w:val="00BB625A"/>
    <w:rsid w:val="00BC05E5"/>
    <w:rsid w:val="00BC225E"/>
    <w:rsid w:val="00BC2A67"/>
    <w:rsid w:val="00BC2ED0"/>
    <w:rsid w:val="00BC54AD"/>
    <w:rsid w:val="00BC7448"/>
    <w:rsid w:val="00BC746E"/>
    <w:rsid w:val="00BD042A"/>
    <w:rsid w:val="00BD0EFB"/>
    <w:rsid w:val="00BD36C0"/>
    <w:rsid w:val="00BE183D"/>
    <w:rsid w:val="00BE19F2"/>
    <w:rsid w:val="00BE21C3"/>
    <w:rsid w:val="00BE25DF"/>
    <w:rsid w:val="00BE3FE8"/>
    <w:rsid w:val="00BE5242"/>
    <w:rsid w:val="00BE525D"/>
    <w:rsid w:val="00BE5968"/>
    <w:rsid w:val="00BE7AB2"/>
    <w:rsid w:val="00BE7CFA"/>
    <w:rsid w:val="00BF07CB"/>
    <w:rsid w:val="00BF24C2"/>
    <w:rsid w:val="00BF2922"/>
    <w:rsid w:val="00BF42CA"/>
    <w:rsid w:val="00BF5D7A"/>
    <w:rsid w:val="00BF5E91"/>
    <w:rsid w:val="00BF6C5A"/>
    <w:rsid w:val="00BF718F"/>
    <w:rsid w:val="00C00F9C"/>
    <w:rsid w:val="00C01C2E"/>
    <w:rsid w:val="00C025C5"/>
    <w:rsid w:val="00C0263A"/>
    <w:rsid w:val="00C02D33"/>
    <w:rsid w:val="00C04B53"/>
    <w:rsid w:val="00C051B2"/>
    <w:rsid w:val="00C07692"/>
    <w:rsid w:val="00C07C3E"/>
    <w:rsid w:val="00C101DF"/>
    <w:rsid w:val="00C10638"/>
    <w:rsid w:val="00C122DB"/>
    <w:rsid w:val="00C1232C"/>
    <w:rsid w:val="00C12B93"/>
    <w:rsid w:val="00C16BC4"/>
    <w:rsid w:val="00C17F8D"/>
    <w:rsid w:val="00C22278"/>
    <w:rsid w:val="00C22C71"/>
    <w:rsid w:val="00C23084"/>
    <w:rsid w:val="00C23B7A"/>
    <w:rsid w:val="00C23FA3"/>
    <w:rsid w:val="00C24033"/>
    <w:rsid w:val="00C25B40"/>
    <w:rsid w:val="00C262E8"/>
    <w:rsid w:val="00C26797"/>
    <w:rsid w:val="00C267EA"/>
    <w:rsid w:val="00C27101"/>
    <w:rsid w:val="00C27C6B"/>
    <w:rsid w:val="00C300F1"/>
    <w:rsid w:val="00C31354"/>
    <w:rsid w:val="00C31707"/>
    <w:rsid w:val="00C31E95"/>
    <w:rsid w:val="00C339ED"/>
    <w:rsid w:val="00C34EC2"/>
    <w:rsid w:val="00C350F1"/>
    <w:rsid w:val="00C3594D"/>
    <w:rsid w:val="00C36442"/>
    <w:rsid w:val="00C36BD9"/>
    <w:rsid w:val="00C377F5"/>
    <w:rsid w:val="00C400CE"/>
    <w:rsid w:val="00C40BC8"/>
    <w:rsid w:val="00C410FD"/>
    <w:rsid w:val="00C41240"/>
    <w:rsid w:val="00C41698"/>
    <w:rsid w:val="00C41B6B"/>
    <w:rsid w:val="00C42DEC"/>
    <w:rsid w:val="00C44043"/>
    <w:rsid w:val="00C45694"/>
    <w:rsid w:val="00C457DE"/>
    <w:rsid w:val="00C476E8"/>
    <w:rsid w:val="00C47DD3"/>
    <w:rsid w:val="00C51EC0"/>
    <w:rsid w:val="00C51F0B"/>
    <w:rsid w:val="00C5316F"/>
    <w:rsid w:val="00C53509"/>
    <w:rsid w:val="00C53562"/>
    <w:rsid w:val="00C539FB"/>
    <w:rsid w:val="00C53DD8"/>
    <w:rsid w:val="00C53E25"/>
    <w:rsid w:val="00C55182"/>
    <w:rsid w:val="00C55A15"/>
    <w:rsid w:val="00C5645D"/>
    <w:rsid w:val="00C577E1"/>
    <w:rsid w:val="00C57C3D"/>
    <w:rsid w:val="00C6049A"/>
    <w:rsid w:val="00C60BDC"/>
    <w:rsid w:val="00C63B41"/>
    <w:rsid w:val="00C63C6D"/>
    <w:rsid w:val="00C649AA"/>
    <w:rsid w:val="00C64E65"/>
    <w:rsid w:val="00C66AA3"/>
    <w:rsid w:val="00C66E57"/>
    <w:rsid w:val="00C724D7"/>
    <w:rsid w:val="00C732BD"/>
    <w:rsid w:val="00C73E96"/>
    <w:rsid w:val="00C74150"/>
    <w:rsid w:val="00C75594"/>
    <w:rsid w:val="00C75960"/>
    <w:rsid w:val="00C75D43"/>
    <w:rsid w:val="00C75DA0"/>
    <w:rsid w:val="00C77C4B"/>
    <w:rsid w:val="00C80181"/>
    <w:rsid w:val="00C80980"/>
    <w:rsid w:val="00C81458"/>
    <w:rsid w:val="00C81C99"/>
    <w:rsid w:val="00C831C8"/>
    <w:rsid w:val="00C834D6"/>
    <w:rsid w:val="00C85844"/>
    <w:rsid w:val="00C85982"/>
    <w:rsid w:val="00C906A2"/>
    <w:rsid w:val="00C9088A"/>
    <w:rsid w:val="00C91816"/>
    <w:rsid w:val="00C91D32"/>
    <w:rsid w:val="00C92742"/>
    <w:rsid w:val="00C95619"/>
    <w:rsid w:val="00C95A6A"/>
    <w:rsid w:val="00C960FC"/>
    <w:rsid w:val="00CA0466"/>
    <w:rsid w:val="00CA0616"/>
    <w:rsid w:val="00CA094F"/>
    <w:rsid w:val="00CA2411"/>
    <w:rsid w:val="00CA246D"/>
    <w:rsid w:val="00CA50D9"/>
    <w:rsid w:val="00CA590D"/>
    <w:rsid w:val="00CB1CDE"/>
    <w:rsid w:val="00CB1EE8"/>
    <w:rsid w:val="00CB3054"/>
    <w:rsid w:val="00CB48A2"/>
    <w:rsid w:val="00CB5636"/>
    <w:rsid w:val="00CB5F30"/>
    <w:rsid w:val="00CB68B3"/>
    <w:rsid w:val="00CB6FA1"/>
    <w:rsid w:val="00CB7038"/>
    <w:rsid w:val="00CB73D0"/>
    <w:rsid w:val="00CB7650"/>
    <w:rsid w:val="00CB7C62"/>
    <w:rsid w:val="00CC2220"/>
    <w:rsid w:val="00CC240F"/>
    <w:rsid w:val="00CC3EE5"/>
    <w:rsid w:val="00CC6D2E"/>
    <w:rsid w:val="00CC6E47"/>
    <w:rsid w:val="00CC712A"/>
    <w:rsid w:val="00CC7AA9"/>
    <w:rsid w:val="00CC7B39"/>
    <w:rsid w:val="00CC7B6A"/>
    <w:rsid w:val="00CD02C4"/>
    <w:rsid w:val="00CD1346"/>
    <w:rsid w:val="00CD150E"/>
    <w:rsid w:val="00CD15AE"/>
    <w:rsid w:val="00CD1925"/>
    <w:rsid w:val="00CD4019"/>
    <w:rsid w:val="00CD4103"/>
    <w:rsid w:val="00CD50CC"/>
    <w:rsid w:val="00CD604F"/>
    <w:rsid w:val="00CD7B74"/>
    <w:rsid w:val="00CD7E3C"/>
    <w:rsid w:val="00CE0E41"/>
    <w:rsid w:val="00CE0F06"/>
    <w:rsid w:val="00CE425C"/>
    <w:rsid w:val="00CE5768"/>
    <w:rsid w:val="00CE58AC"/>
    <w:rsid w:val="00CE59C3"/>
    <w:rsid w:val="00CE78D8"/>
    <w:rsid w:val="00CF0F62"/>
    <w:rsid w:val="00CF5A80"/>
    <w:rsid w:val="00CF64F7"/>
    <w:rsid w:val="00CF6552"/>
    <w:rsid w:val="00CF6607"/>
    <w:rsid w:val="00CF698B"/>
    <w:rsid w:val="00CF69C1"/>
    <w:rsid w:val="00CF7094"/>
    <w:rsid w:val="00CF70D6"/>
    <w:rsid w:val="00CF7166"/>
    <w:rsid w:val="00CF7302"/>
    <w:rsid w:val="00CF779A"/>
    <w:rsid w:val="00D00F4C"/>
    <w:rsid w:val="00D01C17"/>
    <w:rsid w:val="00D045EE"/>
    <w:rsid w:val="00D05091"/>
    <w:rsid w:val="00D06F00"/>
    <w:rsid w:val="00D10534"/>
    <w:rsid w:val="00D105D4"/>
    <w:rsid w:val="00D10CA6"/>
    <w:rsid w:val="00D10F21"/>
    <w:rsid w:val="00D11B43"/>
    <w:rsid w:val="00D11F76"/>
    <w:rsid w:val="00D134CF"/>
    <w:rsid w:val="00D1573B"/>
    <w:rsid w:val="00D16F67"/>
    <w:rsid w:val="00D20EE6"/>
    <w:rsid w:val="00D2193E"/>
    <w:rsid w:val="00D237C9"/>
    <w:rsid w:val="00D24806"/>
    <w:rsid w:val="00D27042"/>
    <w:rsid w:val="00D31F79"/>
    <w:rsid w:val="00D32060"/>
    <w:rsid w:val="00D34040"/>
    <w:rsid w:val="00D34E69"/>
    <w:rsid w:val="00D36C78"/>
    <w:rsid w:val="00D375EE"/>
    <w:rsid w:val="00D40B74"/>
    <w:rsid w:val="00D420DC"/>
    <w:rsid w:val="00D42401"/>
    <w:rsid w:val="00D429B8"/>
    <w:rsid w:val="00D42DAD"/>
    <w:rsid w:val="00D42FB1"/>
    <w:rsid w:val="00D45084"/>
    <w:rsid w:val="00D45758"/>
    <w:rsid w:val="00D463DF"/>
    <w:rsid w:val="00D4651C"/>
    <w:rsid w:val="00D50648"/>
    <w:rsid w:val="00D51357"/>
    <w:rsid w:val="00D5486A"/>
    <w:rsid w:val="00D54EE0"/>
    <w:rsid w:val="00D55AE8"/>
    <w:rsid w:val="00D55E3B"/>
    <w:rsid w:val="00D56056"/>
    <w:rsid w:val="00D6085F"/>
    <w:rsid w:val="00D62699"/>
    <w:rsid w:val="00D64A81"/>
    <w:rsid w:val="00D651BD"/>
    <w:rsid w:val="00D6581B"/>
    <w:rsid w:val="00D65C5A"/>
    <w:rsid w:val="00D7103C"/>
    <w:rsid w:val="00D71618"/>
    <w:rsid w:val="00D71AAD"/>
    <w:rsid w:val="00D72689"/>
    <w:rsid w:val="00D726FE"/>
    <w:rsid w:val="00D72FB1"/>
    <w:rsid w:val="00D75FB2"/>
    <w:rsid w:val="00D778E9"/>
    <w:rsid w:val="00D8065E"/>
    <w:rsid w:val="00D8105E"/>
    <w:rsid w:val="00D812BF"/>
    <w:rsid w:val="00D820B9"/>
    <w:rsid w:val="00D82620"/>
    <w:rsid w:val="00D82640"/>
    <w:rsid w:val="00D84BFA"/>
    <w:rsid w:val="00D84C5B"/>
    <w:rsid w:val="00D85707"/>
    <w:rsid w:val="00D85F6A"/>
    <w:rsid w:val="00D91460"/>
    <w:rsid w:val="00D91688"/>
    <w:rsid w:val="00D925CB"/>
    <w:rsid w:val="00D93DE6"/>
    <w:rsid w:val="00D946B6"/>
    <w:rsid w:val="00D95C46"/>
    <w:rsid w:val="00D96CAF"/>
    <w:rsid w:val="00D970B7"/>
    <w:rsid w:val="00D9725F"/>
    <w:rsid w:val="00DA01B1"/>
    <w:rsid w:val="00DA1006"/>
    <w:rsid w:val="00DA11A2"/>
    <w:rsid w:val="00DA14ED"/>
    <w:rsid w:val="00DA26D6"/>
    <w:rsid w:val="00DA3368"/>
    <w:rsid w:val="00DA3AA3"/>
    <w:rsid w:val="00DA56F1"/>
    <w:rsid w:val="00DA57CD"/>
    <w:rsid w:val="00DA5F83"/>
    <w:rsid w:val="00DA737B"/>
    <w:rsid w:val="00DB2EF1"/>
    <w:rsid w:val="00DB3D70"/>
    <w:rsid w:val="00DB3DE1"/>
    <w:rsid w:val="00DB433E"/>
    <w:rsid w:val="00DB4E76"/>
    <w:rsid w:val="00DB5DA0"/>
    <w:rsid w:val="00DB6672"/>
    <w:rsid w:val="00DB6D1D"/>
    <w:rsid w:val="00DB716C"/>
    <w:rsid w:val="00DB788E"/>
    <w:rsid w:val="00DC254D"/>
    <w:rsid w:val="00DC3CBC"/>
    <w:rsid w:val="00DC5C85"/>
    <w:rsid w:val="00DC6195"/>
    <w:rsid w:val="00DC7C5D"/>
    <w:rsid w:val="00DD01E3"/>
    <w:rsid w:val="00DD085D"/>
    <w:rsid w:val="00DD1F4D"/>
    <w:rsid w:val="00DD31FF"/>
    <w:rsid w:val="00DD4236"/>
    <w:rsid w:val="00DD44F1"/>
    <w:rsid w:val="00DD5AF3"/>
    <w:rsid w:val="00DD65FF"/>
    <w:rsid w:val="00DD6931"/>
    <w:rsid w:val="00DD6957"/>
    <w:rsid w:val="00DD6E7A"/>
    <w:rsid w:val="00DD74E5"/>
    <w:rsid w:val="00DD7B8A"/>
    <w:rsid w:val="00DE060F"/>
    <w:rsid w:val="00DE1618"/>
    <w:rsid w:val="00DE3067"/>
    <w:rsid w:val="00DE394E"/>
    <w:rsid w:val="00DE468E"/>
    <w:rsid w:val="00DE51A0"/>
    <w:rsid w:val="00DE6DAE"/>
    <w:rsid w:val="00DF0BBD"/>
    <w:rsid w:val="00DF3EEE"/>
    <w:rsid w:val="00DF5069"/>
    <w:rsid w:val="00DF6FDE"/>
    <w:rsid w:val="00DF74D9"/>
    <w:rsid w:val="00DF75E1"/>
    <w:rsid w:val="00E027BC"/>
    <w:rsid w:val="00E02E52"/>
    <w:rsid w:val="00E04071"/>
    <w:rsid w:val="00E045BE"/>
    <w:rsid w:val="00E10A30"/>
    <w:rsid w:val="00E10F0D"/>
    <w:rsid w:val="00E12970"/>
    <w:rsid w:val="00E14615"/>
    <w:rsid w:val="00E14BD1"/>
    <w:rsid w:val="00E14EA5"/>
    <w:rsid w:val="00E2070E"/>
    <w:rsid w:val="00E20B64"/>
    <w:rsid w:val="00E21133"/>
    <w:rsid w:val="00E21A17"/>
    <w:rsid w:val="00E2327E"/>
    <w:rsid w:val="00E23577"/>
    <w:rsid w:val="00E236CE"/>
    <w:rsid w:val="00E24247"/>
    <w:rsid w:val="00E24FAF"/>
    <w:rsid w:val="00E266EF"/>
    <w:rsid w:val="00E269C3"/>
    <w:rsid w:val="00E26B26"/>
    <w:rsid w:val="00E26D53"/>
    <w:rsid w:val="00E305A7"/>
    <w:rsid w:val="00E31C79"/>
    <w:rsid w:val="00E326A8"/>
    <w:rsid w:val="00E330D2"/>
    <w:rsid w:val="00E335AF"/>
    <w:rsid w:val="00E34F09"/>
    <w:rsid w:val="00E37704"/>
    <w:rsid w:val="00E431A0"/>
    <w:rsid w:val="00E431E7"/>
    <w:rsid w:val="00E436DD"/>
    <w:rsid w:val="00E43B39"/>
    <w:rsid w:val="00E44DA7"/>
    <w:rsid w:val="00E44E94"/>
    <w:rsid w:val="00E456CE"/>
    <w:rsid w:val="00E461F2"/>
    <w:rsid w:val="00E4661D"/>
    <w:rsid w:val="00E47428"/>
    <w:rsid w:val="00E4748A"/>
    <w:rsid w:val="00E56C8E"/>
    <w:rsid w:val="00E5716B"/>
    <w:rsid w:val="00E57E72"/>
    <w:rsid w:val="00E57F1F"/>
    <w:rsid w:val="00E620D8"/>
    <w:rsid w:val="00E62822"/>
    <w:rsid w:val="00E62FAA"/>
    <w:rsid w:val="00E6338A"/>
    <w:rsid w:val="00E63505"/>
    <w:rsid w:val="00E650EB"/>
    <w:rsid w:val="00E66920"/>
    <w:rsid w:val="00E66B9F"/>
    <w:rsid w:val="00E677DF"/>
    <w:rsid w:val="00E67A82"/>
    <w:rsid w:val="00E67BE4"/>
    <w:rsid w:val="00E70A6A"/>
    <w:rsid w:val="00E70B1F"/>
    <w:rsid w:val="00E710D6"/>
    <w:rsid w:val="00E71147"/>
    <w:rsid w:val="00E711A0"/>
    <w:rsid w:val="00E71437"/>
    <w:rsid w:val="00E719BF"/>
    <w:rsid w:val="00E73C7B"/>
    <w:rsid w:val="00E73DA4"/>
    <w:rsid w:val="00E74082"/>
    <w:rsid w:val="00E751B0"/>
    <w:rsid w:val="00E766BB"/>
    <w:rsid w:val="00E76E21"/>
    <w:rsid w:val="00E76E45"/>
    <w:rsid w:val="00E777C9"/>
    <w:rsid w:val="00E802C4"/>
    <w:rsid w:val="00E80461"/>
    <w:rsid w:val="00E81333"/>
    <w:rsid w:val="00E817CE"/>
    <w:rsid w:val="00E81825"/>
    <w:rsid w:val="00E81DA6"/>
    <w:rsid w:val="00E83A9D"/>
    <w:rsid w:val="00E84212"/>
    <w:rsid w:val="00E852F4"/>
    <w:rsid w:val="00E85A00"/>
    <w:rsid w:val="00E85CA0"/>
    <w:rsid w:val="00E904ED"/>
    <w:rsid w:val="00E9086C"/>
    <w:rsid w:val="00E90AAA"/>
    <w:rsid w:val="00E9139F"/>
    <w:rsid w:val="00E91A0F"/>
    <w:rsid w:val="00E92351"/>
    <w:rsid w:val="00E92DD3"/>
    <w:rsid w:val="00E9323A"/>
    <w:rsid w:val="00E941A2"/>
    <w:rsid w:val="00E94A71"/>
    <w:rsid w:val="00E94CBF"/>
    <w:rsid w:val="00E94DC0"/>
    <w:rsid w:val="00E959B9"/>
    <w:rsid w:val="00E95C71"/>
    <w:rsid w:val="00E96A1D"/>
    <w:rsid w:val="00E97387"/>
    <w:rsid w:val="00E97522"/>
    <w:rsid w:val="00EA03CE"/>
    <w:rsid w:val="00EA23E5"/>
    <w:rsid w:val="00EA2876"/>
    <w:rsid w:val="00EA3855"/>
    <w:rsid w:val="00EA4E2E"/>
    <w:rsid w:val="00EA5549"/>
    <w:rsid w:val="00EA6AA4"/>
    <w:rsid w:val="00EA76F9"/>
    <w:rsid w:val="00EB19EF"/>
    <w:rsid w:val="00EB2417"/>
    <w:rsid w:val="00EB2CCB"/>
    <w:rsid w:val="00EB6BBC"/>
    <w:rsid w:val="00EB7A25"/>
    <w:rsid w:val="00EC05D6"/>
    <w:rsid w:val="00EC0F3E"/>
    <w:rsid w:val="00EC1BB1"/>
    <w:rsid w:val="00EC2980"/>
    <w:rsid w:val="00EC3676"/>
    <w:rsid w:val="00EC3A6A"/>
    <w:rsid w:val="00EC4431"/>
    <w:rsid w:val="00EC57A7"/>
    <w:rsid w:val="00EC62FB"/>
    <w:rsid w:val="00ED0817"/>
    <w:rsid w:val="00ED2672"/>
    <w:rsid w:val="00ED2C6C"/>
    <w:rsid w:val="00ED3AAA"/>
    <w:rsid w:val="00ED3BC8"/>
    <w:rsid w:val="00ED4A43"/>
    <w:rsid w:val="00ED4FC3"/>
    <w:rsid w:val="00ED5B6D"/>
    <w:rsid w:val="00ED789A"/>
    <w:rsid w:val="00ED7C27"/>
    <w:rsid w:val="00ED7DD9"/>
    <w:rsid w:val="00EE13A6"/>
    <w:rsid w:val="00EE3A33"/>
    <w:rsid w:val="00EE3E70"/>
    <w:rsid w:val="00EE440E"/>
    <w:rsid w:val="00EE445B"/>
    <w:rsid w:val="00EE4AC8"/>
    <w:rsid w:val="00EF1443"/>
    <w:rsid w:val="00EF15FC"/>
    <w:rsid w:val="00EF18B3"/>
    <w:rsid w:val="00EF2128"/>
    <w:rsid w:val="00EF3113"/>
    <w:rsid w:val="00EF3173"/>
    <w:rsid w:val="00EF3F84"/>
    <w:rsid w:val="00EF72A2"/>
    <w:rsid w:val="00F00C4C"/>
    <w:rsid w:val="00F00D85"/>
    <w:rsid w:val="00F039EE"/>
    <w:rsid w:val="00F05472"/>
    <w:rsid w:val="00F10CDE"/>
    <w:rsid w:val="00F10F06"/>
    <w:rsid w:val="00F111E3"/>
    <w:rsid w:val="00F12B15"/>
    <w:rsid w:val="00F14242"/>
    <w:rsid w:val="00F14A78"/>
    <w:rsid w:val="00F176AC"/>
    <w:rsid w:val="00F17EDE"/>
    <w:rsid w:val="00F20905"/>
    <w:rsid w:val="00F25172"/>
    <w:rsid w:val="00F25B1E"/>
    <w:rsid w:val="00F26F28"/>
    <w:rsid w:val="00F271C5"/>
    <w:rsid w:val="00F27714"/>
    <w:rsid w:val="00F27D74"/>
    <w:rsid w:val="00F27F1A"/>
    <w:rsid w:val="00F301DE"/>
    <w:rsid w:val="00F30658"/>
    <w:rsid w:val="00F307F1"/>
    <w:rsid w:val="00F30D68"/>
    <w:rsid w:val="00F314AC"/>
    <w:rsid w:val="00F31555"/>
    <w:rsid w:val="00F3276E"/>
    <w:rsid w:val="00F333FD"/>
    <w:rsid w:val="00F33B04"/>
    <w:rsid w:val="00F33C05"/>
    <w:rsid w:val="00F33D3C"/>
    <w:rsid w:val="00F375BB"/>
    <w:rsid w:val="00F37A91"/>
    <w:rsid w:val="00F37B7E"/>
    <w:rsid w:val="00F37BAD"/>
    <w:rsid w:val="00F401C3"/>
    <w:rsid w:val="00F408A0"/>
    <w:rsid w:val="00F418BF"/>
    <w:rsid w:val="00F421D6"/>
    <w:rsid w:val="00F427DE"/>
    <w:rsid w:val="00F42A83"/>
    <w:rsid w:val="00F43456"/>
    <w:rsid w:val="00F43B1B"/>
    <w:rsid w:val="00F43DD0"/>
    <w:rsid w:val="00F44F87"/>
    <w:rsid w:val="00F45005"/>
    <w:rsid w:val="00F450A0"/>
    <w:rsid w:val="00F45CF5"/>
    <w:rsid w:val="00F46CDE"/>
    <w:rsid w:val="00F46F68"/>
    <w:rsid w:val="00F4711B"/>
    <w:rsid w:val="00F47C55"/>
    <w:rsid w:val="00F47DB0"/>
    <w:rsid w:val="00F504C4"/>
    <w:rsid w:val="00F50738"/>
    <w:rsid w:val="00F50AE0"/>
    <w:rsid w:val="00F50C3F"/>
    <w:rsid w:val="00F50DF3"/>
    <w:rsid w:val="00F50E34"/>
    <w:rsid w:val="00F51352"/>
    <w:rsid w:val="00F51932"/>
    <w:rsid w:val="00F51AFB"/>
    <w:rsid w:val="00F5263A"/>
    <w:rsid w:val="00F53EF7"/>
    <w:rsid w:val="00F54BF2"/>
    <w:rsid w:val="00F553C0"/>
    <w:rsid w:val="00F56201"/>
    <w:rsid w:val="00F56A43"/>
    <w:rsid w:val="00F6021C"/>
    <w:rsid w:val="00F613FF"/>
    <w:rsid w:val="00F62172"/>
    <w:rsid w:val="00F62AAD"/>
    <w:rsid w:val="00F6312D"/>
    <w:rsid w:val="00F70C29"/>
    <w:rsid w:val="00F73077"/>
    <w:rsid w:val="00F75CAA"/>
    <w:rsid w:val="00F775AC"/>
    <w:rsid w:val="00F7768C"/>
    <w:rsid w:val="00F805C2"/>
    <w:rsid w:val="00F80A31"/>
    <w:rsid w:val="00F8141A"/>
    <w:rsid w:val="00F84619"/>
    <w:rsid w:val="00F84671"/>
    <w:rsid w:val="00F8792F"/>
    <w:rsid w:val="00F9127B"/>
    <w:rsid w:val="00F92124"/>
    <w:rsid w:val="00F9214D"/>
    <w:rsid w:val="00F92355"/>
    <w:rsid w:val="00F926CD"/>
    <w:rsid w:val="00F93963"/>
    <w:rsid w:val="00F93C56"/>
    <w:rsid w:val="00F94291"/>
    <w:rsid w:val="00F94412"/>
    <w:rsid w:val="00F9679A"/>
    <w:rsid w:val="00FA0D2D"/>
    <w:rsid w:val="00FA1386"/>
    <w:rsid w:val="00FA19AC"/>
    <w:rsid w:val="00FA249E"/>
    <w:rsid w:val="00FA298A"/>
    <w:rsid w:val="00FA2FDB"/>
    <w:rsid w:val="00FA3651"/>
    <w:rsid w:val="00FA42E4"/>
    <w:rsid w:val="00FA46A0"/>
    <w:rsid w:val="00FA4A23"/>
    <w:rsid w:val="00FA5B66"/>
    <w:rsid w:val="00FA6113"/>
    <w:rsid w:val="00FA6A8A"/>
    <w:rsid w:val="00FA7E83"/>
    <w:rsid w:val="00FB02C4"/>
    <w:rsid w:val="00FB0493"/>
    <w:rsid w:val="00FB065A"/>
    <w:rsid w:val="00FB0B9C"/>
    <w:rsid w:val="00FB0F11"/>
    <w:rsid w:val="00FB30EB"/>
    <w:rsid w:val="00FB32DB"/>
    <w:rsid w:val="00FB456D"/>
    <w:rsid w:val="00FB7982"/>
    <w:rsid w:val="00FC0096"/>
    <w:rsid w:val="00FC0734"/>
    <w:rsid w:val="00FC093E"/>
    <w:rsid w:val="00FC0FC5"/>
    <w:rsid w:val="00FC2861"/>
    <w:rsid w:val="00FC33E2"/>
    <w:rsid w:val="00FC359E"/>
    <w:rsid w:val="00FC41D0"/>
    <w:rsid w:val="00FC588F"/>
    <w:rsid w:val="00FC686A"/>
    <w:rsid w:val="00FC6879"/>
    <w:rsid w:val="00FC746F"/>
    <w:rsid w:val="00FC7F34"/>
    <w:rsid w:val="00FD0581"/>
    <w:rsid w:val="00FD0F7B"/>
    <w:rsid w:val="00FD154E"/>
    <w:rsid w:val="00FD2D68"/>
    <w:rsid w:val="00FD3D4F"/>
    <w:rsid w:val="00FD4066"/>
    <w:rsid w:val="00FD43C2"/>
    <w:rsid w:val="00FD50C6"/>
    <w:rsid w:val="00FD57CC"/>
    <w:rsid w:val="00FD59C0"/>
    <w:rsid w:val="00FE0847"/>
    <w:rsid w:val="00FE121B"/>
    <w:rsid w:val="00FE1228"/>
    <w:rsid w:val="00FE1B30"/>
    <w:rsid w:val="00FE2AB5"/>
    <w:rsid w:val="00FE3ADD"/>
    <w:rsid w:val="00FE4266"/>
    <w:rsid w:val="00FE6E9F"/>
    <w:rsid w:val="00FE7375"/>
    <w:rsid w:val="00FE7377"/>
    <w:rsid w:val="00FE7B44"/>
    <w:rsid w:val="00FF02BE"/>
    <w:rsid w:val="00FF1947"/>
    <w:rsid w:val="00FF2F6A"/>
    <w:rsid w:val="00FF30A6"/>
    <w:rsid w:val="00FF58C4"/>
    <w:rsid w:val="00FF5DC7"/>
    <w:rsid w:val="00FF600E"/>
    <w:rsid w:val="00FF62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4:docId w14:val="7E566338"/>
  <w15:docId w15:val="{22BF809C-A74E-42B9-81C4-3F329340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AU" w:eastAsia="en-AU"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65E0"/>
    <w:pPr>
      <w:spacing w:line="360" w:lineRule="auto"/>
      <w:jc w:val="both"/>
    </w:pPr>
    <w:rPr>
      <w:sz w:val="24"/>
      <w:lang w:eastAsia="en-US"/>
    </w:rPr>
  </w:style>
  <w:style w:type="paragraph" w:styleId="Heading1">
    <w:name w:val="heading 1"/>
    <w:basedOn w:val="Normal"/>
    <w:next w:val="ParaNumbering"/>
    <w:qFormat/>
    <w:pPr>
      <w:keepNext/>
      <w:spacing w:before="240" w:after="60" w:line="240" w:lineRule="auto"/>
      <w:outlineLvl w:val="0"/>
    </w:pPr>
    <w:rPr>
      <w:b/>
      <w:caps/>
      <w:kern w:val="28"/>
    </w:rPr>
  </w:style>
  <w:style w:type="paragraph" w:styleId="Heading2">
    <w:name w:val="heading 2"/>
    <w:basedOn w:val="Normal"/>
    <w:next w:val="ParaNumbering"/>
    <w:qFormat/>
    <w:pPr>
      <w:keepNext/>
      <w:spacing w:before="240" w:after="60" w:line="240" w:lineRule="auto"/>
      <w:outlineLvl w:val="1"/>
    </w:pPr>
    <w:rPr>
      <w:b/>
      <w:szCs w:val="24"/>
    </w:rPr>
  </w:style>
  <w:style w:type="paragraph" w:styleId="Heading3">
    <w:name w:val="heading 3"/>
    <w:basedOn w:val="Normal"/>
    <w:next w:val="ParaNumbering"/>
    <w:qFormat/>
    <w:pPr>
      <w:keepNext/>
      <w:spacing w:before="240" w:after="60" w:line="240" w:lineRule="auto"/>
      <w:outlineLvl w:val="2"/>
    </w:pPr>
    <w:rPr>
      <w:b/>
      <w:i/>
    </w:rPr>
  </w:style>
  <w:style w:type="paragraph" w:styleId="Heading4">
    <w:name w:val="heading 4"/>
    <w:basedOn w:val="Normal"/>
    <w:next w:val="ParaNumbering"/>
    <w:qFormat/>
    <w:rsid w:val="009F5C33"/>
    <w:pPr>
      <w:keepNext/>
      <w:spacing w:before="240" w:after="60" w:line="240" w:lineRule="auto"/>
      <w:jc w:val="left"/>
      <w:outlineLvl w:val="3"/>
    </w:pPr>
    <w:rPr>
      <w:i/>
      <w:szCs w:val="24"/>
    </w:rPr>
  </w:style>
  <w:style w:type="paragraph" w:styleId="Heading5">
    <w:name w:val="heading 5"/>
    <w:basedOn w:val="fcHeading1"/>
    <w:next w:val="ParaNumbering"/>
    <w:qFormat/>
    <w:rsid w:val="000E7BAE"/>
    <w:pPr>
      <w:outlineLvl w:val="4"/>
    </w:pPr>
    <w:rPr>
      <w:caps w:val="0"/>
    </w:rPr>
  </w:style>
  <w:style w:type="paragraph" w:styleId="Heading6">
    <w:name w:val="heading 6"/>
    <w:basedOn w:val="fcHeading2"/>
    <w:next w:val="ParaNumbering"/>
    <w:qFormat/>
    <w:pPr>
      <w:outlineLvl w:val="5"/>
    </w:pPr>
  </w:style>
  <w:style w:type="paragraph" w:styleId="Heading7">
    <w:name w:val="heading 7"/>
    <w:basedOn w:val="fcHeading3"/>
    <w:next w:val="ParaNumbering"/>
    <w:qFormat/>
    <w:rsid w:val="00635B36"/>
    <w:pPr>
      <w:outlineLvl w:val="6"/>
    </w:pPr>
    <w:rPr>
      <w:i w:val="0"/>
    </w:rPr>
  </w:style>
  <w:style w:type="paragraph" w:styleId="Heading8">
    <w:name w:val="heading 8"/>
    <w:basedOn w:val="fcHeading4"/>
    <w:next w:val="ParaNumbering"/>
    <w:rsid w:val="00635B36"/>
    <w:pPr>
      <w:outlineLvl w:val="7"/>
    </w:pPr>
    <w:rPr>
      <w:smallCaps w:val="0"/>
    </w:rPr>
  </w:style>
  <w:style w:type="paragraph" w:styleId="Heading9">
    <w:name w:val="heading 9"/>
    <w:basedOn w:val="fcHeading5"/>
    <w:next w:val="ParaNumbering"/>
    <w:rsid w:val="00635B36"/>
    <w:pPr>
      <w:outlineLvl w:val="8"/>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sPage">
    <w:name w:val="OrdersPage"/>
    <w:basedOn w:val="Normal"/>
    <w:semiHidden/>
    <w:pPr>
      <w:spacing w:line="240" w:lineRule="auto"/>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ParaNumbering">
    <w:name w:val="ParaNumbering"/>
    <w:basedOn w:val="Normal"/>
    <w:rsid w:val="00967855"/>
    <w:pPr>
      <w:numPr>
        <w:numId w:val="1"/>
      </w:numPr>
      <w:tabs>
        <w:tab w:val="clear" w:pos="720"/>
      </w:tabs>
      <w:spacing w:before="180" w:after="180"/>
    </w:pPr>
  </w:style>
  <w:style w:type="paragraph" w:customStyle="1" w:styleId="Quote1">
    <w:name w:val="Quote1"/>
    <w:rsid w:val="00960ECB"/>
    <w:pPr>
      <w:widowControl w:val="0"/>
      <w:spacing w:after="180"/>
      <w:ind w:left="737" w:right="737"/>
      <w:jc w:val="both"/>
    </w:pPr>
    <w:rPr>
      <w:sz w:val="22"/>
      <w:lang w:eastAsia="en-US"/>
    </w:rPr>
  </w:style>
  <w:style w:type="paragraph" w:customStyle="1" w:styleId="NormalHeadings">
    <w:name w:val="Normal Headings"/>
    <w:link w:val="NormalHeadingsChar"/>
    <w:pPr>
      <w:widowControl w:val="0"/>
      <w:jc w:val="both"/>
    </w:pPr>
    <w:rPr>
      <w:b/>
      <w:sz w:val="24"/>
      <w:lang w:eastAsia="en-US"/>
    </w:rPr>
  </w:style>
  <w:style w:type="table" w:styleId="TableGrid">
    <w:name w:val="Table Grid"/>
    <w:basedOn w:val="TableNormal"/>
    <w:semiHidden/>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aNeutralStyle">
    <w:name w:val="Media Neutral Style"/>
    <w:basedOn w:val="Normal"/>
    <w:next w:val="Normal1linespace"/>
    <w:semiHidden/>
    <w:pPr>
      <w:spacing w:before="20" w:after="20"/>
      <w:jc w:val="center"/>
    </w:pPr>
    <w:rPr>
      <w:b/>
      <w:sz w:val="26"/>
    </w:rPr>
  </w:style>
  <w:style w:type="paragraph" w:customStyle="1" w:styleId="Normal1linespace">
    <w:name w:val="Normal1linespace"/>
    <w:basedOn w:val="Normal"/>
    <w:pPr>
      <w:spacing w:line="240" w:lineRule="auto"/>
    </w:pPr>
  </w:style>
  <w:style w:type="paragraph" w:styleId="BalloonText">
    <w:name w:val="Balloon Text"/>
    <w:basedOn w:val="Normal"/>
    <w:semiHidden/>
    <w:rPr>
      <w:rFonts w:ascii="Tahoma" w:hAnsi="Tahoma" w:cs="Tahoma"/>
      <w:sz w:val="16"/>
      <w:szCs w:val="16"/>
    </w:rPr>
  </w:style>
  <w:style w:type="paragraph" w:customStyle="1" w:styleId="StyleBold">
    <w:name w:val="Style Bold"/>
    <w:basedOn w:val="Normal"/>
    <w:next w:val="BodyText"/>
    <w:semiHidden/>
    <w:rPr>
      <w:szCs w:val="24"/>
    </w:rPr>
  </w:style>
  <w:style w:type="paragraph" w:customStyle="1" w:styleId="Bold">
    <w:name w:val="Bold"/>
    <w:basedOn w:val="Normal"/>
    <w:next w:val="Normal"/>
    <w:semiHidden/>
    <w:pPr>
      <w:suppressAutoHyphens/>
      <w:jc w:val="left"/>
    </w:pPr>
    <w:rPr>
      <w:b/>
      <w:szCs w:val="24"/>
    </w:rPr>
  </w:style>
  <w:style w:type="paragraph" w:customStyle="1" w:styleId="Certify">
    <w:name w:val="Certify"/>
    <w:basedOn w:val="Normal"/>
    <w:link w:val="CertifyChar"/>
    <w:semiHidden/>
    <w:pPr>
      <w:spacing w:line="240" w:lineRule="auto"/>
    </w:pPr>
    <w:rPr>
      <w:szCs w:val="24"/>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FCBullets">
    <w:name w:val="FCBullets"/>
    <w:basedOn w:val="Normal"/>
    <w:rsid w:val="001C2FE0"/>
    <w:pPr>
      <w:numPr>
        <w:numId w:val="25"/>
      </w:numPr>
      <w:spacing w:before="60" w:after="60"/>
    </w:pPr>
  </w:style>
  <w:style w:type="paragraph" w:customStyle="1" w:styleId="JudgeStyle">
    <w:name w:val="JudgeStyle"/>
    <w:basedOn w:val="Heading1"/>
    <w:next w:val="ParaNumbering"/>
    <w:semiHidden/>
  </w:style>
  <w:style w:type="paragraph" w:styleId="TOC1">
    <w:name w:val="toc 1"/>
    <w:basedOn w:val="Normal"/>
    <w:next w:val="Normal"/>
    <w:autoRedefine/>
    <w:semiHidden/>
    <w:pPr>
      <w:tabs>
        <w:tab w:val="right" w:leader="dot" w:pos="9071"/>
      </w:tabs>
    </w:pPr>
  </w:style>
  <w:style w:type="paragraph" w:styleId="TOC2">
    <w:name w:val="toc 2"/>
    <w:basedOn w:val="Normal"/>
    <w:next w:val="Normal"/>
    <w:autoRedefine/>
    <w:semiHidden/>
    <w:pPr>
      <w:tabs>
        <w:tab w:val="right" w:leader="dot" w:pos="9071"/>
      </w:tabs>
      <w:ind w:left="240"/>
    </w:pPr>
  </w:style>
  <w:style w:type="paragraph" w:styleId="TOC3">
    <w:name w:val="toc 3"/>
    <w:basedOn w:val="Normal"/>
    <w:next w:val="Normal"/>
    <w:autoRedefine/>
    <w:semiHidden/>
    <w:pPr>
      <w:tabs>
        <w:tab w:val="right" w:leader="dot" w:pos="9071"/>
      </w:tabs>
      <w:ind w:left="480"/>
    </w:pPr>
  </w:style>
  <w:style w:type="paragraph" w:styleId="TOC4">
    <w:name w:val="toc 4"/>
    <w:basedOn w:val="Normal"/>
    <w:next w:val="Normal"/>
    <w:autoRedefine/>
    <w:semiHidden/>
    <w:pPr>
      <w:tabs>
        <w:tab w:val="right" w:leader="dot" w:pos="9071"/>
      </w:tabs>
      <w:ind w:left="720"/>
    </w:pPr>
  </w:style>
  <w:style w:type="paragraph" w:customStyle="1" w:styleId="NoNum">
    <w:name w:val="No Num"/>
    <w:basedOn w:val="Normal1linespace"/>
    <w:pPr>
      <w:spacing w:before="120" w:after="180" w:line="360" w:lineRule="auto"/>
    </w:pPr>
  </w:style>
  <w:style w:type="paragraph" w:customStyle="1" w:styleId="AppealTable">
    <w:name w:val="AppealTable"/>
    <w:basedOn w:val="Normal"/>
    <w:unhideWhenUsed/>
    <w:pPr>
      <w:spacing w:line="240" w:lineRule="auto"/>
      <w:jc w:val="left"/>
    </w:pPr>
    <w:rPr>
      <w:b/>
      <w:caps/>
      <w:sz w:val="22"/>
      <w:szCs w:val="22"/>
    </w:rPr>
  </w:style>
  <w:style w:type="paragraph" w:customStyle="1" w:styleId="Quote3">
    <w:name w:val="Quote3"/>
    <w:basedOn w:val="Quote1"/>
    <w:pPr>
      <w:ind w:left="2160"/>
    </w:pPr>
  </w:style>
  <w:style w:type="paragraph" w:customStyle="1" w:styleId="Quote2">
    <w:name w:val="Quote2"/>
    <w:basedOn w:val="Quote1"/>
    <w:pPr>
      <w:ind w:left="1440"/>
    </w:pPr>
  </w:style>
  <w:style w:type="paragraph" w:customStyle="1" w:styleId="FTOC1">
    <w:name w:val="FTOC 1"/>
    <w:basedOn w:val="Normal"/>
    <w:semiHidden/>
    <w:rsid w:val="00681ADF"/>
    <w:pPr>
      <w:tabs>
        <w:tab w:val="right" w:leader="dot" w:pos="9072"/>
      </w:tabs>
      <w:spacing w:before="120" w:after="60" w:line="240" w:lineRule="auto"/>
      <w:jc w:val="left"/>
    </w:pPr>
    <w:rPr>
      <w:b/>
      <w:caps/>
      <w:kern w:val="28"/>
    </w:rPr>
  </w:style>
  <w:style w:type="paragraph" w:customStyle="1" w:styleId="ListNo1">
    <w:name w:val="List No 1"/>
    <w:basedOn w:val="Normal"/>
    <w:rsid w:val="0052098C"/>
    <w:pPr>
      <w:numPr>
        <w:numId w:val="22"/>
      </w:numPr>
      <w:spacing w:before="60" w:after="60"/>
    </w:pPr>
  </w:style>
  <w:style w:type="paragraph" w:customStyle="1" w:styleId="FTOC2">
    <w:name w:val="FTOC 2"/>
    <w:basedOn w:val="Normal"/>
    <w:semiHidden/>
    <w:rsid w:val="00681ADF"/>
    <w:pPr>
      <w:tabs>
        <w:tab w:val="right" w:leader="dot" w:pos="9072"/>
      </w:tabs>
      <w:spacing w:before="120" w:after="60" w:line="240" w:lineRule="auto"/>
      <w:ind w:left="238"/>
      <w:jc w:val="left"/>
    </w:pPr>
    <w:rPr>
      <w:b/>
    </w:rPr>
  </w:style>
  <w:style w:type="paragraph" w:customStyle="1" w:styleId="FTOC3">
    <w:name w:val="FTOC 3"/>
    <w:basedOn w:val="Normal"/>
    <w:semiHidden/>
    <w:rsid w:val="00681ADF"/>
    <w:pPr>
      <w:tabs>
        <w:tab w:val="right" w:leader="dot" w:pos="9072"/>
      </w:tabs>
      <w:spacing w:before="120" w:after="60" w:line="240" w:lineRule="auto"/>
      <w:ind w:left="482"/>
      <w:jc w:val="left"/>
    </w:pPr>
    <w:rPr>
      <w:b/>
      <w:i/>
    </w:rPr>
  </w:style>
  <w:style w:type="paragraph" w:customStyle="1" w:styleId="FTOC4">
    <w:name w:val="FTOC 4"/>
    <w:basedOn w:val="Normal"/>
    <w:semiHidden/>
    <w:rsid w:val="00681ADF"/>
    <w:pPr>
      <w:tabs>
        <w:tab w:val="right" w:leader="dot" w:pos="9072"/>
      </w:tabs>
      <w:spacing w:before="120" w:after="60" w:line="240" w:lineRule="auto"/>
      <w:ind w:left="720"/>
      <w:jc w:val="left"/>
    </w:pPr>
    <w:rPr>
      <w:i/>
    </w:rPr>
  </w:style>
  <w:style w:type="paragraph" w:styleId="TOC5">
    <w:name w:val="toc 5"/>
    <w:basedOn w:val="Normal"/>
    <w:next w:val="Normal"/>
    <w:autoRedefine/>
    <w:semiHidden/>
    <w:pPr>
      <w:tabs>
        <w:tab w:val="right" w:leader="dot" w:pos="9072"/>
      </w:tabs>
      <w:ind w:left="960"/>
    </w:pPr>
  </w:style>
  <w:style w:type="numbering" w:styleId="111111">
    <w:name w:val="Outline List 2"/>
    <w:basedOn w:val="NoList"/>
    <w:semiHidden/>
    <w:pPr>
      <w:numPr>
        <w:numId w:val="12"/>
      </w:numPr>
    </w:pPr>
  </w:style>
  <w:style w:type="numbering" w:styleId="1ai">
    <w:name w:val="Outline List 1"/>
    <w:basedOn w:val="NoList"/>
    <w:semiHidden/>
    <w:pPr>
      <w:numPr>
        <w:numId w:val="13"/>
      </w:numPr>
    </w:pPr>
  </w:style>
  <w:style w:type="numbering" w:styleId="ArticleSection">
    <w:name w:val="Outline List 3"/>
    <w:basedOn w:val="NoList"/>
    <w:semiHidden/>
    <w:pPr>
      <w:numPr>
        <w:numId w:val="14"/>
      </w:numPr>
    </w:pPr>
  </w:style>
  <w:style w:type="paragraph" w:styleId="BodyText">
    <w:name w:val="Body Text"/>
    <w:basedOn w:val="Normal"/>
    <w:link w:val="BodyTextChar"/>
    <w:qFormat/>
    <w:rsid w:val="002B0E91"/>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semiHidden/>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2"/>
      </w:numPr>
    </w:pPr>
  </w:style>
  <w:style w:type="paragraph" w:styleId="ListBullet2">
    <w:name w:val="List Bullet 2"/>
    <w:basedOn w:val="Normal"/>
    <w:semiHidden/>
    <w:pPr>
      <w:numPr>
        <w:numId w:val="3"/>
      </w:numPr>
    </w:pPr>
  </w:style>
  <w:style w:type="paragraph" w:styleId="ListBullet3">
    <w:name w:val="List Bullet 3"/>
    <w:basedOn w:val="Normal"/>
    <w:semiHidden/>
    <w:pPr>
      <w:numPr>
        <w:numId w:val="4"/>
      </w:numPr>
    </w:pPr>
  </w:style>
  <w:style w:type="paragraph" w:styleId="ListBullet4">
    <w:name w:val="List Bullet 4"/>
    <w:basedOn w:val="Normal"/>
    <w:semiHidden/>
    <w:pPr>
      <w:numPr>
        <w:numId w:val="5"/>
      </w:numPr>
    </w:pPr>
  </w:style>
  <w:style w:type="paragraph" w:styleId="ListBullet5">
    <w:name w:val="List Bullet 5"/>
    <w:basedOn w:val="Normal"/>
    <w:semiHidden/>
    <w:pPr>
      <w:numPr>
        <w:numId w:val="6"/>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10"/>
      </w:numPr>
    </w:pPr>
  </w:style>
  <w:style w:type="paragraph" w:styleId="ListNumber5">
    <w:name w:val="List Number 5"/>
    <w:basedOn w:val="Normal"/>
    <w:semiHidden/>
    <w:pPr>
      <w:numPr>
        <w:numId w:val="11"/>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semiHidden/>
    <w:rPr>
      <w:b/>
      <w:bCs/>
    </w:rPr>
  </w:style>
  <w:style w:type="paragraph" w:styleId="Subtitle">
    <w:name w:val="Subtitle"/>
    <w:basedOn w:val="Normal"/>
    <w:semiHidden/>
    <w:pPr>
      <w:spacing w:after="60"/>
      <w:jc w:val="center"/>
      <w:outlineLvl w:val="1"/>
    </w:pPr>
    <w:rPr>
      <w:rFonts w:ascii="Arial" w:hAnsi="Arial" w:cs="Arial"/>
      <w:szCs w:val="24"/>
    </w:rPr>
  </w:style>
  <w:style w:type="table" w:styleId="Table3Deffects1">
    <w:name w:val="Table 3D effects 1"/>
    <w:basedOn w:val="TableNormal"/>
    <w:semiHidden/>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TOC1">
    <w:name w:val="bTOC 1"/>
    <w:basedOn w:val="TOC1"/>
    <w:rsid w:val="00323061"/>
    <w:pPr>
      <w:spacing w:before="120" w:after="60" w:line="240" w:lineRule="auto"/>
      <w:jc w:val="left"/>
    </w:pPr>
  </w:style>
  <w:style w:type="paragraph" w:customStyle="1" w:styleId="bTOC2">
    <w:name w:val="bTOC 2"/>
    <w:basedOn w:val="TOC2"/>
    <w:semiHidden/>
    <w:rsid w:val="00323061"/>
    <w:pPr>
      <w:spacing w:before="120" w:after="60" w:line="240" w:lineRule="auto"/>
      <w:ind w:left="238"/>
      <w:jc w:val="left"/>
    </w:pPr>
  </w:style>
  <w:style w:type="paragraph" w:customStyle="1" w:styleId="bTOC3">
    <w:name w:val="bTOC 3"/>
    <w:basedOn w:val="TOC3"/>
    <w:semiHidden/>
    <w:rsid w:val="00323061"/>
    <w:pPr>
      <w:spacing w:before="120" w:after="60" w:line="240" w:lineRule="auto"/>
      <w:ind w:left="482"/>
      <w:jc w:val="left"/>
    </w:pPr>
  </w:style>
  <w:style w:type="paragraph" w:customStyle="1" w:styleId="bTOC4">
    <w:name w:val="bTOC 4"/>
    <w:basedOn w:val="TOC4"/>
    <w:semiHidden/>
    <w:rsid w:val="00323061"/>
    <w:pPr>
      <w:spacing w:before="120" w:after="60" w:line="240" w:lineRule="auto"/>
      <w:jc w:val="left"/>
    </w:pPr>
  </w:style>
  <w:style w:type="paragraph" w:customStyle="1" w:styleId="Counsel">
    <w:name w:val="Counsel"/>
    <w:basedOn w:val="Normal"/>
    <w:unhideWhenUsed/>
    <w:pPr>
      <w:widowControl w:val="0"/>
      <w:suppressAutoHyphens/>
      <w:spacing w:line="240" w:lineRule="auto"/>
    </w:pPr>
  </w:style>
  <w:style w:type="character" w:customStyle="1" w:styleId="CertifyChar">
    <w:name w:val="Certify Char"/>
    <w:link w:val="Certify"/>
    <w:rPr>
      <w:sz w:val="24"/>
      <w:szCs w:val="24"/>
      <w:lang w:val="en-AU" w:eastAsia="en-US" w:bidi="ar-SA"/>
    </w:rPr>
  </w:style>
  <w:style w:type="paragraph" w:customStyle="1" w:styleId="fcHeading1">
    <w:name w:val="fcHeading 1"/>
    <w:basedOn w:val="Normal"/>
    <w:next w:val="ParaNumbering"/>
    <w:semiHidden/>
    <w:pPr>
      <w:keepNext/>
      <w:numPr>
        <w:numId w:val="15"/>
      </w:numPr>
      <w:spacing w:before="240" w:after="60" w:line="240" w:lineRule="auto"/>
    </w:pPr>
    <w:rPr>
      <w:b/>
      <w:caps/>
      <w:kern w:val="28"/>
    </w:rPr>
  </w:style>
  <w:style w:type="paragraph" w:customStyle="1" w:styleId="fcHeading2">
    <w:name w:val="fcHeading 2"/>
    <w:basedOn w:val="Normal"/>
    <w:next w:val="ParaNumbering"/>
    <w:semiHidden/>
    <w:pPr>
      <w:keepNext/>
      <w:numPr>
        <w:ilvl w:val="1"/>
        <w:numId w:val="15"/>
      </w:numPr>
      <w:spacing w:before="240" w:after="60" w:line="240" w:lineRule="auto"/>
    </w:pPr>
    <w:rPr>
      <w:b/>
    </w:rPr>
  </w:style>
  <w:style w:type="paragraph" w:customStyle="1" w:styleId="fcHeading3">
    <w:name w:val="fcHeading 3"/>
    <w:basedOn w:val="Normal"/>
    <w:next w:val="ParaNumbering"/>
    <w:semiHidden/>
    <w:pPr>
      <w:keepNext/>
      <w:numPr>
        <w:ilvl w:val="2"/>
        <w:numId w:val="15"/>
      </w:numPr>
      <w:spacing w:before="240" w:after="60" w:line="240" w:lineRule="auto"/>
    </w:pPr>
    <w:rPr>
      <w:b/>
      <w:i/>
    </w:rPr>
  </w:style>
  <w:style w:type="paragraph" w:customStyle="1" w:styleId="fcHeading4">
    <w:name w:val="fcHeading 4"/>
    <w:basedOn w:val="Normal"/>
    <w:next w:val="ParaNumbering"/>
    <w:semiHidden/>
    <w:pPr>
      <w:keepNext/>
      <w:numPr>
        <w:ilvl w:val="3"/>
        <w:numId w:val="15"/>
      </w:numPr>
      <w:spacing w:before="240" w:after="60" w:line="240" w:lineRule="auto"/>
    </w:pPr>
    <w:rPr>
      <w:b/>
      <w:smallCaps/>
    </w:rPr>
  </w:style>
  <w:style w:type="paragraph" w:customStyle="1" w:styleId="fcHeading5">
    <w:name w:val="fcHeading 5"/>
    <w:basedOn w:val="Normal"/>
    <w:next w:val="ParaNumbering"/>
    <w:semiHidden/>
    <w:pPr>
      <w:keepNext/>
      <w:numPr>
        <w:ilvl w:val="4"/>
        <w:numId w:val="15"/>
      </w:numPr>
      <w:spacing w:before="240" w:after="60" w:line="240" w:lineRule="auto"/>
    </w:pPr>
    <w:rPr>
      <w:b/>
      <w:caps/>
    </w:rPr>
  </w:style>
  <w:style w:type="paragraph" w:customStyle="1" w:styleId="FTOC5">
    <w:name w:val="FTOC 5"/>
    <w:basedOn w:val="Normal"/>
    <w:semiHidden/>
    <w:rsid w:val="006516D8"/>
    <w:pPr>
      <w:tabs>
        <w:tab w:val="right" w:leader="dot" w:pos="9072"/>
      </w:tabs>
      <w:spacing w:before="120" w:after="60" w:line="240" w:lineRule="auto"/>
      <w:ind w:left="567" w:hanging="567"/>
      <w:jc w:val="left"/>
    </w:pPr>
    <w:rPr>
      <w:b/>
      <w:kern w:val="28"/>
    </w:rPr>
  </w:style>
  <w:style w:type="paragraph" w:customStyle="1" w:styleId="FTOC6">
    <w:name w:val="FTOC 6"/>
    <w:basedOn w:val="Normal"/>
    <w:semiHidden/>
    <w:rsid w:val="006516D8"/>
    <w:pPr>
      <w:tabs>
        <w:tab w:val="right" w:leader="dot" w:pos="9072"/>
      </w:tabs>
      <w:spacing w:before="120" w:after="60" w:line="240" w:lineRule="auto"/>
      <w:ind w:left="1304" w:hanging="737"/>
      <w:jc w:val="left"/>
    </w:pPr>
    <w:rPr>
      <w:b/>
    </w:rPr>
  </w:style>
  <w:style w:type="paragraph" w:customStyle="1" w:styleId="FTOC7">
    <w:name w:val="FTOC 7"/>
    <w:basedOn w:val="Normal"/>
    <w:semiHidden/>
    <w:rsid w:val="006516D8"/>
    <w:pPr>
      <w:tabs>
        <w:tab w:val="right" w:leader="dot" w:pos="9072"/>
      </w:tabs>
      <w:spacing w:before="120" w:after="60" w:line="240" w:lineRule="auto"/>
      <w:ind w:left="2325" w:hanging="1021"/>
      <w:jc w:val="left"/>
    </w:pPr>
    <w:rPr>
      <w:b/>
    </w:rPr>
  </w:style>
  <w:style w:type="paragraph" w:customStyle="1" w:styleId="FTOC8">
    <w:name w:val="FTOC 8"/>
    <w:basedOn w:val="Normal"/>
    <w:semiHidden/>
    <w:rsid w:val="006516D8"/>
    <w:pPr>
      <w:tabs>
        <w:tab w:val="right" w:leader="dot" w:pos="9072"/>
      </w:tabs>
      <w:spacing w:before="120" w:after="60" w:line="240" w:lineRule="auto"/>
      <w:ind w:left="3232" w:hanging="1418"/>
      <w:jc w:val="left"/>
    </w:pPr>
    <w:rPr>
      <w:b/>
    </w:rPr>
  </w:style>
  <w:style w:type="paragraph" w:customStyle="1" w:styleId="FTOC9">
    <w:name w:val="FTOC 9"/>
    <w:basedOn w:val="Normal"/>
    <w:semiHidden/>
    <w:rsid w:val="006516D8"/>
    <w:pPr>
      <w:tabs>
        <w:tab w:val="right" w:leader="dot" w:pos="9072"/>
      </w:tabs>
      <w:spacing w:before="120" w:after="60" w:line="240" w:lineRule="auto"/>
      <w:ind w:left="4082" w:hanging="1701"/>
      <w:jc w:val="left"/>
    </w:pPr>
    <w:rPr>
      <w:b/>
    </w:rPr>
  </w:style>
  <w:style w:type="paragraph" w:customStyle="1" w:styleId="bTOC5">
    <w:name w:val="bTOC 5"/>
    <w:basedOn w:val="Normal"/>
    <w:semiHidden/>
    <w:rsid w:val="00323061"/>
    <w:pPr>
      <w:tabs>
        <w:tab w:val="right" w:leader="dot" w:pos="9072"/>
      </w:tabs>
      <w:spacing w:before="120" w:after="60" w:line="240" w:lineRule="auto"/>
      <w:ind w:left="709" w:hanging="709"/>
      <w:jc w:val="left"/>
    </w:pPr>
  </w:style>
  <w:style w:type="paragraph" w:customStyle="1" w:styleId="bTOC6">
    <w:name w:val="bTOC 6"/>
    <w:basedOn w:val="Normal"/>
    <w:semiHidden/>
    <w:rsid w:val="00323061"/>
    <w:pPr>
      <w:tabs>
        <w:tab w:val="right" w:leader="dot" w:pos="9072"/>
      </w:tabs>
      <w:spacing w:before="120" w:after="60" w:line="240" w:lineRule="auto"/>
      <w:ind w:left="1418" w:hanging="709"/>
      <w:jc w:val="left"/>
    </w:pPr>
  </w:style>
  <w:style w:type="paragraph" w:customStyle="1" w:styleId="bTOC7">
    <w:name w:val="bTOC 7"/>
    <w:basedOn w:val="Normal"/>
    <w:semiHidden/>
    <w:rsid w:val="00F51AFB"/>
    <w:pPr>
      <w:tabs>
        <w:tab w:val="right" w:leader="dot" w:pos="9072"/>
      </w:tabs>
      <w:spacing w:before="120" w:after="60" w:line="240" w:lineRule="auto"/>
      <w:ind w:left="2240" w:hanging="822"/>
      <w:jc w:val="left"/>
    </w:pPr>
  </w:style>
  <w:style w:type="paragraph" w:customStyle="1" w:styleId="bTOC8">
    <w:name w:val="bTOC 8"/>
    <w:basedOn w:val="Normal"/>
    <w:semiHidden/>
    <w:rsid w:val="00F51AFB"/>
    <w:pPr>
      <w:keepNext/>
      <w:tabs>
        <w:tab w:val="right" w:leader="dot" w:pos="9072"/>
      </w:tabs>
      <w:spacing w:before="120" w:after="60" w:line="240" w:lineRule="auto"/>
      <w:ind w:left="3373" w:hanging="1247"/>
      <w:jc w:val="left"/>
    </w:pPr>
  </w:style>
  <w:style w:type="paragraph" w:customStyle="1" w:styleId="bTOC9">
    <w:name w:val="bTOC 9"/>
    <w:basedOn w:val="Normal"/>
    <w:semiHidden/>
    <w:rsid w:val="00F51AFB"/>
    <w:pPr>
      <w:keepNext/>
      <w:tabs>
        <w:tab w:val="right" w:leader="dot" w:pos="9072"/>
      </w:tabs>
      <w:spacing w:before="120" w:after="60" w:line="240" w:lineRule="auto"/>
      <w:ind w:left="4082" w:hanging="1247"/>
      <w:jc w:val="left"/>
    </w:pPr>
  </w:style>
  <w:style w:type="paragraph" w:customStyle="1" w:styleId="ListNo2">
    <w:name w:val="List No 2"/>
    <w:basedOn w:val="ListNo1"/>
    <w:rsid w:val="0052098C"/>
    <w:pPr>
      <w:numPr>
        <w:ilvl w:val="1"/>
      </w:numPr>
    </w:pPr>
  </w:style>
  <w:style w:type="paragraph" w:customStyle="1" w:styleId="ListNo3">
    <w:name w:val="List No 3"/>
    <w:basedOn w:val="ListNo2"/>
    <w:rsid w:val="0052098C"/>
    <w:pPr>
      <w:numPr>
        <w:ilvl w:val="2"/>
      </w:numPr>
    </w:pPr>
  </w:style>
  <w:style w:type="numbering" w:customStyle="1" w:styleId="FCListNo">
    <w:name w:val="FCListNo"/>
    <w:uiPriority w:val="99"/>
    <w:rsid w:val="0052098C"/>
    <w:pPr>
      <w:numPr>
        <w:numId w:val="16"/>
      </w:numPr>
    </w:pPr>
  </w:style>
  <w:style w:type="paragraph" w:customStyle="1" w:styleId="SingleSpace">
    <w:name w:val="SingleSpace"/>
    <w:basedOn w:val="Normal"/>
    <w:rsid w:val="00055719"/>
    <w:pPr>
      <w:spacing w:line="240" w:lineRule="auto"/>
    </w:pPr>
    <w:rPr>
      <w:szCs w:val="22"/>
    </w:rPr>
  </w:style>
  <w:style w:type="paragraph" w:customStyle="1" w:styleId="Quote1Bullet">
    <w:name w:val="Quote1 Bullet"/>
    <w:basedOn w:val="Quote1"/>
    <w:rsid w:val="00EF3F84"/>
    <w:pPr>
      <w:numPr>
        <w:numId w:val="17"/>
      </w:numPr>
      <w:ind w:left="1440" w:hanging="720"/>
    </w:pPr>
  </w:style>
  <w:style w:type="paragraph" w:customStyle="1" w:styleId="Quote2Bullet">
    <w:name w:val="Quote2 Bullet"/>
    <w:basedOn w:val="Quote2"/>
    <w:rsid w:val="00EF3F84"/>
    <w:pPr>
      <w:numPr>
        <w:numId w:val="18"/>
      </w:numPr>
      <w:ind w:hanging="720"/>
    </w:pPr>
  </w:style>
  <w:style w:type="paragraph" w:customStyle="1" w:styleId="Quote3Bullet">
    <w:name w:val="Quote3 Bullet"/>
    <w:basedOn w:val="Quote3"/>
    <w:rsid w:val="00EE445B"/>
    <w:pPr>
      <w:numPr>
        <w:numId w:val="19"/>
      </w:numPr>
      <w:ind w:hanging="720"/>
    </w:pPr>
  </w:style>
  <w:style w:type="paragraph" w:customStyle="1" w:styleId="Order1">
    <w:name w:val="Order 1"/>
    <w:basedOn w:val="Normal"/>
    <w:rsid w:val="004104B6"/>
    <w:pPr>
      <w:numPr>
        <w:numId w:val="20"/>
      </w:numPr>
      <w:spacing w:before="60" w:after="60"/>
    </w:pPr>
  </w:style>
  <w:style w:type="numbering" w:customStyle="1" w:styleId="FCOrders">
    <w:name w:val="FCOrders"/>
    <w:uiPriority w:val="99"/>
    <w:rsid w:val="004104B6"/>
    <w:pPr>
      <w:numPr>
        <w:numId w:val="20"/>
      </w:numPr>
    </w:pPr>
  </w:style>
  <w:style w:type="paragraph" w:customStyle="1" w:styleId="BodyTextBold">
    <w:name w:val="Body Text Bold"/>
    <w:basedOn w:val="BodyText"/>
    <w:rsid w:val="00484F6D"/>
    <w:rPr>
      <w:b/>
    </w:rPr>
  </w:style>
  <w:style w:type="paragraph" w:customStyle="1" w:styleId="GeneralHeading">
    <w:name w:val="General Heading"/>
    <w:basedOn w:val="BodyTextBold"/>
    <w:next w:val="BodyText"/>
    <w:rsid w:val="008C7167"/>
    <w:pPr>
      <w:spacing w:line="480" w:lineRule="auto"/>
      <w:jc w:val="center"/>
    </w:pPr>
    <w:rPr>
      <w:sz w:val="28"/>
    </w:rPr>
  </w:style>
  <w:style w:type="paragraph" w:customStyle="1" w:styleId="ReasonJudge">
    <w:name w:val="Reason Judge"/>
    <w:basedOn w:val="BodyText"/>
    <w:next w:val="BodyText"/>
    <w:rsid w:val="008C7167"/>
    <w:pPr>
      <w:jc w:val="left"/>
    </w:pPr>
    <w:rPr>
      <w:b/>
      <w:sz w:val="26"/>
    </w:rPr>
  </w:style>
  <w:style w:type="paragraph" w:customStyle="1" w:styleId="FileNo">
    <w:name w:val="FileNo"/>
    <w:basedOn w:val="NormalHeadings"/>
    <w:rsid w:val="007E4DB6"/>
    <w:pPr>
      <w:tabs>
        <w:tab w:val="right" w:pos="3609"/>
      </w:tabs>
      <w:spacing w:line="276" w:lineRule="auto"/>
      <w:jc w:val="right"/>
    </w:pPr>
    <w:rPr>
      <w:szCs w:val="24"/>
    </w:rPr>
  </w:style>
  <w:style w:type="paragraph" w:customStyle="1" w:styleId="CasesLegislationAppealFrom">
    <w:name w:val="Cases Legislation Appeal From"/>
    <w:basedOn w:val="Normal1linespace"/>
    <w:rsid w:val="000C023E"/>
    <w:pPr>
      <w:widowControl w:val="0"/>
      <w:spacing w:after="100"/>
      <w:jc w:val="left"/>
    </w:pPr>
  </w:style>
  <w:style w:type="paragraph" w:customStyle="1" w:styleId="PartyName">
    <w:name w:val="Party Name"/>
    <w:basedOn w:val="NormalHeadings"/>
    <w:rsid w:val="00A45FB1"/>
    <w:pPr>
      <w:jc w:val="left"/>
    </w:pPr>
    <w:rPr>
      <w:szCs w:val="24"/>
    </w:rPr>
  </w:style>
  <w:style w:type="paragraph" w:customStyle="1" w:styleId="PartyType">
    <w:name w:val="Party Type"/>
    <w:basedOn w:val="PartyName"/>
    <w:rsid w:val="00A45FB1"/>
    <w:rPr>
      <w:b w:val="0"/>
    </w:rPr>
  </w:style>
  <w:style w:type="paragraph" w:customStyle="1" w:styleId="Small-TableswithinQuotes">
    <w:name w:val="Small - Tables within Quotes"/>
    <w:basedOn w:val="BodyText"/>
    <w:rsid w:val="005E0510"/>
    <w:pPr>
      <w:spacing w:line="240" w:lineRule="auto"/>
      <w:jc w:val="left"/>
    </w:pPr>
    <w:rPr>
      <w:sz w:val="22"/>
    </w:rPr>
  </w:style>
  <w:style w:type="character" w:customStyle="1" w:styleId="BodyTextChar">
    <w:name w:val="Body Text Char"/>
    <w:basedOn w:val="DefaultParagraphFont"/>
    <w:link w:val="BodyText"/>
    <w:rsid w:val="00E91A0F"/>
    <w:rPr>
      <w:sz w:val="24"/>
      <w:lang w:eastAsia="en-US"/>
    </w:rPr>
  </w:style>
  <w:style w:type="character" w:customStyle="1" w:styleId="NormalHeadingsChar">
    <w:name w:val="Normal Headings Char"/>
    <w:basedOn w:val="DefaultParagraphFont"/>
    <w:link w:val="NormalHeadings"/>
    <w:rsid w:val="00E91A0F"/>
    <w:rPr>
      <w:b/>
      <w:sz w:val="24"/>
      <w:lang w:eastAsia="en-US"/>
    </w:rPr>
  </w:style>
  <w:style w:type="paragraph" w:customStyle="1" w:styleId="CourtTitle">
    <w:name w:val="CourtTitle"/>
    <w:basedOn w:val="NormalHeadings"/>
    <w:rsid w:val="00285922"/>
    <w:pPr>
      <w:jc w:val="center"/>
    </w:pPr>
    <w:rPr>
      <w:caps/>
      <w:sz w:val="32"/>
    </w:rPr>
  </w:style>
  <w:style w:type="paragraph" w:customStyle="1" w:styleId="MNC">
    <w:name w:val="MNC"/>
    <w:basedOn w:val="MediaNeutralStyle"/>
    <w:rsid w:val="00085255"/>
    <w:pPr>
      <w:spacing w:after="240"/>
    </w:pPr>
    <w:rPr>
      <w:sz w:val="28"/>
    </w:rPr>
  </w:style>
  <w:style w:type="paragraph" w:customStyle="1" w:styleId="Quote4">
    <w:name w:val="Quote4"/>
    <w:basedOn w:val="Quote1"/>
    <w:rsid w:val="00DF75E1"/>
    <w:pPr>
      <w:ind w:left="2880"/>
    </w:pPr>
  </w:style>
  <w:style w:type="paragraph" w:customStyle="1" w:styleId="Quote4Bullet">
    <w:name w:val="Quote4 Bullet"/>
    <w:basedOn w:val="Quote4"/>
    <w:rsid w:val="00EE445B"/>
    <w:pPr>
      <w:numPr>
        <w:numId w:val="21"/>
      </w:numPr>
      <w:ind w:hanging="720"/>
    </w:pPr>
  </w:style>
  <w:style w:type="character" w:styleId="PlaceholderText">
    <w:name w:val="Placeholder Text"/>
    <w:basedOn w:val="DefaultParagraphFont"/>
    <w:uiPriority w:val="99"/>
    <w:semiHidden/>
    <w:rsid w:val="00CF5A80"/>
    <w:rPr>
      <w:color w:val="808080"/>
    </w:rPr>
  </w:style>
  <w:style w:type="paragraph" w:customStyle="1" w:styleId="Order2">
    <w:name w:val="Order 2"/>
    <w:basedOn w:val="Order1"/>
    <w:rsid w:val="001351B9"/>
    <w:pPr>
      <w:numPr>
        <w:ilvl w:val="1"/>
      </w:numPr>
      <w:tabs>
        <w:tab w:val="clear" w:pos="1440"/>
      </w:tabs>
    </w:pPr>
  </w:style>
  <w:style w:type="paragraph" w:customStyle="1" w:styleId="Order3">
    <w:name w:val="Order 3"/>
    <w:basedOn w:val="Order2"/>
    <w:rsid w:val="00DD6957"/>
    <w:pPr>
      <w:numPr>
        <w:ilvl w:val="2"/>
      </w:numPr>
    </w:pPr>
  </w:style>
  <w:style w:type="paragraph" w:customStyle="1" w:styleId="ListNo1alt">
    <w:name w:val="List No 1 (alt)"/>
    <w:basedOn w:val="Normal"/>
    <w:rsid w:val="008A1741"/>
    <w:pPr>
      <w:numPr>
        <w:numId w:val="24"/>
      </w:numPr>
      <w:spacing w:before="60" w:after="60"/>
    </w:pPr>
  </w:style>
  <w:style w:type="paragraph" w:customStyle="1" w:styleId="ListNo2alt">
    <w:name w:val="List No 2 (alt)"/>
    <w:basedOn w:val="ListNo1alt"/>
    <w:rsid w:val="008A1741"/>
    <w:pPr>
      <w:numPr>
        <w:ilvl w:val="1"/>
      </w:numPr>
    </w:pPr>
  </w:style>
  <w:style w:type="paragraph" w:customStyle="1" w:styleId="ListNo3alt">
    <w:name w:val="List No 3 (alt)"/>
    <w:basedOn w:val="ListNo2alt"/>
    <w:rsid w:val="008A1741"/>
    <w:pPr>
      <w:numPr>
        <w:ilvl w:val="2"/>
      </w:numPr>
    </w:pPr>
  </w:style>
  <w:style w:type="numbering" w:customStyle="1" w:styleId="FCListNoalt">
    <w:name w:val="FC List No (alt)"/>
    <w:uiPriority w:val="99"/>
    <w:rsid w:val="008A1741"/>
    <w:pPr>
      <w:numPr>
        <w:numId w:val="23"/>
      </w:numPr>
    </w:pPr>
  </w:style>
  <w:style w:type="paragraph" w:customStyle="1" w:styleId="Order4">
    <w:name w:val="Order 4"/>
    <w:basedOn w:val="Order3"/>
    <w:rsid w:val="004104B6"/>
    <w:pPr>
      <w:numPr>
        <w:ilvl w:val="3"/>
      </w:numPr>
    </w:pPr>
  </w:style>
  <w:style w:type="paragraph" w:styleId="FootnoteText">
    <w:name w:val="footnote text"/>
    <w:basedOn w:val="Normal"/>
    <w:link w:val="FootnoteTextChar"/>
    <w:semiHidden/>
    <w:unhideWhenUsed/>
    <w:rsid w:val="00077768"/>
    <w:pPr>
      <w:spacing w:line="240" w:lineRule="auto"/>
    </w:pPr>
    <w:rPr>
      <w:sz w:val="20"/>
    </w:rPr>
  </w:style>
  <w:style w:type="character" w:customStyle="1" w:styleId="FootnoteTextChar">
    <w:name w:val="Footnote Text Char"/>
    <w:basedOn w:val="DefaultParagraphFont"/>
    <w:link w:val="FootnoteText"/>
    <w:semiHidden/>
    <w:rsid w:val="00077768"/>
    <w:rPr>
      <w:lang w:eastAsia="en-US"/>
    </w:rPr>
  </w:style>
  <w:style w:type="character" w:styleId="FootnoteReference">
    <w:name w:val="footnote reference"/>
    <w:basedOn w:val="DefaultParagraphFont"/>
    <w:semiHidden/>
    <w:unhideWhenUsed/>
    <w:rsid w:val="00077768"/>
    <w:rPr>
      <w:vertAlign w:val="superscript"/>
    </w:rPr>
  </w:style>
  <w:style w:type="paragraph" w:customStyle="1" w:styleId="FCBullets2">
    <w:name w:val="FCBullets2"/>
    <w:basedOn w:val="FCBullets"/>
    <w:rsid w:val="001C2FE0"/>
    <w:pPr>
      <w:numPr>
        <w:ilvl w:val="1"/>
      </w:numPr>
    </w:pPr>
  </w:style>
  <w:style w:type="numbering" w:customStyle="1" w:styleId="FCNotes">
    <w:name w:val="FCNotes"/>
    <w:uiPriority w:val="99"/>
    <w:rsid w:val="00805A30"/>
    <w:pPr>
      <w:numPr>
        <w:numId w:val="26"/>
      </w:numPr>
    </w:pPr>
  </w:style>
  <w:style w:type="paragraph" w:customStyle="1" w:styleId="Notes">
    <w:name w:val="Notes"/>
    <w:basedOn w:val="Normal"/>
    <w:rsid w:val="00805A30"/>
    <w:pPr>
      <w:numPr>
        <w:numId w:val="28"/>
      </w:numPr>
      <w:spacing w:before="60" w:after="60"/>
    </w:pPr>
  </w:style>
  <w:style w:type="paragraph" w:customStyle="1" w:styleId="OrdersHeading1">
    <w:name w:val="Orders Heading 1"/>
    <w:basedOn w:val="Normal"/>
    <w:next w:val="BodyText"/>
    <w:rsid w:val="001E0C61"/>
    <w:pPr>
      <w:keepNext/>
      <w:spacing w:before="240" w:after="180" w:line="240" w:lineRule="auto"/>
    </w:pPr>
    <w:rPr>
      <w:b/>
      <w:caps/>
    </w:rPr>
  </w:style>
  <w:style w:type="paragraph" w:customStyle="1" w:styleId="OrdersHeading2">
    <w:name w:val="Orders Heading 2"/>
    <w:basedOn w:val="Normal"/>
    <w:next w:val="BodyText"/>
    <w:rsid w:val="001E0C61"/>
    <w:pPr>
      <w:keepNext/>
      <w:spacing w:before="240" w:after="180" w:line="240" w:lineRule="auto"/>
    </w:pPr>
    <w:rPr>
      <w:b/>
    </w:rPr>
  </w:style>
  <w:style w:type="paragraph" w:customStyle="1" w:styleId="Default">
    <w:name w:val="Default"/>
    <w:rsid w:val="00EA2876"/>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3319B5"/>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Judg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5EDCAAEB22448F8196A89F9B9C8ADE"/>
        <w:category>
          <w:name w:val="General"/>
          <w:gallery w:val="placeholder"/>
        </w:category>
        <w:types>
          <w:type w:val="bbPlcHdr"/>
        </w:types>
        <w:behaviors>
          <w:behavior w:val="content"/>
        </w:behaviors>
        <w:guid w:val="{69730670-28E3-4D37-AD82-1E80C1579BDF}"/>
      </w:docPartPr>
      <w:docPartBody>
        <w:p w:rsidR="00FF1C2E" w:rsidRDefault="00FF1C2E">
          <w:pPr>
            <w:pStyle w:val="5F5EDCAAEB22448F8196A89F9B9C8ADE"/>
          </w:pPr>
          <w:r>
            <w:rPr>
              <w:rStyle w:val="PlaceholderText"/>
            </w:rPr>
            <w:t>MNC Text</w:t>
          </w:r>
        </w:p>
      </w:docPartBody>
    </w:docPart>
    <w:docPart>
      <w:docPartPr>
        <w:name w:val="96BB8998268945FE8AAAB71D118CD55E"/>
        <w:category>
          <w:name w:val="General"/>
          <w:gallery w:val="placeholder"/>
        </w:category>
        <w:types>
          <w:type w:val="bbPlcHdr"/>
        </w:types>
        <w:behaviors>
          <w:behavior w:val="content"/>
        </w:behaviors>
        <w:guid w:val="{69A87F6E-29AE-47A6-BBAF-B9164728885D}"/>
      </w:docPartPr>
      <w:docPartBody>
        <w:p w:rsidR="00FF1C2E" w:rsidRDefault="00FF1C2E">
          <w:pPr>
            <w:pStyle w:val="96BB8998268945FE8AAAB71D118CD55E"/>
          </w:pPr>
          <w:r w:rsidRPr="005C44BE">
            <w:rPr>
              <w:rStyle w:val="PlaceholderText"/>
            </w:rPr>
            <w:t>Click or tap here to enter text.</w:t>
          </w:r>
        </w:p>
      </w:docPartBody>
    </w:docPart>
    <w:docPart>
      <w:docPartPr>
        <w:name w:val="6DEBC2C9F80E416A8E68A4BD7BA4AF7F"/>
        <w:category>
          <w:name w:val="General"/>
          <w:gallery w:val="placeholder"/>
        </w:category>
        <w:types>
          <w:type w:val="bbPlcHdr"/>
        </w:types>
        <w:behaviors>
          <w:behavior w:val="content"/>
        </w:behaviors>
        <w:guid w:val="{49127FF5-D824-4ECD-AEF2-398CCF8FB641}"/>
      </w:docPartPr>
      <w:docPartBody>
        <w:p w:rsidR="00FF1C2E" w:rsidRDefault="00FF1C2E">
          <w:pPr>
            <w:pStyle w:val="6DEBC2C9F80E416A8E68A4BD7BA4AF7F"/>
          </w:pPr>
          <w:r w:rsidRPr="005C44BE">
            <w:rPr>
              <w:rStyle w:val="PlaceholderText"/>
            </w:rPr>
            <w:t>Click or tap here to enter text.</w:t>
          </w:r>
        </w:p>
      </w:docPartBody>
    </w:docPart>
    <w:docPart>
      <w:docPartPr>
        <w:name w:val="D6A463F952BF45FC97E66F3A920843A2"/>
        <w:category>
          <w:name w:val="General"/>
          <w:gallery w:val="placeholder"/>
        </w:category>
        <w:types>
          <w:type w:val="bbPlcHdr"/>
        </w:types>
        <w:behaviors>
          <w:behavior w:val="content"/>
        </w:behaviors>
        <w:guid w:val="{CFDB5B2E-1D5B-4E13-8CD8-848E6C278D30}"/>
      </w:docPartPr>
      <w:docPartBody>
        <w:p w:rsidR="00FF1C2E" w:rsidRDefault="00FF1C2E">
          <w:pPr>
            <w:pStyle w:val="D6A463F952BF45FC97E66F3A920843A2"/>
          </w:pPr>
          <w:r w:rsidRPr="005C44BE">
            <w:rPr>
              <w:rStyle w:val="PlaceholderText"/>
            </w:rPr>
            <w:t>Click or tap here to enter text.</w:t>
          </w:r>
        </w:p>
      </w:docPartBody>
    </w:docPart>
    <w:docPart>
      <w:docPartPr>
        <w:name w:val="181F829AA3F7401AA824B81162CA07DE"/>
        <w:category>
          <w:name w:val="General"/>
          <w:gallery w:val="placeholder"/>
        </w:category>
        <w:types>
          <w:type w:val="bbPlcHdr"/>
        </w:types>
        <w:behaviors>
          <w:behavior w:val="content"/>
        </w:behaviors>
        <w:guid w:val="{0500123A-EEDB-4D60-BFD4-0D3841777A7A}"/>
      </w:docPartPr>
      <w:docPartBody>
        <w:p w:rsidR="00FF1C2E" w:rsidRDefault="00FF1C2E">
          <w:pPr>
            <w:pStyle w:val="181F829AA3F7401AA824B81162CA07DE"/>
          </w:pPr>
          <w:r w:rsidRPr="005C44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2E"/>
    <w:rsid w:val="000358A1"/>
    <w:rsid w:val="000B6A78"/>
    <w:rsid w:val="000B6A98"/>
    <w:rsid w:val="00275EE8"/>
    <w:rsid w:val="00394B8C"/>
    <w:rsid w:val="003E1D31"/>
    <w:rsid w:val="003F3B91"/>
    <w:rsid w:val="004372CA"/>
    <w:rsid w:val="00447393"/>
    <w:rsid w:val="0046667C"/>
    <w:rsid w:val="0047164A"/>
    <w:rsid w:val="006108C0"/>
    <w:rsid w:val="00651E57"/>
    <w:rsid w:val="006545AC"/>
    <w:rsid w:val="00695908"/>
    <w:rsid w:val="007A1FAC"/>
    <w:rsid w:val="007F0B1B"/>
    <w:rsid w:val="008161ED"/>
    <w:rsid w:val="00862C3F"/>
    <w:rsid w:val="00887DFB"/>
    <w:rsid w:val="008C310A"/>
    <w:rsid w:val="008E67D0"/>
    <w:rsid w:val="008F0A5D"/>
    <w:rsid w:val="00914525"/>
    <w:rsid w:val="0094111A"/>
    <w:rsid w:val="009B64E3"/>
    <w:rsid w:val="00AC5359"/>
    <w:rsid w:val="00BE1C69"/>
    <w:rsid w:val="00C5353E"/>
    <w:rsid w:val="00C8019F"/>
    <w:rsid w:val="00D1701C"/>
    <w:rsid w:val="00D76551"/>
    <w:rsid w:val="00E57F73"/>
    <w:rsid w:val="00EB3ACF"/>
    <w:rsid w:val="00FB2317"/>
    <w:rsid w:val="00FF1C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5EDCAAEB22448F8196A89F9B9C8ADE">
    <w:name w:val="5F5EDCAAEB22448F8196A89F9B9C8ADE"/>
  </w:style>
  <w:style w:type="paragraph" w:customStyle="1" w:styleId="96BB8998268945FE8AAAB71D118CD55E">
    <w:name w:val="96BB8998268945FE8AAAB71D118CD55E"/>
  </w:style>
  <w:style w:type="paragraph" w:customStyle="1" w:styleId="6DEBC2C9F80E416A8E68A4BD7BA4AF7F">
    <w:name w:val="6DEBC2C9F80E416A8E68A4BD7BA4AF7F"/>
  </w:style>
  <w:style w:type="paragraph" w:customStyle="1" w:styleId="D6A463F952BF45FC97E66F3A920843A2">
    <w:name w:val="D6A463F952BF45FC97E66F3A920843A2"/>
  </w:style>
  <w:style w:type="paragraph" w:customStyle="1" w:styleId="181F829AA3F7401AA824B81162CA07DE">
    <w:name w:val="181F829AA3F7401AA824B81162CA0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http://schemas.globalmacros.com/FCA">
  <Name>JMC Pty Limited v Commissioner of Taxation [2022] FCA 750</Name>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E7CCB-4AA5-44E7-B148-17BA2B6F57C0}">
  <ds:schemaRefs>
    <ds:schemaRef ds:uri="http://schemas.globalmacros.com/FCA"/>
  </ds:schemaRefs>
</ds:datastoreItem>
</file>

<file path=customXml/itemProps2.xml><?xml version="1.0" encoding="utf-8"?>
<ds:datastoreItem xmlns:ds="http://schemas.openxmlformats.org/officeDocument/2006/customXml" ds:itemID="{84E3BC93-4888-46BD-BE87-C4EB1E2B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Judgment.dotx</Template>
  <TotalTime>14</TotalTime>
  <Pages>57</Pages>
  <Words>23410</Words>
  <Characters>120323</Characters>
  <Application>Microsoft Office Word</Application>
  <DocSecurity>0</DocSecurity>
  <Lines>1940</Lines>
  <Paragraphs>513</Paragraphs>
  <ScaleCrop>false</ScaleCrop>
  <HeadingPairs>
    <vt:vector size="2" baseType="variant">
      <vt:variant>
        <vt:lpstr>Title</vt:lpstr>
      </vt:variant>
      <vt:variant>
        <vt:i4>1</vt:i4>
      </vt:variant>
    </vt:vector>
  </HeadingPairs>
  <TitlesOfParts>
    <vt:vector size="1" baseType="lpstr">
      <vt:lpstr>JMC Pty Limited v Commissioner of Taxation [2022] FCA 750</vt:lpstr>
    </vt:vector>
  </TitlesOfParts>
  <Company>Federal Court of Australia</Company>
  <LinksUpToDate>false</LinksUpToDate>
  <CharactersWithSpaces>143220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JMC Pty Limited v Commissioner of Taxation [2022] FCA 750</dc:title>
  <dc:subject/>
  <dc:creator>Federal Court of Australia</dc:creator>
  <cp:keywords/>
  <dc:description/>
  <cp:lastModifiedBy>Federal Court of Australia</cp:lastModifiedBy>
  <cp:revision>7</cp:revision>
  <cp:lastPrinted>2022-06-29T00:03:00Z</cp:lastPrinted>
  <dcterms:created xsi:type="dcterms:W3CDTF">2022-06-29T02:53:00Z</dcterms:created>
  <dcterms:modified xsi:type="dcterms:W3CDTF">2022-06-29T04:28:00Z</dcterms:modified>
  <cp:version>v1.2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 </vt:lpwstr>
  </property>
  <property fmtid="{D5CDD505-2E9C-101B-9397-08002B2CF9AE}" pid="3" name="Distribution">
    <vt:lpwstr>GENERAL DISTRIBUTION</vt:lpwstr>
  </property>
  <property fmtid="{D5CDD505-2E9C-101B-9397-08002B2CF9AE}" pid="4" name="MNC">
    <vt:lpwstr> </vt:lpwstr>
  </property>
  <property fmtid="{D5CDD505-2E9C-101B-9397-08002B2CF9AE}" pid="5" name="Pages">
    <vt:lpwstr>3</vt:lpwstr>
  </property>
  <property fmtid="{D5CDD505-2E9C-101B-9397-08002B2CF9AE}" pid="6" name="Parties">
    <vt:lpwstr> </vt:lpwstr>
  </property>
  <property fmtid="{D5CDD505-2E9C-101B-9397-08002B2CF9AE}" pid="7" name="Place">
    <vt:lpwstr>N/A FCA</vt:lpwstr>
  </property>
  <property fmtid="{D5CDD505-2E9C-101B-9397-08002B2CF9AE}" pid="8" name="Respondent">
    <vt:lpwstr> </vt:lpwstr>
  </property>
  <property fmtid="{D5CDD505-2E9C-101B-9397-08002B2CF9AE}" pid="9" name="Year">
    <vt:lpwstr>2020</vt:lpwstr>
  </property>
  <property fmtid="{D5CDD505-2E9C-101B-9397-08002B2CF9AE}" pid="10" name="Judgment Template">
    <vt:lpwstr>True</vt:lpwstr>
  </property>
  <property fmtid="{D5CDD505-2E9C-101B-9397-08002B2CF9AE}" pid="11" name="VERSION">
    <vt:lpwstr>1.0</vt:lpwstr>
  </property>
  <property fmtid="{D5CDD505-2E9C-101B-9397-08002B2CF9AE}" pid="12" name="Registry">
    <vt:lpwstr>New South Wales</vt:lpwstr>
  </property>
  <property fmtid="{D5CDD505-2E9C-101B-9397-08002B2CF9AE}" pid="13" name="Division">
    <vt:lpwstr>General Division</vt:lpwstr>
  </property>
  <property fmtid="{D5CDD505-2E9C-101B-9397-08002B2CF9AE}" pid="14" name="FileNo">
    <vt:lpwstr>&lt;FILE NO&gt;</vt:lpwstr>
  </property>
  <property fmtid="{D5CDD505-2E9C-101B-9397-08002B2CF9AE}" pid="15" name="Practice Area">
    <vt:lpwstr>Taxation</vt:lpwstr>
  </property>
  <property fmtid="{D5CDD505-2E9C-101B-9397-08002B2CF9AE}" pid="16" name="Court">
    <vt:lpwstr>Federal Court of Australia</vt:lpwstr>
  </property>
  <property fmtid="{D5CDD505-2E9C-101B-9397-08002B2CF9AE}" pid="17" name="Sub Area">
    <vt:lpwstr>(none)</vt:lpwstr>
  </property>
  <property fmtid="{D5CDD505-2E9C-101B-9397-08002B2CF9AE}" pid="18" name="AppealFrom">
    <vt:lpwstr>&lt;AppealFrom&gt;</vt:lpwstr>
  </property>
  <property fmtid="{D5CDD505-2E9C-101B-9397-08002B2CF9AE}" pid="19" name="DivisionTitle">
    <vt:lpwstr>none</vt:lpwstr>
  </property>
  <property fmtid="{D5CDD505-2E9C-101B-9397-08002B2CF9AE}" pid="20" name="Judge">
    <vt:lpwstr>Judge</vt:lpwstr>
  </property>
  <property fmtid="{D5CDD505-2E9C-101B-9397-08002B2CF9AE}" pid="21" name="Judgment_dated">
    <vt:lpwstr>Judgment_dated</vt:lpwstr>
  </property>
  <property fmtid="{D5CDD505-2E9C-101B-9397-08002B2CF9AE}" pid="22" name="Legislation">
    <vt:lpwstr>Legislation</vt:lpwstr>
  </property>
  <property fmtid="{D5CDD505-2E9C-101B-9397-08002B2CF9AE}" pid="23" name="Catchwords">
    <vt:lpwstr>Catchwords</vt:lpwstr>
  </property>
  <property fmtid="{D5CDD505-2E9C-101B-9397-08002B2CF9AE}" pid="24" name="Words_Phrases">
    <vt:lpwstr>WordsPhrases</vt:lpwstr>
  </property>
  <property fmtid="{D5CDD505-2E9C-101B-9397-08002B2CF9AE}" pid="25" name="Cases_Cited">
    <vt:lpwstr>CasesCited</vt:lpwstr>
  </property>
  <property fmtid="{D5CDD505-2E9C-101B-9397-08002B2CF9AE}" pid="26" name="File_Number">
    <vt:lpwstr>Num</vt:lpwstr>
  </property>
  <property fmtid="{D5CDD505-2E9C-101B-9397-08002B2CF9AE}" pid="27" name="State">
    <vt:lpwstr>State</vt:lpwstr>
  </property>
</Properties>
</file>