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514B" w14:textId="77777777" w:rsidR="00041DF4" w:rsidRPr="005D5D9E" w:rsidRDefault="00041DF4" w:rsidP="00143BF0">
      <w:pPr>
        <w:rPr>
          <w:rFonts w:ascii="HelveticaNeueLT Std" w:hAnsi="HelveticaNeueLT Std"/>
        </w:rPr>
      </w:pPr>
    </w:p>
    <w:p w14:paraId="34512595" w14:textId="77777777" w:rsidR="00143BF0" w:rsidRDefault="00143BF0" w:rsidP="00041DF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sz w:val="28"/>
          <w:szCs w:val="28"/>
        </w:rPr>
      </w:pPr>
      <w:bookmarkStart w:id="0" w:name="_Toc374938898"/>
      <w:r w:rsidRPr="00C376B2">
        <w:rPr>
          <w:sz w:val="28"/>
          <w:szCs w:val="28"/>
        </w:rPr>
        <w:t xml:space="preserve">Session 2 – </w:t>
      </w:r>
      <w:bookmarkEnd w:id="0"/>
      <w:r w:rsidRPr="00C376B2">
        <w:rPr>
          <w:sz w:val="28"/>
          <w:szCs w:val="28"/>
        </w:rPr>
        <w:t>SOURCES OF LAW: CASE LAW</w:t>
      </w:r>
    </w:p>
    <w:p w14:paraId="3038E255" w14:textId="77777777" w:rsidR="00C376B2" w:rsidRPr="00C376B2" w:rsidRDefault="00C376B2" w:rsidP="00C376B2"/>
    <w:p w14:paraId="0365CD91" w14:textId="41CB878F" w:rsidR="00FF3092" w:rsidRPr="00C376B2" w:rsidRDefault="00C376B2" w:rsidP="00D97441">
      <w:pPr>
        <w:pStyle w:val="Heading1"/>
        <w:numPr>
          <w:ilvl w:val="0"/>
          <w:numId w:val="5"/>
        </w:numPr>
        <w:spacing w:before="120" w:after="240"/>
        <w:rPr>
          <w:sz w:val="24"/>
          <w:szCs w:val="24"/>
        </w:rPr>
      </w:pPr>
      <w:r w:rsidRPr="00C376B2">
        <w:rPr>
          <w:sz w:val="24"/>
          <w:szCs w:val="24"/>
        </w:rPr>
        <w:t>Basic principles of the doctrine of precedent</w:t>
      </w:r>
    </w:p>
    <w:p w14:paraId="6108B671" w14:textId="6AFC8BE8" w:rsidR="009A536F" w:rsidRPr="007129CE" w:rsidRDefault="00C376B2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R</w:t>
      </w:r>
      <w:r w:rsidR="00466E0D" w:rsidRPr="00466E0D">
        <w:rPr>
          <w:rFonts w:ascii="HelveticaNeueLT Std" w:hAnsi="HelveticaNeueLT Std"/>
        </w:rPr>
        <w:t>ules of the common law are derived from pa</w:t>
      </w:r>
      <w:r w:rsidR="005F5685">
        <w:rPr>
          <w:rFonts w:ascii="HelveticaNeueLT Std" w:hAnsi="HelveticaNeueLT Std"/>
        </w:rPr>
        <w:t>st cases (judicial decisions).</w:t>
      </w:r>
      <w:r w:rsidR="007129CE">
        <w:rPr>
          <w:rFonts w:ascii="HelveticaNeueLT Std" w:hAnsi="HelveticaNeueLT Std"/>
        </w:rPr>
        <w:t xml:space="preserve"> </w:t>
      </w:r>
      <w:r w:rsidR="005F5685" w:rsidRPr="007129CE">
        <w:rPr>
          <w:rFonts w:ascii="HelveticaNeueLT Std" w:hAnsi="HelveticaNeueLT Std"/>
        </w:rPr>
        <w:t>J</w:t>
      </w:r>
      <w:r w:rsidR="00466E0D" w:rsidRPr="007129CE">
        <w:rPr>
          <w:rFonts w:ascii="HelveticaNeueLT Std" w:hAnsi="HelveticaNeueLT Std"/>
        </w:rPr>
        <w:t xml:space="preserve">udges </w:t>
      </w:r>
      <w:r w:rsidR="005F5685" w:rsidRPr="007129CE">
        <w:rPr>
          <w:rFonts w:ascii="HelveticaNeueLT Std" w:hAnsi="HelveticaNeueLT Std"/>
        </w:rPr>
        <w:t>decide cases on</w:t>
      </w:r>
      <w:r w:rsidR="0088499E">
        <w:rPr>
          <w:rFonts w:ascii="HelveticaNeueLT Std" w:hAnsi="HelveticaNeueLT Std"/>
        </w:rPr>
        <w:t xml:space="preserve"> the</w:t>
      </w:r>
      <w:r w:rsidR="00466E0D" w:rsidRPr="007129CE">
        <w:rPr>
          <w:rFonts w:ascii="HelveticaNeueLT Std" w:hAnsi="HelveticaNeueLT Std"/>
        </w:rPr>
        <w:t xml:space="preserve"> basis of legal rules determined in </w:t>
      </w:r>
      <w:r w:rsidR="005F5685" w:rsidRPr="007129CE">
        <w:rPr>
          <w:rFonts w:ascii="HelveticaNeueLT Std" w:hAnsi="HelveticaNeueLT Std"/>
        </w:rPr>
        <w:t xml:space="preserve">previous cases with </w:t>
      </w:r>
      <w:r w:rsidR="00466E0D" w:rsidRPr="007129CE">
        <w:rPr>
          <w:rFonts w:ascii="HelveticaNeueLT Std" w:hAnsi="HelveticaNeueLT Std"/>
        </w:rPr>
        <w:t>similar fact</w:t>
      </w:r>
      <w:r w:rsidR="005F5685" w:rsidRPr="007129CE">
        <w:rPr>
          <w:rFonts w:ascii="HelveticaNeueLT Std" w:hAnsi="HelveticaNeueLT Std"/>
        </w:rPr>
        <w:t xml:space="preserve">s: </w:t>
      </w:r>
      <w:r w:rsidR="00466E0D" w:rsidRPr="007129CE">
        <w:rPr>
          <w:rFonts w:ascii="HelveticaNeueLT Std" w:hAnsi="HelveticaNeueLT Std"/>
          <w:i/>
        </w:rPr>
        <w:t xml:space="preserve">stare decisis – </w:t>
      </w:r>
      <w:r w:rsidR="005F5685" w:rsidRPr="007129CE">
        <w:rPr>
          <w:rFonts w:ascii="HelveticaNeueLT Std" w:hAnsi="HelveticaNeueLT Std"/>
        </w:rPr>
        <w:t>treating ‘like cases alike’.</w:t>
      </w:r>
    </w:p>
    <w:p w14:paraId="0F93364F" w14:textId="77777777" w:rsidR="005F5685" w:rsidRPr="005F5685" w:rsidRDefault="005F5685" w:rsidP="005F5685">
      <w:pPr>
        <w:rPr>
          <w:rFonts w:ascii="HelveticaNeueLT Std" w:hAnsi="HelveticaNeueLT Std"/>
        </w:rPr>
      </w:pPr>
    </w:p>
    <w:p w14:paraId="59052132" w14:textId="414F5360" w:rsidR="005F5685" w:rsidRDefault="005F5685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But can one case really be ‘like’ another case?</w:t>
      </w:r>
    </w:p>
    <w:p w14:paraId="62DDD66A" w14:textId="4729A19C" w:rsidR="00466E0D" w:rsidRPr="005F5685" w:rsidRDefault="004E39D9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On one level, </w:t>
      </w:r>
      <w:r w:rsidR="0021424E" w:rsidRPr="005F5685">
        <w:rPr>
          <w:rFonts w:ascii="HelveticaNeueLT Std" w:hAnsi="HelveticaNeueLT Std"/>
        </w:rPr>
        <w:t>Yes</w:t>
      </w:r>
    </w:p>
    <w:p w14:paraId="172DEAFE" w14:textId="141CF34D" w:rsidR="00466E0D" w:rsidRPr="005F5685" w:rsidRDefault="004E39D9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On another level, Never</w:t>
      </w:r>
    </w:p>
    <w:p w14:paraId="475DCAEF" w14:textId="35AE83ED" w:rsidR="005F5685" w:rsidRPr="005F5685" w:rsidRDefault="004E39D9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So for practical purposes, </w:t>
      </w:r>
      <w:r w:rsidR="0021424E" w:rsidRPr="005F5685">
        <w:rPr>
          <w:rFonts w:ascii="HelveticaNeueLT Std" w:hAnsi="HelveticaNeueLT Std"/>
        </w:rPr>
        <w:t>Maybe</w:t>
      </w:r>
    </w:p>
    <w:p w14:paraId="34B86632" w14:textId="21354E54" w:rsidR="005F5685" w:rsidRPr="005F5685" w:rsidRDefault="005F5685" w:rsidP="005F5685">
      <w:pPr>
        <w:pStyle w:val="ListParagraph"/>
        <w:ind w:left="360"/>
        <w:rPr>
          <w:rFonts w:ascii="HelveticaNeueLT Std" w:hAnsi="HelveticaNeueLT Std"/>
        </w:rPr>
      </w:pPr>
      <w:r w:rsidRPr="005F5685">
        <w:rPr>
          <w:rFonts w:ascii="HelveticaNeueLT Std" w:hAnsi="HelveticaNeueLT Std"/>
        </w:rPr>
        <w:t>= Doctrine of precedent is complex</w:t>
      </w:r>
    </w:p>
    <w:p w14:paraId="23D268FA" w14:textId="77777777" w:rsidR="005F5685" w:rsidRDefault="005F5685" w:rsidP="005F5685">
      <w:pPr>
        <w:pStyle w:val="ListParagraph"/>
        <w:rPr>
          <w:rFonts w:ascii="HelveticaNeueLT Std" w:hAnsi="HelveticaNeueLT Std"/>
        </w:rPr>
      </w:pPr>
    </w:p>
    <w:p w14:paraId="51AFBC12" w14:textId="7725CCA8" w:rsidR="006F4264" w:rsidRPr="005F5685" w:rsidRDefault="005F5685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B</w:t>
      </w:r>
      <w:r w:rsidR="006F4264">
        <w:rPr>
          <w:rFonts w:ascii="HelveticaNeueLT Std" w:hAnsi="HelveticaNeueLT Std"/>
        </w:rPr>
        <w:t>asic features of the doctrine of precedent (</w:t>
      </w:r>
      <w:r>
        <w:rPr>
          <w:rFonts w:ascii="HelveticaNeueLT Std" w:hAnsi="HelveticaNeueLT Std"/>
          <w:i/>
        </w:rPr>
        <w:t>Laying Down the Law</w:t>
      </w:r>
      <w:r w:rsidR="0036601D">
        <w:rPr>
          <w:rFonts w:ascii="HelveticaNeueLT Std" w:hAnsi="HelveticaNeueLT Std"/>
        </w:rPr>
        <w:t xml:space="preserve"> </w:t>
      </w:r>
      <w:proofErr w:type="spellStart"/>
      <w:r w:rsidR="0036601D">
        <w:rPr>
          <w:rFonts w:ascii="HelveticaNeueLT Std" w:hAnsi="HelveticaNeueLT Std"/>
        </w:rPr>
        <w:t>parag</w:t>
      </w:r>
      <w:proofErr w:type="spellEnd"/>
      <w:r w:rsidR="0036601D">
        <w:rPr>
          <w:rFonts w:ascii="HelveticaNeueLT Std" w:hAnsi="HelveticaNeueLT Std"/>
        </w:rPr>
        <w:t xml:space="preserve"> 6.9</w:t>
      </w:r>
      <w:r w:rsidR="006F4264">
        <w:rPr>
          <w:rFonts w:ascii="HelveticaNeueLT Std" w:hAnsi="HelveticaNeueLT Std"/>
        </w:rPr>
        <w:t>):</w:t>
      </w:r>
    </w:p>
    <w:p w14:paraId="64A303A6" w14:textId="0EEF06DA" w:rsidR="006F4264" w:rsidRDefault="006F4264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Each court is bound by decisions of courts higher in its hierarchy</w:t>
      </w:r>
    </w:p>
    <w:p w14:paraId="21F35420" w14:textId="2382A5A5" w:rsidR="006F4264" w:rsidRDefault="006F4264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A decision of a court in a different hierarchy or lower in the same hierarchy may be ‘persuasive’ but not binding</w:t>
      </w:r>
    </w:p>
    <w:p w14:paraId="7A3D7A1D" w14:textId="07A6C395" w:rsidR="006F4264" w:rsidRDefault="006F4264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Generally a court will not consider itself bound by its own past decisions but will depart from them only with reluctance</w:t>
      </w:r>
    </w:p>
    <w:p w14:paraId="5F66D92F" w14:textId="3D636836" w:rsidR="006F4264" w:rsidRDefault="006F4264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Only the </w:t>
      </w:r>
      <w:r w:rsidR="006C773B">
        <w:rPr>
          <w:rFonts w:ascii="HelveticaNeueLT Std" w:hAnsi="HelveticaNeueLT Std"/>
          <w:i/>
        </w:rPr>
        <w:t>ratio decidendi</w:t>
      </w:r>
      <w:r w:rsidRPr="005F5685">
        <w:rPr>
          <w:rFonts w:ascii="HelveticaNeueLT Std" w:hAnsi="HelveticaNeueLT Std"/>
        </w:rPr>
        <w:t xml:space="preserve"> </w:t>
      </w:r>
      <w:r>
        <w:rPr>
          <w:rFonts w:ascii="HelveticaNeueLT Std" w:hAnsi="HelveticaNeueLT Std"/>
        </w:rPr>
        <w:t>(‘reason for the decision’) of a past case is binding</w:t>
      </w:r>
    </w:p>
    <w:p w14:paraId="048C2536" w14:textId="77C4C058" w:rsidR="006F4264" w:rsidRDefault="006F4264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5F5685">
        <w:rPr>
          <w:rFonts w:ascii="HelveticaNeueLT Std" w:hAnsi="HelveticaNeueLT Std"/>
          <w:i/>
        </w:rPr>
        <w:t>Obiter dicta</w:t>
      </w:r>
      <w:r w:rsidRPr="005F5685">
        <w:rPr>
          <w:rFonts w:ascii="HelveticaNeueLT Std" w:hAnsi="HelveticaNeueLT Std"/>
        </w:rPr>
        <w:t xml:space="preserve"> </w:t>
      </w:r>
      <w:r>
        <w:rPr>
          <w:rFonts w:ascii="HelveticaNeueLT Std" w:hAnsi="HelveticaNeueLT Std"/>
        </w:rPr>
        <w:t>(‘remarks in passing’) are not binding but may be persuasive</w:t>
      </w:r>
    </w:p>
    <w:p w14:paraId="11A9BFC6" w14:textId="5213DC8A" w:rsidR="006F4264" w:rsidRDefault="006F4264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Precedents do not lose their force by lapse of time</w:t>
      </w:r>
    </w:p>
    <w:p w14:paraId="09CEE18F" w14:textId="38A612F6" w:rsidR="00C748DA" w:rsidRPr="005F5685" w:rsidRDefault="00C748DA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5F5685">
        <w:rPr>
          <w:rFonts w:ascii="HelveticaNeueLT Std" w:hAnsi="HelveticaNeueLT Std"/>
        </w:rPr>
        <w:t xml:space="preserve">Case law may be overridden by legislation </w:t>
      </w:r>
    </w:p>
    <w:p w14:paraId="16A3A13A" w14:textId="77777777" w:rsidR="00FF3092" w:rsidRDefault="00FF3092" w:rsidP="00FF3092">
      <w:pPr>
        <w:pStyle w:val="ListParagraph"/>
        <w:rPr>
          <w:rFonts w:ascii="HelveticaNeueLT Std" w:hAnsi="HelveticaNeueLT Std"/>
        </w:rPr>
      </w:pPr>
    </w:p>
    <w:p w14:paraId="07BA3B52" w14:textId="67729F14" w:rsidR="00FF3092" w:rsidRPr="005F5685" w:rsidRDefault="00FF3092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 w:rsidRPr="005F5685">
        <w:rPr>
          <w:rFonts w:ascii="HelveticaNeueLT Std" w:hAnsi="HelveticaNeueLT Std"/>
        </w:rPr>
        <w:t xml:space="preserve">So </w:t>
      </w:r>
      <w:r w:rsidR="005F5685" w:rsidRPr="005F5685">
        <w:rPr>
          <w:rFonts w:ascii="HelveticaNeueLT Std" w:hAnsi="HelveticaNeueLT Std"/>
        </w:rPr>
        <w:t xml:space="preserve">we need to understand: </w:t>
      </w:r>
    </w:p>
    <w:p w14:paraId="3CC25B67" w14:textId="6AC0F0D0" w:rsidR="00FF3092" w:rsidRDefault="00FF3092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What is the court ‘hierarchy’</w:t>
      </w:r>
    </w:p>
    <w:p w14:paraId="6955B049" w14:textId="1758DDA7" w:rsidR="00FF3092" w:rsidRDefault="00FF3092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Where/how can I get hold of a court decision</w:t>
      </w:r>
    </w:p>
    <w:p w14:paraId="06E33DDF" w14:textId="04944365" w:rsidR="00FF3092" w:rsidRDefault="00FF3092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What is </w:t>
      </w:r>
      <w:r w:rsidRPr="005F5685">
        <w:rPr>
          <w:rFonts w:ascii="HelveticaNeueLT Std" w:hAnsi="HelveticaNeueLT Std"/>
          <w:i/>
        </w:rPr>
        <w:t>ratio</w:t>
      </w:r>
    </w:p>
    <w:p w14:paraId="46EA2586" w14:textId="011191CB" w:rsidR="00FF3092" w:rsidRDefault="00FF3092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What is </w:t>
      </w:r>
      <w:r w:rsidRPr="005F5685">
        <w:rPr>
          <w:rFonts w:ascii="HelveticaNeueLT Std" w:hAnsi="HelveticaNeueLT Std"/>
          <w:i/>
        </w:rPr>
        <w:t>obiter</w:t>
      </w:r>
    </w:p>
    <w:p w14:paraId="1A12C0C3" w14:textId="77777777" w:rsidR="00FF3092" w:rsidRDefault="00FF3092" w:rsidP="00FF3092">
      <w:pPr>
        <w:pStyle w:val="ListParagraph"/>
        <w:rPr>
          <w:rFonts w:ascii="HelveticaNeueLT Std" w:hAnsi="HelveticaNeueLT Std"/>
        </w:rPr>
      </w:pPr>
    </w:p>
    <w:p w14:paraId="44D4DD7F" w14:textId="5A837DCA" w:rsidR="00FF3092" w:rsidRPr="007129CE" w:rsidRDefault="007129CE" w:rsidP="00D97441">
      <w:pPr>
        <w:pStyle w:val="Heading1"/>
        <w:numPr>
          <w:ilvl w:val="0"/>
          <w:numId w:val="5"/>
        </w:numPr>
        <w:spacing w:before="120" w:after="240"/>
        <w:rPr>
          <w:sz w:val="24"/>
          <w:szCs w:val="24"/>
        </w:rPr>
      </w:pPr>
      <w:r w:rsidRPr="007129CE">
        <w:rPr>
          <w:sz w:val="24"/>
          <w:szCs w:val="24"/>
        </w:rPr>
        <w:t xml:space="preserve">Court hierarchies </w:t>
      </w:r>
    </w:p>
    <w:p w14:paraId="017D902B" w14:textId="568474EF" w:rsidR="007129CE" w:rsidRDefault="007129CE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(Simplified) </w:t>
      </w:r>
      <w:r w:rsidR="00FF3092" w:rsidRPr="007129CE">
        <w:rPr>
          <w:rFonts w:ascii="HelveticaNeueLT Std" w:hAnsi="HelveticaNeueLT Std"/>
          <w:b/>
        </w:rPr>
        <w:t>FEDERAL</w:t>
      </w:r>
      <w:r>
        <w:rPr>
          <w:rFonts w:ascii="HelveticaNeueLT Std" w:hAnsi="HelveticaNeueLT Std"/>
        </w:rPr>
        <w:t xml:space="preserve"> HIERARCHY</w:t>
      </w:r>
      <w:r w:rsidR="00FF3092">
        <w:rPr>
          <w:rFonts w:ascii="HelveticaNeueLT Std" w:hAnsi="HelveticaNeueLT Std"/>
          <w:b/>
        </w:rPr>
        <w:t>:</w:t>
      </w:r>
      <w:r w:rsidR="00FF3092">
        <w:rPr>
          <w:rFonts w:ascii="HelveticaNeueLT Std" w:hAnsi="HelveticaNeueLT Std"/>
        </w:rPr>
        <w:t xml:space="preserve">  </w:t>
      </w:r>
    </w:p>
    <w:p w14:paraId="3286CA9E" w14:textId="77777777" w:rsidR="00811DCA" w:rsidRPr="00811DCA" w:rsidRDefault="00811DCA" w:rsidP="00811DCA">
      <w:pPr>
        <w:pStyle w:val="ListParagraph"/>
        <w:ind w:left="360"/>
        <w:rPr>
          <w:rFonts w:ascii="HelveticaNeueLT Std" w:hAnsi="HelveticaNeueLT Std"/>
        </w:rPr>
      </w:pPr>
    </w:p>
    <w:p w14:paraId="35423205" w14:textId="593EB117" w:rsidR="00FF3092" w:rsidRPr="007129CE" w:rsidRDefault="00FF3092" w:rsidP="00811DCA">
      <w:pPr>
        <w:ind w:left="360"/>
        <w:rPr>
          <w:rFonts w:ascii="HelveticaNeueLT Std" w:hAnsi="HelveticaNeueLT Std"/>
        </w:rPr>
      </w:pPr>
      <w:r w:rsidRPr="007129CE">
        <w:rPr>
          <w:rFonts w:ascii="HelveticaNeueLT Std" w:hAnsi="HelveticaNeueLT Std"/>
          <w:u w:val="single"/>
        </w:rPr>
        <w:t xml:space="preserve">Federal Circuit </w:t>
      </w:r>
      <w:proofErr w:type="gramStart"/>
      <w:r w:rsidRPr="007129CE">
        <w:rPr>
          <w:rFonts w:ascii="HelveticaNeueLT Std" w:hAnsi="HelveticaNeueLT Std"/>
          <w:u w:val="single"/>
        </w:rPr>
        <w:t>Court</w:t>
      </w:r>
      <w:r w:rsidRPr="007129CE">
        <w:rPr>
          <w:rFonts w:ascii="HelveticaNeueLT Std" w:hAnsi="HelveticaNeueLT Std"/>
        </w:rPr>
        <w:t xml:space="preserve">  &gt;</w:t>
      </w:r>
      <w:proofErr w:type="gramEnd"/>
      <w:r w:rsidRPr="007129CE">
        <w:rPr>
          <w:rFonts w:ascii="HelveticaNeueLT Std" w:hAnsi="HelveticaNeueLT Std"/>
        </w:rPr>
        <w:t xml:space="preserve">&gt;&gt;&gt; </w:t>
      </w:r>
      <w:r w:rsidRPr="007129CE">
        <w:rPr>
          <w:rFonts w:ascii="HelveticaNeueLT Std" w:hAnsi="HelveticaNeueLT Std"/>
          <w:u w:val="single"/>
        </w:rPr>
        <w:t>Family Court – single judge / appeal division</w:t>
      </w:r>
      <w:r w:rsidRPr="007129CE">
        <w:rPr>
          <w:rFonts w:ascii="HelveticaNeueLT Std" w:hAnsi="HelveticaNeueLT Std"/>
        </w:rPr>
        <w:t xml:space="preserve"> (family matters) </w:t>
      </w:r>
      <w:r w:rsidRPr="007129CE">
        <w:rPr>
          <w:rFonts w:ascii="HelveticaNeueLT Std" w:hAnsi="HelveticaNeueLT Std"/>
          <w:i/>
        </w:rPr>
        <w:t xml:space="preserve">or </w:t>
      </w:r>
      <w:r w:rsidRPr="007129CE">
        <w:rPr>
          <w:rFonts w:ascii="HelveticaNeueLT Std" w:hAnsi="HelveticaNeueLT Std"/>
          <w:u w:val="single"/>
        </w:rPr>
        <w:t>Federal Court single judge / full court</w:t>
      </w:r>
      <w:r w:rsidRPr="007129CE">
        <w:rPr>
          <w:rFonts w:ascii="HelveticaNeueLT Std" w:hAnsi="HelveticaNeueLT Std"/>
        </w:rPr>
        <w:t xml:space="preserve"> (other matters) &gt;&gt;&gt; </w:t>
      </w:r>
      <w:r w:rsidRPr="007129CE">
        <w:rPr>
          <w:rFonts w:ascii="HelveticaNeueLT Std" w:hAnsi="HelveticaNeueLT Std"/>
          <w:u w:val="single"/>
        </w:rPr>
        <w:t>High Court of Australia</w:t>
      </w:r>
    </w:p>
    <w:p w14:paraId="4785BE56" w14:textId="77777777" w:rsidR="00FF3092" w:rsidRPr="007129CE" w:rsidRDefault="00FF3092" w:rsidP="00811DCA">
      <w:pPr>
        <w:pStyle w:val="ListParagraph"/>
        <w:ind w:left="360"/>
        <w:rPr>
          <w:rFonts w:ascii="HelveticaNeueLT Std" w:hAnsi="HelveticaNeueLT Std"/>
          <w:b/>
        </w:rPr>
      </w:pPr>
      <w:r>
        <w:rPr>
          <w:rFonts w:ascii="HelveticaNeueLT Std" w:hAnsi="HelveticaNeueLT Std"/>
        </w:rPr>
        <w:t xml:space="preserve"> </w:t>
      </w:r>
      <w:r w:rsidRPr="007129CE">
        <w:rPr>
          <w:rFonts w:ascii="HelveticaNeueLT Std" w:hAnsi="HelveticaNeueLT Std"/>
          <w:b/>
          <w:i/>
        </w:rPr>
        <w:t>Plus:</w:t>
      </w:r>
    </w:p>
    <w:p w14:paraId="70E3BEE2" w14:textId="77777777" w:rsidR="00FF3092" w:rsidRPr="00F650D5" w:rsidRDefault="00FF3092" w:rsidP="00811DCA">
      <w:pPr>
        <w:pStyle w:val="ListParagraph"/>
        <w:ind w:left="360"/>
        <w:rPr>
          <w:rFonts w:ascii="HelveticaNeueLT Std" w:hAnsi="HelveticaNeueLT Std"/>
        </w:rPr>
      </w:pPr>
      <w:r w:rsidRPr="00F650D5">
        <w:rPr>
          <w:rFonts w:ascii="HelveticaNeueLT Std" w:hAnsi="HelveticaNeueLT Std"/>
          <w:u w:val="single"/>
        </w:rPr>
        <w:t>Magistrates Court</w:t>
      </w:r>
      <w:r>
        <w:rPr>
          <w:rFonts w:ascii="HelveticaNeueLT Std" w:hAnsi="HelveticaNeueLT Std"/>
        </w:rPr>
        <w:t xml:space="preserve"> (territories) or </w:t>
      </w:r>
      <w:r w:rsidRPr="00F650D5">
        <w:rPr>
          <w:rFonts w:ascii="HelveticaNeueLT Std" w:hAnsi="HelveticaNeueLT Std"/>
          <w:u w:val="single"/>
        </w:rPr>
        <w:t>Magistrates / District Courts</w:t>
      </w:r>
      <w:r>
        <w:rPr>
          <w:rFonts w:ascii="HelveticaNeueLT Std" w:hAnsi="HelveticaNeueLT Std"/>
        </w:rPr>
        <w:t xml:space="preserve"> (states – on federal matters) &gt;&gt;&gt; </w:t>
      </w:r>
      <w:r w:rsidRPr="00F650D5">
        <w:rPr>
          <w:rFonts w:ascii="HelveticaNeueLT Std" w:hAnsi="HelveticaNeueLT Std"/>
          <w:u w:val="single"/>
        </w:rPr>
        <w:t>Supreme Court of Territory / State – single judge or full court/ court of appeal</w:t>
      </w:r>
      <w:r>
        <w:rPr>
          <w:rFonts w:ascii="HelveticaNeueLT Std" w:hAnsi="HelveticaNeueLT Std"/>
        </w:rPr>
        <w:t xml:space="preserve"> &gt;&gt;&gt; </w:t>
      </w:r>
      <w:r w:rsidRPr="00F650D5">
        <w:rPr>
          <w:rFonts w:ascii="HelveticaNeueLT Std" w:hAnsi="HelveticaNeueLT Std"/>
          <w:u w:val="single"/>
        </w:rPr>
        <w:t>Federal Court Full Court</w:t>
      </w:r>
      <w:r>
        <w:rPr>
          <w:rFonts w:ascii="HelveticaNeueLT Std" w:hAnsi="HelveticaNeueLT Std"/>
        </w:rPr>
        <w:t xml:space="preserve"> &gt;&gt;&gt; </w:t>
      </w:r>
      <w:r w:rsidRPr="00F650D5">
        <w:rPr>
          <w:rFonts w:ascii="HelveticaNeueLT Std" w:hAnsi="HelveticaNeueLT Std"/>
          <w:u w:val="single"/>
        </w:rPr>
        <w:t>High Court of Australia</w:t>
      </w:r>
    </w:p>
    <w:p w14:paraId="6C1ED58A" w14:textId="77777777" w:rsidR="00FF3092" w:rsidRDefault="00FF3092" w:rsidP="00811DCA">
      <w:pPr>
        <w:pStyle w:val="ListParagraph"/>
        <w:ind w:left="360"/>
        <w:rPr>
          <w:rFonts w:ascii="HelveticaNeueLT Std" w:hAnsi="HelveticaNeueLT Std"/>
          <w:i/>
        </w:rPr>
      </w:pPr>
      <w:r>
        <w:rPr>
          <w:rFonts w:ascii="HelveticaNeueLT Std" w:hAnsi="HelveticaNeueLT Std"/>
          <w:i/>
        </w:rPr>
        <w:t>Plus:</w:t>
      </w:r>
    </w:p>
    <w:p w14:paraId="75F30FA2" w14:textId="551CAF86" w:rsidR="00FF3092" w:rsidRDefault="00FF3092" w:rsidP="00811DCA">
      <w:pPr>
        <w:pStyle w:val="ListParagraph"/>
        <w:ind w:left="360"/>
        <w:rPr>
          <w:rFonts w:ascii="HelveticaNeueLT Std" w:hAnsi="HelveticaNeueLT Std"/>
        </w:rPr>
      </w:pPr>
      <w:r>
        <w:rPr>
          <w:rFonts w:ascii="HelveticaNeueLT Std" w:hAnsi="HelveticaNeueLT Std"/>
        </w:rPr>
        <w:t>AAT appeals go to the Federal Court (but could be remitted to FCC)</w:t>
      </w:r>
    </w:p>
    <w:p w14:paraId="48867E4C" w14:textId="6AA8028C" w:rsidR="00C54E6C" w:rsidRDefault="00C54E6C" w:rsidP="00811DCA">
      <w:pPr>
        <w:pStyle w:val="ListParagraph"/>
        <w:ind w:left="360"/>
        <w:rPr>
          <w:rFonts w:ascii="HelveticaNeueLT Std" w:hAnsi="HelveticaNeueLT Std"/>
        </w:rPr>
      </w:pPr>
    </w:p>
    <w:p w14:paraId="4A76A600" w14:textId="54AAA2D4" w:rsidR="00C54E6C" w:rsidRDefault="00C54E6C" w:rsidP="00811DCA">
      <w:pPr>
        <w:pStyle w:val="ListParagraph"/>
        <w:ind w:left="360"/>
        <w:rPr>
          <w:rFonts w:ascii="HelveticaNeueLT Std" w:hAnsi="HelveticaNeueLT Std"/>
        </w:rPr>
      </w:pPr>
      <w:r w:rsidRPr="00C54E6C">
        <w:rPr>
          <w:rFonts w:ascii="HelveticaNeueLT Std" w:hAnsi="HelveticaNeueLT Std"/>
          <w:b/>
          <w:bCs/>
        </w:rPr>
        <w:t>NOTE</w:t>
      </w:r>
      <w:r>
        <w:rPr>
          <w:rFonts w:ascii="HelveticaNeueLT Std" w:hAnsi="HelveticaNeueLT Std"/>
        </w:rPr>
        <w:t xml:space="preserve"> that the Federal Circuit Court and the Family Court are due to be merged on 1 September 2021. See more here: </w:t>
      </w:r>
      <w:hyperlink r:id="rId8" w:history="1">
        <w:r w:rsidRPr="009B23A7">
          <w:rPr>
            <w:rStyle w:val="Hyperlink"/>
            <w:rFonts w:ascii="HelveticaNeueLT Std" w:hAnsi="HelveticaNeueLT Std" w:cs="Arial"/>
          </w:rPr>
          <w:t>https://www.ag.gov.au/legal-system/courts/structural-reform-federal-courts</w:t>
        </w:r>
      </w:hyperlink>
    </w:p>
    <w:p w14:paraId="142ECB00" w14:textId="77777777" w:rsidR="00C54E6C" w:rsidRDefault="00C54E6C" w:rsidP="00811DCA">
      <w:pPr>
        <w:pStyle w:val="ListParagraph"/>
        <w:ind w:left="360"/>
        <w:rPr>
          <w:rFonts w:ascii="HelveticaNeueLT Std" w:hAnsi="HelveticaNeueLT Std"/>
        </w:rPr>
      </w:pPr>
    </w:p>
    <w:p w14:paraId="3DA9A5CC" w14:textId="77777777" w:rsidR="007129CE" w:rsidRDefault="007129CE" w:rsidP="00FF3092">
      <w:pPr>
        <w:pStyle w:val="ListParagraph"/>
        <w:ind w:left="0"/>
        <w:rPr>
          <w:rFonts w:ascii="HelveticaNeueLT Std" w:hAnsi="HelveticaNeueLT Std"/>
        </w:rPr>
      </w:pPr>
    </w:p>
    <w:p w14:paraId="302A4475" w14:textId="77777777" w:rsidR="007129CE" w:rsidRPr="00811DCA" w:rsidRDefault="007129CE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(Simplified) </w:t>
      </w:r>
      <w:r w:rsidRPr="007129CE">
        <w:rPr>
          <w:rFonts w:ascii="HelveticaNeueLT Std" w:hAnsi="HelveticaNeueLT Std"/>
          <w:b/>
        </w:rPr>
        <w:t>STATE</w:t>
      </w:r>
      <w:r>
        <w:rPr>
          <w:rFonts w:ascii="HelveticaNeueLT Std" w:hAnsi="HelveticaNeueLT Std"/>
        </w:rPr>
        <w:t xml:space="preserve"> HIERARCHY</w:t>
      </w:r>
      <w:r>
        <w:rPr>
          <w:rFonts w:ascii="HelveticaNeueLT Std" w:hAnsi="HelveticaNeueLT Std"/>
          <w:b/>
        </w:rPr>
        <w:t xml:space="preserve">:  </w:t>
      </w:r>
    </w:p>
    <w:p w14:paraId="7817E869" w14:textId="77777777" w:rsidR="00811DCA" w:rsidRPr="007129CE" w:rsidRDefault="00811DCA" w:rsidP="00811DCA">
      <w:pPr>
        <w:pStyle w:val="ListParagraph"/>
        <w:ind w:left="360"/>
        <w:rPr>
          <w:rFonts w:ascii="HelveticaNeueLT Std" w:hAnsi="HelveticaNeueLT Std"/>
        </w:rPr>
      </w:pPr>
    </w:p>
    <w:p w14:paraId="609119B7" w14:textId="77777777" w:rsidR="007129CE" w:rsidRDefault="007129CE" w:rsidP="00811DCA">
      <w:pPr>
        <w:pStyle w:val="ListParagraph"/>
        <w:ind w:left="360"/>
        <w:rPr>
          <w:rFonts w:ascii="HelveticaNeueLT Std" w:hAnsi="HelveticaNeueLT Std"/>
          <w:u w:val="single"/>
        </w:rPr>
      </w:pPr>
      <w:r w:rsidRPr="005B2B25">
        <w:rPr>
          <w:rFonts w:ascii="HelveticaNeueLT Std" w:hAnsi="HelveticaNeueLT Std"/>
          <w:u w:val="single"/>
        </w:rPr>
        <w:t>Local Courts</w:t>
      </w:r>
      <w:r>
        <w:rPr>
          <w:rFonts w:ascii="HelveticaNeueLT Std" w:hAnsi="HelveticaNeueLT Std"/>
        </w:rPr>
        <w:t xml:space="preserve"> (</w:t>
      </w:r>
      <w:r w:rsidRPr="005B2B25">
        <w:rPr>
          <w:rFonts w:ascii="HelveticaNeueLT Std" w:hAnsi="HelveticaNeueLT Std"/>
          <w:i/>
        </w:rPr>
        <w:t>incl Magistrates Court / Small Claims / Coroners Court / Court of Petty Sessions / Children’s Court</w:t>
      </w:r>
      <w:r>
        <w:rPr>
          <w:rFonts w:ascii="HelveticaNeueLT Std" w:hAnsi="HelveticaNeueLT Std"/>
        </w:rPr>
        <w:t xml:space="preserve">) &gt;&gt;&gt; </w:t>
      </w:r>
      <w:r w:rsidRPr="005B2B25">
        <w:rPr>
          <w:rFonts w:ascii="HelveticaNeueLT Std" w:hAnsi="HelveticaNeueLT Std"/>
          <w:u w:val="single"/>
        </w:rPr>
        <w:t>District / County Courts</w:t>
      </w:r>
      <w:r>
        <w:rPr>
          <w:rFonts w:ascii="HelveticaNeueLT Std" w:hAnsi="HelveticaNeueLT Std"/>
        </w:rPr>
        <w:t xml:space="preserve"> &gt;&gt;&gt;&gt; </w:t>
      </w:r>
      <w:r w:rsidRPr="005B2B25">
        <w:rPr>
          <w:rFonts w:ascii="HelveticaNeueLT Std" w:hAnsi="HelveticaNeueLT Std"/>
          <w:u w:val="single"/>
        </w:rPr>
        <w:t>State Supreme Court – Single Judge</w:t>
      </w:r>
      <w:r>
        <w:rPr>
          <w:rFonts w:ascii="HelveticaNeueLT Std" w:hAnsi="HelveticaNeueLT Std"/>
        </w:rPr>
        <w:t xml:space="preserve"> (</w:t>
      </w:r>
      <w:r>
        <w:rPr>
          <w:rFonts w:ascii="HelveticaNeueLT Std" w:hAnsi="HelveticaNeueLT Std"/>
          <w:i/>
        </w:rPr>
        <w:t>Courts / tribunals of civil &amp; specialist jurisdiction</w:t>
      </w:r>
      <w:r>
        <w:rPr>
          <w:rFonts w:ascii="HelveticaNeueLT Std" w:hAnsi="HelveticaNeueLT Std"/>
        </w:rPr>
        <w:t xml:space="preserve">) &gt;&gt;&gt; </w:t>
      </w:r>
      <w:r w:rsidRPr="005B2B25">
        <w:rPr>
          <w:rFonts w:ascii="HelveticaNeueLT Std" w:hAnsi="HelveticaNeueLT Std"/>
          <w:u w:val="single"/>
        </w:rPr>
        <w:t>State Supreme Court – Court of Appeal / Full Court</w:t>
      </w:r>
      <w:r>
        <w:rPr>
          <w:rFonts w:ascii="HelveticaNeueLT Std" w:hAnsi="HelveticaNeueLT Std"/>
        </w:rPr>
        <w:t xml:space="preserve"> &gt;&gt;&gt; </w:t>
      </w:r>
      <w:r w:rsidRPr="005B2B25">
        <w:rPr>
          <w:rFonts w:ascii="HelveticaNeueLT Std" w:hAnsi="HelveticaNeueLT Std"/>
          <w:u w:val="single"/>
        </w:rPr>
        <w:t>High Court of Australia</w:t>
      </w:r>
    </w:p>
    <w:p w14:paraId="15906D90" w14:textId="77777777" w:rsidR="007129CE" w:rsidRDefault="007129CE" w:rsidP="007129CE">
      <w:pPr>
        <w:pStyle w:val="ListParagraph"/>
        <w:ind w:left="0"/>
        <w:rPr>
          <w:rFonts w:ascii="HelveticaNeueLT Std" w:hAnsi="HelveticaNeueLT Std"/>
          <w:u w:val="single"/>
        </w:rPr>
      </w:pPr>
    </w:p>
    <w:p w14:paraId="60C7EB20" w14:textId="56DFC9AA" w:rsidR="007129CE" w:rsidRPr="005B2B25" w:rsidRDefault="007129CE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Refer to </w:t>
      </w:r>
      <w:r>
        <w:rPr>
          <w:rFonts w:ascii="HelveticaNeueLT Std" w:hAnsi="HelveticaNeueLT Std"/>
          <w:i/>
        </w:rPr>
        <w:t>Laying Down the Law</w:t>
      </w:r>
      <w:r w:rsidR="00B54F00">
        <w:rPr>
          <w:rFonts w:ascii="HelveticaNeueLT Std" w:hAnsi="HelveticaNeueLT Std"/>
        </w:rPr>
        <w:t xml:space="preserve"> A2-A4</w:t>
      </w:r>
      <w:r w:rsidR="00575469">
        <w:rPr>
          <w:rFonts w:ascii="HelveticaNeueLT Std" w:hAnsi="HelveticaNeueLT Std"/>
        </w:rPr>
        <w:t>.</w:t>
      </w:r>
    </w:p>
    <w:p w14:paraId="08ABA77A" w14:textId="77777777" w:rsidR="00FF3092" w:rsidRDefault="00FF3092" w:rsidP="00FF3092">
      <w:pPr>
        <w:rPr>
          <w:rFonts w:ascii="Calibri" w:hAnsi="Calibri"/>
        </w:rPr>
      </w:pPr>
    </w:p>
    <w:p w14:paraId="668ED800" w14:textId="0812368F" w:rsidR="00FF3092" w:rsidRPr="00B312FA" w:rsidRDefault="00811DCA" w:rsidP="00D97441">
      <w:pPr>
        <w:pStyle w:val="Heading1"/>
        <w:numPr>
          <w:ilvl w:val="0"/>
          <w:numId w:val="5"/>
        </w:numPr>
        <w:spacing w:before="120" w:after="240"/>
        <w:rPr>
          <w:sz w:val="24"/>
          <w:szCs w:val="24"/>
        </w:rPr>
      </w:pPr>
      <w:r w:rsidRPr="00B312FA">
        <w:rPr>
          <w:sz w:val="24"/>
          <w:szCs w:val="24"/>
        </w:rPr>
        <w:t>Finding a past case</w:t>
      </w:r>
    </w:p>
    <w:p w14:paraId="4B3F3ACF" w14:textId="64E055FE" w:rsidR="00811DCA" w:rsidRDefault="00811DCA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Record of decision – critical to development of preceden</w:t>
      </w:r>
      <w:r w:rsidR="008072F2">
        <w:rPr>
          <w:rFonts w:ascii="HelveticaNeueLT Std" w:hAnsi="HelveticaNeueLT Std"/>
        </w:rPr>
        <w:t>t and body of l</w:t>
      </w:r>
      <w:r>
        <w:rPr>
          <w:rFonts w:ascii="HelveticaNeueLT Std" w:hAnsi="HelveticaNeueLT Std"/>
        </w:rPr>
        <w:t xml:space="preserve">egal rules based on </w:t>
      </w:r>
      <w:r w:rsidR="008072F2">
        <w:rPr>
          <w:rFonts w:ascii="HelveticaNeueLT Std" w:hAnsi="HelveticaNeueLT Std"/>
        </w:rPr>
        <w:t>past</w:t>
      </w:r>
      <w:r>
        <w:rPr>
          <w:rFonts w:ascii="HelveticaNeueLT Std" w:hAnsi="HelveticaNeueLT Std"/>
        </w:rPr>
        <w:t xml:space="preserve"> cases </w:t>
      </w:r>
    </w:p>
    <w:p w14:paraId="07FBC260" w14:textId="77777777" w:rsidR="00811DCA" w:rsidRDefault="00811DCA" w:rsidP="00811DCA">
      <w:pPr>
        <w:pStyle w:val="ListParagraph"/>
        <w:ind w:left="360"/>
        <w:rPr>
          <w:rFonts w:ascii="HelveticaNeueLT Std" w:hAnsi="HelveticaNeueLT Std"/>
        </w:rPr>
      </w:pPr>
    </w:p>
    <w:p w14:paraId="5025E70E" w14:textId="0D4FE44B" w:rsidR="00811DCA" w:rsidRDefault="00811DCA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F</w:t>
      </w:r>
      <w:r w:rsidR="00FF3092" w:rsidRPr="006C64DD">
        <w:rPr>
          <w:rFonts w:ascii="HelveticaNeueLT Std" w:hAnsi="HelveticaNeueLT Std"/>
        </w:rPr>
        <w:t xml:space="preserve">ound in law reports. </w:t>
      </w:r>
      <w:r w:rsidR="00C37B15">
        <w:rPr>
          <w:rFonts w:ascii="HelveticaNeueLT Std" w:hAnsi="HelveticaNeueLT Std"/>
        </w:rPr>
        <w:t xml:space="preserve">Can have authorised/unauthorised reports and general/specialist reports. </w:t>
      </w:r>
    </w:p>
    <w:p w14:paraId="684AF09D" w14:textId="77777777" w:rsidR="00811DCA" w:rsidRPr="00811DCA" w:rsidRDefault="00811DCA" w:rsidP="00811DCA">
      <w:pPr>
        <w:rPr>
          <w:rFonts w:ascii="HelveticaNeueLT Std" w:hAnsi="HelveticaNeueLT Std"/>
        </w:rPr>
      </w:pPr>
    </w:p>
    <w:p w14:paraId="1E8AE6C8" w14:textId="2E2220FB" w:rsidR="00FF3092" w:rsidRDefault="00811DCA" w:rsidP="00D97441">
      <w:pPr>
        <w:pStyle w:val="ListParagraph"/>
        <w:numPr>
          <w:ilvl w:val="0"/>
          <w:numId w:val="6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Need to understand citation method to understand how to find a case. </w:t>
      </w:r>
      <w:r w:rsidR="00FF3092" w:rsidRPr="00B8027F">
        <w:rPr>
          <w:rFonts w:ascii="HelveticaNeueLT Std" w:hAnsi="HelveticaNeueLT Std"/>
        </w:rPr>
        <w:t>Citation contains</w:t>
      </w:r>
      <w:r w:rsidR="00FF3092">
        <w:rPr>
          <w:rFonts w:ascii="HelveticaNeueLT Std" w:hAnsi="HelveticaNeueLT Std"/>
        </w:rPr>
        <w:t>:</w:t>
      </w:r>
    </w:p>
    <w:p w14:paraId="51C449F1" w14:textId="3FE42072" w:rsidR="00FF3092" w:rsidRDefault="00FF3092" w:rsidP="00D97441">
      <w:pPr>
        <w:pStyle w:val="ListParagraph"/>
        <w:numPr>
          <w:ilvl w:val="0"/>
          <w:numId w:val="2"/>
        </w:numPr>
        <w:rPr>
          <w:rFonts w:ascii="HelveticaNeueLT Std" w:hAnsi="HelveticaNeueLT Std"/>
        </w:rPr>
      </w:pPr>
      <w:r w:rsidRPr="00B8027F">
        <w:rPr>
          <w:rFonts w:ascii="HelveticaNeueLT Std" w:hAnsi="HelveticaNeueLT Std"/>
        </w:rPr>
        <w:t>parties’ names (</w:t>
      </w:r>
      <w:proofErr w:type="spellStart"/>
      <w:r w:rsidRPr="00B8027F">
        <w:rPr>
          <w:rFonts w:ascii="HelveticaNeueLT Std" w:hAnsi="HelveticaNeueLT Std"/>
        </w:rPr>
        <w:t>ie</w:t>
      </w:r>
      <w:proofErr w:type="spellEnd"/>
      <w:r w:rsidRPr="00B8027F">
        <w:rPr>
          <w:rFonts w:ascii="HelveticaNeueLT Std" w:hAnsi="HelveticaNeueLT Std"/>
        </w:rPr>
        <w:t xml:space="preserve">, the people in dispute) </w:t>
      </w:r>
    </w:p>
    <w:p w14:paraId="725580BC" w14:textId="1B1256F7" w:rsidR="00FF3092" w:rsidRDefault="00FF3092" w:rsidP="00D97441">
      <w:pPr>
        <w:pStyle w:val="ListParagraph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date (NB depending on whether there are square brackets or round brackets, the year may or may not be the year in which the case was handed down) </w:t>
      </w:r>
    </w:p>
    <w:p w14:paraId="55389280" w14:textId="77777777" w:rsidR="00FF3092" w:rsidRDefault="00FF3092" w:rsidP="00D97441">
      <w:pPr>
        <w:pStyle w:val="ListParagraph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(for some reports) a volume number </w:t>
      </w:r>
    </w:p>
    <w:p w14:paraId="2DBD8823" w14:textId="5B1C6E92" w:rsidR="00811DCA" w:rsidRDefault="00811DCA" w:rsidP="00D97441">
      <w:pPr>
        <w:pStyle w:val="ListParagraph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abbreviation of the law report</w:t>
      </w:r>
    </w:p>
    <w:p w14:paraId="7659090C" w14:textId="36F9808F" w:rsidR="00FF3092" w:rsidRDefault="00483137" w:rsidP="00D97441">
      <w:pPr>
        <w:pStyle w:val="ListParagraph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page number</w:t>
      </w:r>
      <w:r w:rsidR="00FF3092">
        <w:rPr>
          <w:rFonts w:ascii="HelveticaNeueLT Std" w:hAnsi="HelveticaNeueLT Std"/>
        </w:rPr>
        <w:t xml:space="preserve"> where </w:t>
      </w:r>
      <w:r w:rsidR="00811DCA">
        <w:rPr>
          <w:rFonts w:ascii="HelveticaNeueLT Std" w:hAnsi="HelveticaNeueLT Std"/>
        </w:rPr>
        <w:t xml:space="preserve">case </w:t>
      </w:r>
      <w:r>
        <w:rPr>
          <w:rFonts w:ascii="HelveticaNeueLT Std" w:hAnsi="HelveticaNeueLT Std"/>
        </w:rPr>
        <w:t>starts</w:t>
      </w:r>
    </w:p>
    <w:p w14:paraId="74377378" w14:textId="77777777" w:rsidR="00C37B15" w:rsidRDefault="00C37B15" w:rsidP="00C37B15">
      <w:pPr>
        <w:rPr>
          <w:rFonts w:ascii="HelveticaNeueLT Std" w:hAnsi="HelveticaNeueLT Std"/>
        </w:rPr>
      </w:pPr>
    </w:p>
    <w:p w14:paraId="67669335" w14:textId="3BC3B650" w:rsidR="00C37B15" w:rsidRDefault="00C37B15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 w:rsidRPr="00C37B15">
        <w:rPr>
          <w:rFonts w:ascii="HelveticaNeueLT Std" w:hAnsi="HelveticaNeueLT Std"/>
        </w:rPr>
        <w:t>Some judgments are ‘unreported’</w:t>
      </w:r>
      <w:r>
        <w:rPr>
          <w:rFonts w:ascii="HelveticaNeueLT Std" w:hAnsi="HelveticaNeueLT Std"/>
        </w:rPr>
        <w:t xml:space="preserve"> – mostly use ‘medium neutral citation’.</w:t>
      </w:r>
    </w:p>
    <w:p w14:paraId="718FFC01" w14:textId="77777777" w:rsidR="00C37B15" w:rsidRPr="00C37B15" w:rsidRDefault="00C37B15" w:rsidP="00C37B15">
      <w:pPr>
        <w:pStyle w:val="ListParagraph"/>
        <w:ind w:left="360"/>
        <w:rPr>
          <w:rFonts w:ascii="HelveticaNeueLT Std" w:hAnsi="HelveticaNeueLT Std"/>
        </w:rPr>
      </w:pPr>
    </w:p>
    <w:p w14:paraId="6A1EEBA4" w14:textId="4FD67694" w:rsidR="007A6E67" w:rsidRPr="00C37B15" w:rsidRDefault="00C37B15" w:rsidP="00D97441">
      <w:pPr>
        <w:pStyle w:val="Heading1"/>
        <w:numPr>
          <w:ilvl w:val="0"/>
          <w:numId w:val="5"/>
        </w:numPr>
        <w:spacing w:before="120" w:after="240"/>
        <w:rPr>
          <w:sz w:val="24"/>
          <w:szCs w:val="24"/>
        </w:rPr>
      </w:pPr>
      <w:r w:rsidRPr="00C37B15">
        <w:rPr>
          <w:sz w:val="24"/>
          <w:szCs w:val="24"/>
        </w:rPr>
        <w:t xml:space="preserve">Identifying </w:t>
      </w:r>
      <w:r w:rsidRPr="00C37B15">
        <w:rPr>
          <w:i/>
          <w:sz w:val="24"/>
          <w:szCs w:val="24"/>
        </w:rPr>
        <w:t>ratio</w:t>
      </w:r>
      <w:r w:rsidRPr="00C37B15">
        <w:rPr>
          <w:sz w:val="24"/>
          <w:szCs w:val="24"/>
        </w:rPr>
        <w:t xml:space="preserve"> and </w:t>
      </w:r>
      <w:r w:rsidRPr="00C37B15">
        <w:rPr>
          <w:i/>
          <w:sz w:val="24"/>
          <w:szCs w:val="24"/>
        </w:rPr>
        <w:t>obiter</w:t>
      </w:r>
    </w:p>
    <w:p w14:paraId="3706F7A1" w14:textId="640F125D" w:rsidR="007A6E67" w:rsidRPr="004959FD" w:rsidRDefault="004959FD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Need to know first how to read and analyse a case.</w:t>
      </w:r>
      <w:r w:rsidR="009333D0">
        <w:rPr>
          <w:rFonts w:ascii="HelveticaNeueLT Std" w:hAnsi="HelveticaNeueLT Std"/>
        </w:rPr>
        <w:br/>
      </w:r>
    </w:p>
    <w:p w14:paraId="78BC8151" w14:textId="6D60186D" w:rsidR="00FF3092" w:rsidRPr="00717257" w:rsidRDefault="007A6E67" w:rsidP="00D97441">
      <w:pPr>
        <w:pStyle w:val="Heading1"/>
        <w:numPr>
          <w:ilvl w:val="0"/>
          <w:numId w:val="8"/>
        </w:numPr>
        <w:spacing w:before="120"/>
      </w:pPr>
      <w:r w:rsidRPr="00717257">
        <w:t>Reading and analysing cases</w:t>
      </w:r>
    </w:p>
    <w:p w14:paraId="06D30EAF" w14:textId="74020E4B" w:rsidR="00FF3092" w:rsidRDefault="00717257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Two methods for doing a case analysis - </w:t>
      </w:r>
      <w:r w:rsidR="00FF3092">
        <w:rPr>
          <w:rFonts w:ascii="HelveticaNeueLT Std" w:hAnsi="HelveticaNeueLT Std"/>
        </w:rPr>
        <w:t>a longer version and a shorter version</w:t>
      </w:r>
      <w:r w:rsidR="003451CF">
        <w:rPr>
          <w:rFonts w:ascii="HelveticaNeueLT Std" w:hAnsi="HelveticaNeueLT Std"/>
        </w:rPr>
        <w:t xml:space="preserve"> (</w:t>
      </w:r>
      <w:r w:rsidR="00FF3092">
        <w:rPr>
          <w:rFonts w:ascii="HelveticaNeueLT Std" w:hAnsi="HelveticaNeueLT Std"/>
        </w:rPr>
        <w:t xml:space="preserve">see </w:t>
      </w:r>
      <w:r w:rsidR="003451CF">
        <w:rPr>
          <w:rFonts w:ascii="HelveticaNeueLT Std" w:hAnsi="HelveticaNeueLT Std"/>
          <w:i/>
        </w:rPr>
        <w:t>Laying Down the Law</w:t>
      </w:r>
      <w:r w:rsidR="00543666">
        <w:rPr>
          <w:rFonts w:ascii="HelveticaNeueLT Std" w:hAnsi="HelveticaNeueLT Std"/>
        </w:rPr>
        <w:t xml:space="preserve"> </w:t>
      </w:r>
      <w:proofErr w:type="spellStart"/>
      <w:r w:rsidR="00543666">
        <w:rPr>
          <w:rFonts w:ascii="HelveticaNeueLT Std" w:hAnsi="HelveticaNeueLT Std"/>
        </w:rPr>
        <w:t>parag</w:t>
      </w:r>
      <w:proofErr w:type="spellEnd"/>
      <w:r w:rsidR="00543666">
        <w:rPr>
          <w:rFonts w:ascii="HelveticaNeueLT Std" w:hAnsi="HelveticaNeueLT Std"/>
        </w:rPr>
        <w:t xml:space="preserve"> 6.4</w:t>
      </w:r>
      <w:r w:rsidR="00FF3092">
        <w:rPr>
          <w:rFonts w:ascii="HelveticaNeueLT Std" w:hAnsi="HelveticaNeueLT Std"/>
        </w:rPr>
        <w:t>).</w:t>
      </w:r>
    </w:p>
    <w:p w14:paraId="59EBA2E5" w14:textId="77777777" w:rsidR="003451CF" w:rsidRDefault="003451CF" w:rsidP="003451CF">
      <w:pPr>
        <w:pStyle w:val="ListParagraph"/>
        <w:ind w:left="360"/>
        <w:rPr>
          <w:rFonts w:ascii="HelveticaNeueLT Std" w:hAnsi="HelveticaNeueLT Std"/>
        </w:rPr>
      </w:pPr>
    </w:p>
    <w:p w14:paraId="44D78CEF" w14:textId="692671F7" w:rsidR="003451CF" w:rsidRDefault="003451CF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Best understood by doing one</w:t>
      </w:r>
      <w:r w:rsidR="002803C2">
        <w:rPr>
          <w:rFonts w:ascii="HelveticaNeueLT Std" w:hAnsi="HelveticaNeueLT Std"/>
        </w:rPr>
        <w:t xml:space="preserve"> – will do this in the live Zoom session.</w:t>
      </w:r>
    </w:p>
    <w:p w14:paraId="3FD5009C" w14:textId="77777777" w:rsidR="003451CF" w:rsidRPr="003451CF" w:rsidRDefault="003451CF" w:rsidP="002803C2">
      <w:pPr>
        <w:rPr>
          <w:rFonts w:ascii="HelveticaNeueLT Std" w:hAnsi="HelveticaNeueLT Std"/>
          <w:b/>
          <w:color w:val="FF0000"/>
        </w:rPr>
      </w:pPr>
    </w:p>
    <w:p w14:paraId="0BE4948C" w14:textId="5031FF75" w:rsidR="009A536F" w:rsidRPr="003451CF" w:rsidRDefault="00337D43" w:rsidP="00D97441">
      <w:pPr>
        <w:pStyle w:val="Heading1"/>
        <w:numPr>
          <w:ilvl w:val="0"/>
          <w:numId w:val="8"/>
        </w:numPr>
        <w:spacing w:before="120"/>
      </w:pPr>
      <w:r w:rsidRPr="003451CF">
        <w:t xml:space="preserve">Identifying the </w:t>
      </w:r>
      <w:r w:rsidR="003451CF">
        <w:rPr>
          <w:i/>
        </w:rPr>
        <w:t>ratio</w:t>
      </w:r>
      <w:r w:rsidR="009A536F" w:rsidRPr="003451CF">
        <w:t xml:space="preserve"> and </w:t>
      </w:r>
      <w:r w:rsidR="003451CF">
        <w:rPr>
          <w:i/>
        </w:rPr>
        <w:t>obiter</w:t>
      </w:r>
      <w:r w:rsidR="009A536F" w:rsidRPr="003451CF">
        <w:t xml:space="preserve"> </w:t>
      </w:r>
    </w:p>
    <w:p w14:paraId="394C82ED" w14:textId="77777777" w:rsidR="008153EC" w:rsidRDefault="008153EC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  <w:i/>
        </w:rPr>
        <w:t xml:space="preserve">Ratio / rationes: </w:t>
      </w:r>
    </w:p>
    <w:p w14:paraId="347AED3C" w14:textId="77777777" w:rsidR="008153EC" w:rsidRDefault="008153EC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‘the reason(s) for deciding’ </w:t>
      </w:r>
      <w:r w:rsidR="00D02208" w:rsidRPr="0001238B">
        <w:rPr>
          <w:rFonts w:ascii="HelveticaNeueLT Std" w:hAnsi="HelveticaNeueLT Std"/>
        </w:rPr>
        <w:t xml:space="preserve">– the </w:t>
      </w:r>
      <w:r w:rsidR="00D02208" w:rsidRPr="008153EC">
        <w:rPr>
          <w:rFonts w:ascii="HelveticaNeueLT Std" w:hAnsi="HelveticaNeueLT Std"/>
        </w:rPr>
        <w:t>legal principle(s) in relation to the facts of the case which the court has relied on in coming to its decision</w:t>
      </w:r>
      <w:r w:rsidR="005055EA" w:rsidRPr="0001238B">
        <w:rPr>
          <w:rFonts w:ascii="HelveticaNeueLT Std" w:hAnsi="HelveticaNeueLT Std"/>
        </w:rPr>
        <w:t xml:space="preserve"> </w:t>
      </w:r>
    </w:p>
    <w:p w14:paraId="7983E2FC" w14:textId="4502725F" w:rsidR="008153EC" w:rsidRDefault="008153EC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not always clear or easy to distil</w:t>
      </w:r>
    </w:p>
    <w:p w14:paraId="57B40439" w14:textId="09CF568A" w:rsidR="0001238B" w:rsidRPr="008153EC" w:rsidRDefault="00C37217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more </w:t>
      </w:r>
      <w:r w:rsidR="001669B7" w:rsidRPr="008153EC">
        <w:rPr>
          <w:rFonts w:ascii="HelveticaNeueLT Std" w:hAnsi="HelveticaNeueLT Std"/>
        </w:rPr>
        <w:t xml:space="preserve">realistic to say that </w:t>
      </w:r>
      <w:r>
        <w:rPr>
          <w:rFonts w:ascii="HelveticaNeueLT Std" w:hAnsi="HelveticaNeueLT Std"/>
          <w:i/>
        </w:rPr>
        <w:t>ratio</w:t>
      </w:r>
      <w:r w:rsidR="001669B7" w:rsidRPr="008153EC">
        <w:rPr>
          <w:rFonts w:ascii="HelveticaNeueLT Std" w:hAnsi="HelveticaNeueLT Std"/>
        </w:rPr>
        <w:t xml:space="preserve"> </w:t>
      </w:r>
      <w:r>
        <w:rPr>
          <w:rFonts w:ascii="HelveticaNeueLT Std" w:hAnsi="HelveticaNeueLT Std"/>
        </w:rPr>
        <w:t>determined / made clear by subsequent cases</w:t>
      </w:r>
    </w:p>
    <w:p w14:paraId="4D228F8A" w14:textId="77AF0F6A" w:rsidR="00D97F84" w:rsidRDefault="00D02208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01238B">
        <w:rPr>
          <w:rFonts w:ascii="HelveticaNeueLT Std" w:hAnsi="HelveticaNeueLT Std"/>
        </w:rPr>
        <w:t xml:space="preserve">may be stated at </w:t>
      </w:r>
      <w:r w:rsidRPr="00C37217">
        <w:rPr>
          <w:rFonts w:ascii="HelveticaNeueLT Std" w:hAnsi="HelveticaNeueLT Std"/>
        </w:rPr>
        <w:t>higher and lower levels of generality</w:t>
      </w:r>
      <w:r w:rsidR="00C37217">
        <w:rPr>
          <w:rFonts w:ascii="HelveticaNeueLT Std" w:hAnsi="HelveticaNeueLT Std"/>
        </w:rPr>
        <w:t xml:space="preserve"> </w:t>
      </w:r>
      <w:proofErr w:type="spellStart"/>
      <w:r w:rsidR="00C37217">
        <w:rPr>
          <w:rFonts w:ascii="HelveticaNeueLT Std" w:hAnsi="HelveticaNeueLT Std"/>
        </w:rPr>
        <w:t>eg</w:t>
      </w:r>
      <w:proofErr w:type="spellEnd"/>
      <w:r w:rsidR="00C37217">
        <w:rPr>
          <w:rFonts w:ascii="HelveticaNeueLT Std" w:hAnsi="HelveticaNeueLT Std"/>
        </w:rPr>
        <w:t xml:space="preserve"> </w:t>
      </w:r>
      <w:r w:rsidR="00C37217">
        <w:rPr>
          <w:rFonts w:ascii="HelveticaNeueLT Std" w:hAnsi="HelveticaNeueLT Std"/>
          <w:i/>
        </w:rPr>
        <w:t>Donoghue v Stevenson</w:t>
      </w:r>
      <w:r w:rsidRPr="0001238B">
        <w:rPr>
          <w:rFonts w:ascii="HelveticaNeueLT Std" w:hAnsi="HelveticaNeueLT Std"/>
        </w:rPr>
        <w:t xml:space="preserve"> </w:t>
      </w:r>
    </w:p>
    <w:p w14:paraId="7FCA4C21" w14:textId="77777777" w:rsidR="00D97F84" w:rsidRDefault="00BF54EF" w:rsidP="00D97441">
      <w:pPr>
        <w:pStyle w:val="ListParagraph"/>
        <w:numPr>
          <w:ilvl w:val="0"/>
          <w:numId w:val="4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lastRenderedPageBreak/>
        <w:t xml:space="preserve">within 4 years </w:t>
      </w:r>
      <w:r w:rsidR="00D97F84">
        <w:rPr>
          <w:rFonts w:ascii="HelveticaNeueLT Std" w:hAnsi="HelveticaNeueLT Std"/>
        </w:rPr>
        <w:t>- principle</w:t>
      </w:r>
      <w:r>
        <w:rPr>
          <w:rFonts w:ascii="HelveticaNeueLT Std" w:hAnsi="HelveticaNeueLT Std"/>
        </w:rPr>
        <w:t xml:space="preserve"> applied to a manufacturer of clothing (</w:t>
      </w:r>
      <w:r>
        <w:rPr>
          <w:rFonts w:ascii="HelveticaNeueLT Std" w:hAnsi="HelveticaNeueLT Std"/>
          <w:i/>
        </w:rPr>
        <w:t xml:space="preserve">Grant v Australian Knitting Mills Ltd </w:t>
      </w:r>
      <w:r>
        <w:rPr>
          <w:rFonts w:ascii="HelveticaNeueLT Std" w:hAnsi="HelveticaNeueLT Std"/>
        </w:rPr>
        <w:t xml:space="preserve">(1936)).  </w:t>
      </w:r>
    </w:p>
    <w:p w14:paraId="45C2A264" w14:textId="0F04FDAF" w:rsidR="009A536F" w:rsidRPr="00183981" w:rsidRDefault="00D97F84" w:rsidP="00D97441">
      <w:pPr>
        <w:pStyle w:val="ListParagraph"/>
        <w:numPr>
          <w:ilvl w:val="0"/>
          <w:numId w:val="4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Within 30 years – principle applied</w:t>
      </w:r>
      <w:r w:rsidR="00BF54EF">
        <w:rPr>
          <w:rFonts w:ascii="HelveticaNeueLT Std" w:hAnsi="HelveticaNeueLT Std"/>
        </w:rPr>
        <w:t xml:space="preserve"> to an architect of a shire hall as the “manufacturer” of the hall’s plans and drawings </w:t>
      </w:r>
      <w:r w:rsidR="008955A3">
        <w:rPr>
          <w:rFonts w:ascii="HelveticaNeueLT Std" w:hAnsi="HelveticaNeueLT Std"/>
        </w:rPr>
        <w:t>(</w:t>
      </w:r>
      <w:proofErr w:type="spellStart"/>
      <w:r w:rsidR="008955A3">
        <w:rPr>
          <w:rFonts w:ascii="HelveticaNeueLT Std" w:hAnsi="HelveticaNeueLT Std"/>
          <w:i/>
        </w:rPr>
        <w:t>Voli</w:t>
      </w:r>
      <w:proofErr w:type="spellEnd"/>
      <w:r w:rsidR="008955A3">
        <w:rPr>
          <w:rFonts w:ascii="HelveticaNeueLT Std" w:hAnsi="HelveticaNeueLT Std"/>
          <w:i/>
        </w:rPr>
        <w:t xml:space="preserve"> v Inglewood Shire Council </w:t>
      </w:r>
      <w:r w:rsidR="008955A3">
        <w:rPr>
          <w:rFonts w:ascii="HelveticaNeueLT Std" w:hAnsi="HelveticaNeueLT Std"/>
        </w:rPr>
        <w:t>(1962))</w:t>
      </w:r>
    </w:p>
    <w:p w14:paraId="77381C83" w14:textId="7B5EF66C" w:rsidR="0001238B" w:rsidRPr="00D97F84" w:rsidRDefault="00D97F84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  <w:i/>
        </w:rPr>
      </w:pPr>
      <w:r w:rsidRPr="00D97F84">
        <w:rPr>
          <w:rFonts w:ascii="HelveticaNeueLT Std" w:hAnsi="HelveticaNeueLT Std"/>
          <w:i/>
        </w:rPr>
        <w:t xml:space="preserve">Obiter dictum / dicta </w:t>
      </w:r>
    </w:p>
    <w:p w14:paraId="24ADB6D1" w14:textId="7D2FAF32" w:rsidR="0001238B" w:rsidRDefault="00D97F84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a ‘passing remark’</w:t>
      </w:r>
    </w:p>
    <w:p w14:paraId="5DB2FD60" w14:textId="26E7D595" w:rsidR="0001238B" w:rsidRDefault="00D97F84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D97F84">
        <w:rPr>
          <w:rFonts w:ascii="HelveticaNeueLT Std" w:hAnsi="HelveticaNeueLT Std"/>
          <w:i/>
        </w:rPr>
        <w:t>not</w:t>
      </w:r>
      <w:r>
        <w:rPr>
          <w:rFonts w:ascii="HelveticaNeueLT Std" w:hAnsi="HelveticaNeueLT Std"/>
        </w:rPr>
        <w:t xml:space="preserve"> everything the judge says in a case aside from </w:t>
      </w:r>
      <w:r>
        <w:rPr>
          <w:rFonts w:ascii="HelveticaNeueLT Std" w:hAnsi="HelveticaNeueLT Std"/>
          <w:i/>
        </w:rPr>
        <w:t>ratio</w:t>
      </w:r>
      <w:r w:rsidR="005B1C65">
        <w:rPr>
          <w:rFonts w:ascii="HelveticaNeueLT Std" w:hAnsi="HelveticaNeueLT Std"/>
        </w:rPr>
        <w:t xml:space="preserve">.  </w:t>
      </w:r>
    </w:p>
    <w:p w14:paraId="7988A0AA" w14:textId="4BA73787" w:rsidR="0001238B" w:rsidRDefault="005B1C65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usually a discussion of a legal rule that is not strictly applicable on the facts of the case </w:t>
      </w:r>
    </w:p>
    <w:p w14:paraId="56DCBC61" w14:textId="59F5644B" w:rsidR="009A536F" w:rsidRPr="001669B7" w:rsidRDefault="00D97F84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not binding, but may be persuasive (depending on seniority of court)</w:t>
      </w:r>
    </w:p>
    <w:p w14:paraId="3C96D7CF" w14:textId="0345E67C" w:rsidR="009F0238" w:rsidRPr="002803C2" w:rsidRDefault="002803C2" w:rsidP="002803C2">
      <w:pPr>
        <w:rPr>
          <w:rFonts w:ascii="HelveticaNeueLT Std" w:hAnsi="HelveticaNeueLT Std"/>
        </w:rPr>
      </w:pPr>
      <w:r>
        <w:rPr>
          <w:rFonts w:ascii="HelveticaNeueLT Std" w:hAnsi="HelveticaNeueLT Std"/>
        </w:rPr>
        <w:br/>
      </w:r>
    </w:p>
    <w:p w14:paraId="11191FC5" w14:textId="3D6A16FE" w:rsidR="009A536F" w:rsidRPr="00E93387" w:rsidRDefault="00E93387" w:rsidP="00D97441">
      <w:pPr>
        <w:pStyle w:val="Heading1"/>
        <w:numPr>
          <w:ilvl w:val="0"/>
          <w:numId w:val="5"/>
        </w:numPr>
        <w:spacing w:before="120" w:after="240"/>
        <w:rPr>
          <w:sz w:val="24"/>
          <w:szCs w:val="24"/>
        </w:rPr>
      </w:pPr>
      <w:r w:rsidRPr="00E93387">
        <w:rPr>
          <w:sz w:val="24"/>
          <w:szCs w:val="24"/>
        </w:rPr>
        <w:t>Exploring some of the nuances</w:t>
      </w:r>
      <w:r w:rsidR="00080E3A">
        <w:rPr>
          <w:sz w:val="24"/>
          <w:szCs w:val="24"/>
        </w:rPr>
        <w:t xml:space="preserve"> of case law</w:t>
      </w:r>
    </w:p>
    <w:p w14:paraId="6A11D4C4" w14:textId="74342CD7" w:rsidR="00F650D5" w:rsidRPr="00067790" w:rsidRDefault="00217C62" w:rsidP="00D97441">
      <w:pPr>
        <w:pStyle w:val="Heading1"/>
        <w:numPr>
          <w:ilvl w:val="0"/>
          <w:numId w:val="9"/>
        </w:numPr>
        <w:spacing w:before="120"/>
      </w:pPr>
      <w:r w:rsidRPr="00067790">
        <w:t xml:space="preserve">How to </w:t>
      </w:r>
      <w:r w:rsidR="00183981" w:rsidRPr="00067790">
        <w:t>‘</w:t>
      </w:r>
      <w:r w:rsidRPr="00067790">
        <w:t>avoid</w:t>
      </w:r>
      <w:r w:rsidR="00183981" w:rsidRPr="00067790">
        <w:t>’</w:t>
      </w:r>
      <w:r w:rsidRPr="00067790">
        <w:t xml:space="preserve"> precedents</w:t>
      </w:r>
    </w:p>
    <w:p w14:paraId="3157057D" w14:textId="77777777" w:rsidR="00380DC2" w:rsidRDefault="00380DC2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Mostly</w:t>
      </w:r>
      <w:r w:rsidR="00037663">
        <w:rPr>
          <w:rFonts w:ascii="HelveticaNeueLT Std" w:hAnsi="HelveticaNeueLT Std"/>
        </w:rPr>
        <w:t xml:space="preserve"> not </w:t>
      </w:r>
      <w:r>
        <w:rPr>
          <w:rFonts w:ascii="HelveticaNeueLT Std" w:hAnsi="HelveticaNeueLT Std"/>
        </w:rPr>
        <w:t xml:space="preserve">really </w:t>
      </w:r>
      <w:r w:rsidR="00037663">
        <w:rPr>
          <w:rFonts w:ascii="HelveticaNeueLT Std" w:hAnsi="HelveticaNeueLT Std"/>
        </w:rPr>
        <w:t xml:space="preserve">methods of </w:t>
      </w:r>
      <w:r w:rsidR="00037663">
        <w:rPr>
          <w:rFonts w:ascii="HelveticaNeueLT Std" w:hAnsi="HelveticaNeueLT Std"/>
          <w:i/>
        </w:rPr>
        <w:t xml:space="preserve">avoiding </w:t>
      </w:r>
      <w:r w:rsidR="00037663">
        <w:rPr>
          <w:rFonts w:ascii="HelveticaNeueLT Std" w:hAnsi="HelveticaNeueLT Std"/>
        </w:rPr>
        <w:t xml:space="preserve">precedents – </w:t>
      </w:r>
      <w:r>
        <w:rPr>
          <w:rFonts w:ascii="HelveticaNeueLT Std" w:hAnsi="HelveticaNeueLT Std"/>
        </w:rPr>
        <w:t>rather ways of saying that a given precedent is not binding in the particular circumstances</w:t>
      </w:r>
    </w:p>
    <w:p w14:paraId="44734CD6" w14:textId="77777777" w:rsidR="00037663" w:rsidRDefault="00037663" w:rsidP="00217C62">
      <w:pPr>
        <w:pStyle w:val="ListParagraph"/>
        <w:ind w:left="0"/>
        <w:rPr>
          <w:rFonts w:ascii="HelveticaNeueLT Std" w:hAnsi="HelveticaNeueLT Std"/>
        </w:rPr>
      </w:pPr>
    </w:p>
    <w:p w14:paraId="165789E8" w14:textId="10F9DA52" w:rsidR="00037663" w:rsidRDefault="00380DC2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R</w:t>
      </w:r>
      <w:r w:rsidR="00037663">
        <w:rPr>
          <w:rFonts w:ascii="HelveticaNeueLT Std" w:hAnsi="HelveticaNeueLT Std"/>
        </w:rPr>
        <w:t>ecap some of these:</w:t>
      </w:r>
    </w:p>
    <w:p w14:paraId="37524CCB" w14:textId="77777777" w:rsidR="00037663" w:rsidRDefault="00037663" w:rsidP="00217C62">
      <w:pPr>
        <w:pStyle w:val="ListParagraph"/>
        <w:ind w:left="0"/>
        <w:rPr>
          <w:rFonts w:ascii="HelveticaNeueLT Std" w:hAnsi="HelveticaNeueLT Std"/>
        </w:rPr>
      </w:pPr>
    </w:p>
    <w:p w14:paraId="5598D258" w14:textId="2ACE8BEC" w:rsidR="009E093F" w:rsidRPr="00380DC2" w:rsidRDefault="00037663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380DC2">
        <w:rPr>
          <w:rFonts w:ascii="HelveticaNeueLT Std" w:hAnsi="HelveticaNeueLT Std"/>
        </w:rPr>
        <w:t xml:space="preserve">Precedent is distinguishable on the facts  </w:t>
      </w:r>
    </w:p>
    <w:p w14:paraId="3FD47BA9" w14:textId="2D0CBEE9" w:rsidR="009E093F" w:rsidRPr="00380DC2" w:rsidRDefault="00037663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380DC2">
        <w:rPr>
          <w:rFonts w:ascii="HelveticaNeueLT Std" w:hAnsi="HelveticaNeueLT Std"/>
        </w:rPr>
        <w:t>Statement of law the earlier case (ratio) has been stated too widely and should be more confined to its facts</w:t>
      </w:r>
      <w:r w:rsidR="00380DC2">
        <w:rPr>
          <w:rFonts w:ascii="HelveticaNeueLT Std" w:hAnsi="HelveticaNeueLT Std"/>
        </w:rPr>
        <w:t xml:space="preserve">  </w:t>
      </w:r>
    </w:p>
    <w:p w14:paraId="308D8282" w14:textId="2709A8D7" w:rsidR="009E093F" w:rsidRPr="00380DC2" w:rsidRDefault="00037663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380DC2">
        <w:rPr>
          <w:rFonts w:ascii="HelveticaNeueLT Std" w:hAnsi="HelveticaNeueLT Std"/>
        </w:rPr>
        <w:t>Statement of law in earlier case is obiter dictum and so the principle is not a binding precedent</w:t>
      </w:r>
      <w:r>
        <w:rPr>
          <w:rFonts w:ascii="HelveticaNeueLT Std" w:hAnsi="HelveticaNeueLT Std"/>
        </w:rPr>
        <w:t xml:space="preserve"> </w:t>
      </w:r>
    </w:p>
    <w:p w14:paraId="3A74DEA0" w14:textId="30745031" w:rsidR="009E093F" w:rsidRPr="009E093F" w:rsidRDefault="00037663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380DC2">
        <w:rPr>
          <w:rFonts w:ascii="HelveticaNeueLT Std" w:hAnsi="HelveticaNeueLT Std"/>
        </w:rPr>
        <w:t>Precedent should not be applied due to changed social conditions</w:t>
      </w:r>
      <w:r>
        <w:rPr>
          <w:rFonts w:ascii="HelveticaNeueLT Std" w:hAnsi="HelveticaNeueLT Std"/>
        </w:rPr>
        <w:t xml:space="preserve"> </w:t>
      </w:r>
    </w:p>
    <w:p w14:paraId="5BDFF989" w14:textId="73ACF7C5" w:rsidR="009E093F" w:rsidRPr="00380DC2" w:rsidRDefault="00520CB7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380DC2">
        <w:rPr>
          <w:rFonts w:ascii="HelveticaNeueLT Std" w:hAnsi="HelveticaNeueLT Std"/>
        </w:rPr>
        <w:t>Precedent is unsatisfactory</w:t>
      </w:r>
      <w:r>
        <w:rPr>
          <w:rFonts w:ascii="HelveticaNeueLT Std" w:hAnsi="HelveticaNeueLT Std"/>
        </w:rPr>
        <w:t xml:space="preserve"> </w:t>
      </w:r>
    </w:p>
    <w:p w14:paraId="327E4266" w14:textId="376BC353" w:rsidR="00520CB7" w:rsidRPr="00037663" w:rsidRDefault="00520CB7" w:rsidP="00D97441">
      <w:pPr>
        <w:pStyle w:val="ListParagraph"/>
        <w:numPr>
          <w:ilvl w:val="0"/>
          <w:numId w:val="3"/>
        </w:numPr>
        <w:rPr>
          <w:rFonts w:ascii="HelveticaNeueLT Std" w:hAnsi="HelveticaNeueLT Std"/>
        </w:rPr>
      </w:pPr>
      <w:r w:rsidRPr="00380DC2">
        <w:rPr>
          <w:rFonts w:ascii="HelveticaNeueLT Std" w:hAnsi="HelveticaNeueLT Std"/>
        </w:rPr>
        <w:t>Precedent is wrongly decided</w:t>
      </w:r>
      <w:r w:rsidR="0097540E">
        <w:rPr>
          <w:rFonts w:ascii="HelveticaNeueLT Std" w:hAnsi="HelveticaNeueLT Std"/>
        </w:rPr>
        <w:t xml:space="preserve"> – </w:t>
      </w:r>
      <w:r w:rsidR="0097540E" w:rsidRPr="00380DC2">
        <w:rPr>
          <w:rFonts w:ascii="HelveticaNeueLT Std" w:hAnsi="HelveticaNeueLT Std"/>
        </w:rPr>
        <w:t xml:space="preserve">per incuriam </w:t>
      </w:r>
      <w:r w:rsidR="00380DC2">
        <w:rPr>
          <w:rFonts w:ascii="HelveticaNeueLT Std" w:hAnsi="HelveticaNeueLT Std"/>
        </w:rPr>
        <w:t xml:space="preserve">– ‘want of care’ </w:t>
      </w:r>
    </w:p>
    <w:p w14:paraId="5415D9A5" w14:textId="77777777" w:rsidR="00B1146D" w:rsidRDefault="00B1146D" w:rsidP="00217C62">
      <w:pPr>
        <w:pStyle w:val="ListParagraph"/>
        <w:ind w:left="0"/>
        <w:rPr>
          <w:rFonts w:ascii="HelveticaNeueLT Std" w:hAnsi="HelveticaNeueLT Std"/>
        </w:rPr>
      </w:pPr>
    </w:p>
    <w:p w14:paraId="654B6FAC" w14:textId="7991AC11" w:rsidR="00B1146D" w:rsidRDefault="00380DC2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Importance of a</w:t>
      </w:r>
      <w:r w:rsidR="0097540E">
        <w:rPr>
          <w:rFonts w:ascii="HelveticaNeueLT Std" w:hAnsi="HelveticaNeueLT Std"/>
        </w:rPr>
        <w:t xml:space="preserve"> </w:t>
      </w:r>
      <w:r w:rsidR="0097540E">
        <w:rPr>
          <w:rFonts w:ascii="HelveticaNeueLT Std" w:hAnsi="HelveticaNeueLT Std"/>
          <w:b/>
        </w:rPr>
        <w:t>right of appeal</w:t>
      </w:r>
      <w:r w:rsidR="0097540E">
        <w:rPr>
          <w:rFonts w:ascii="HelveticaNeueLT Std" w:hAnsi="HelveticaNeueLT Std"/>
        </w:rPr>
        <w:t xml:space="preserve"> </w:t>
      </w:r>
      <w:r w:rsidR="006C27C7">
        <w:rPr>
          <w:rFonts w:ascii="HelveticaNeueLT Std" w:hAnsi="HelveticaNeueLT Std"/>
        </w:rPr>
        <w:t>for system of precedent to work</w:t>
      </w:r>
    </w:p>
    <w:p w14:paraId="3F41CAF8" w14:textId="77777777" w:rsidR="008072F2" w:rsidRDefault="008072F2" w:rsidP="008072F2">
      <w:pPr>
        <w:pStyle w:val="ListParagraph"/>
        <w:ind w:left="360"/>
        <w:rPr>
          <w:rFonts w:ascii="HelveticaNeueLT Std" w:hAnsi="HelveticaNeueLT Std"/>
        </w:rPr>
      </w:pPr>
    </w:p>
    <w:p w14:paraId="46A5E8EF" w14:textId="1DF58336" w:rsidR="008072F2" w:rsidRPr="006A7DBA" w:rsidRDefault="008072F2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High Court never bound by own decisions but only departs reluctantly – see </w:t>
      </w:r>
      <w:r w:rsidRPr="008072F2">
        <w:rPr>
          <w:rFonts w:ascii="HelveticaNeueLT Std" w:hAnsi="HelveticaNeueLT Std"/>
          <w:i/>
        </w:rPr>
        <w:t xml:space="preserve">John v Federal Commissioner of Taxation </w:t>
      </w:r>
      <w:r w:rsidR="00F304FB">
        <w:rPr>
          <w:rFonts w:ascii="HelveticaNeueLT Std" w:hAnsi="HelveticaNeueLT Std"/>
        </w:rPr>
        <w:t>(1989) 166 CLR 417.</w:t>
      </w:r>
    </w:p>
    <w:p w14:paraId="37E0D05A" w14:textId="77777777" w:rsidR="008072F2" w:rsidRPr="008072F2" w:rsidRDefault="008072F2" w:rsidP="008072F2">
      <w:pPr>
        <w:pStyle w:val="ListParagraph"/>
        <w:ind w:left="360"/>
        <w:rPr>
          <w:rFonts w:ascii="HelveticaNeueLT Std" w:hAnsi="HelveticaNeueLT Std"/>
        </w:rPr>
      </w:pPr>
    </w:p>
    <w:p w14:paraId="038EF898" w14:textId="087B1F4D" w:rsidR="00CC641C" w:rsidRPr="008072F2" w:rsidRDefault="004A5C46" w:rsidP="00D97441">
      <w:pPr>
        <w:pStyle w:val="Heading1"/>
        <w:numPr>
          <w:ilvl w:val="0"/>
          <w:numId w:val="9"/>
        </w:numPr>
        <w:spacing w:before="120"/>
      </w:pPr>
      <w:r w:rsidRPr="008072F2">
        <w:t>Judicial decision-making</w:t>
      </w:r>
    </w:p>
    <w:p w14:paraId="5290560C" w14:textId="77777777" w:rsidR="00D25AA1" w:rsidRDefault="00D25AA1" w:rsidP="00217C62">
      <w:pPr>
        <w:pStyle w:val="ListParagraph"/>
        <w:ind w:left="0"/>
        <w:rPr>
          <w:rFonts w:ascii="HelveticaNeueLT Std" w:hAnsi="HelveticaNeueLT Std"/>
        </w:rPr>
      </w:pPr>
    </w:p>
    <w:p w14:paraId="1DC2665D" w14:textId="77777777" w:rsidR="008072F2" w:rsidRDefault="008072F2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Doctrine of precedent not as rigid as it appears - </w:t>
      </w:r>
      <w:r w:rsidRPr="008072F2">
        <w:rPr>
          <w:rFonts w:ascii="HelveticaNeueLT Std" w:hAnsi="HelveticaNeueLT Std"/>
        </w:rPr>
        <w:t>s</w:t>
      </w:r>
      <w:r w:rsidR="004620C8" w:rsidRPr="008072F2">
        <w:rPr>
          <w:rFonts w:ascii="HelveticaNeueLT Std" w:hAnsi="HelveticaNeueLT Std"/>
        </w:rPr>
        <w:t>pace for c</w:t>
      </w:r>
      <w:r w:rsidR="00B711FE" w:rsidRPr="008072F2">
        <w:rPr>
          <w:rFonts w:ascii="HelveticaNeueLT Std" w:hAnsi="HelveticaNeueLT Std"/>
        </w:rPr>
        <w:t>reativity</w:t>
      </w:r>
      <w:r w:rsidRPr="008072F2">
        <w:rPr>
          <w:rFonts w:ascii="HelveticaNeueLT Std" w:hAnsi="HelveticaNeueLT Std"/>
        </w:rPr>
        <w:t xml:space="preserve"> exists (at least at appellate level) </w:t>
      </w:r>
    </w:p>
    <w:p w14:paraId="3223F57B" w14:textId="77777777" w:rsidR="008072F2" w:rsidRDefault="008072F2" w:rsidP="008072F2">
      <w:pPr>
        <w:pStyle w:val="ListParagraph"/>
        <w:ind w:left="360"/>
        <w:rPr>
          <w:rFonts w:ascii="HelveticaNeueLT Std" w:hAnsi="HelveticaNeueLT Std"/>
        </w:rPr>
      </w:pPr>
    </w:p>
    <w:p w14:paraId="2D257E48" w14:textId="462EF3FB" w:rsidR="004A5C46" w:rsidRPr="008072F2" w:rsidRDefault="008072F2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Traditional view of role of judges – legal formalism and the ‘</w:t>
      </w:r>
      <w:r w:rsidR="004A5C46" w:rsidRPr="008072F2">
        <w:rPr>
          <w:rFonts w:ascii="HelveticaNeueLT Std" w:hAnsi="HelveticaNeueLT Std"/>
        </w:rPr>
        <w:t>declaratory theory’ of the common law</w:t>
      </w:r>
      <w:r>
        <w:rPr>
          <w:rFonts w:ascii="HelveticaNeueLT Std" w:hAnsi="HelveticaNeueLT Std"/>
        </w:rPr>
        <w:t xml:space="preserve">: </w:t>
      </w:r>
      <w:r w:rsidR="004A5C46" w:rsidRPr="008072F2">
        <w:rPr>
          <w:rFonts w:ascii="HelveticaNeueLT Std" w:hAnsi="HelveticaNeueLT Std"/>
        </w:rPr>
        <w:t xml:space="preserve"> - </w:t>
      </w:r>
      <w:r>
        <w:rPr>
          <w:rFonts w:ascii="HelveticaNeueLT Std" w:hAnsi="HelveticaNeueLT Std"/>
        </w:rPr>
        <w:t>judges’</w:t>
      </w:r>
      <w:r w:rsidR="004A5C46" w:rsidRPr="008072F2">
        <w:rPr>
          <w:rFonts w:ascii="HelveticaNeueLT Std" w:hAnsi="HelveticaNeueLT Std"/>
        </w:rPr>
        <w:t xml:space="preserve"> ‘creative’ role </w:t>
      </w:r>
      <w:r>
        <w:rPr>
          <w:rFonts w:ascii="HelveticaNeueLT Std" w:hAnsi="HelveticaNeueLT Std"/>
        </w:rPr>
        <w:t>limited to being able</w:t>
      </w:r>
      <w:r w:rsidR="004A5C46" w:rsidRPr="008072F2">
        <w:rPr>
          <w:rFonts w:ascii="HelveticaNeueLT Std" w:hAnsi="HelveticaNeueLT Std"/>
        </w:rPr>
        <w:t xml:space="preserve"> to declare the law where it was unsettled or </w:t>
      </w:r>
      <w:r>
        <w:rPr>
          <w:rFonts w:ascii="HelveticaNeueLT Std" w:hAnsi="HelveticaNeueLT Std"/>
        </w:rPr>
        <w:t>apply</w:t>
      </w:r>
      <w:r w:rsidR="004A5C46" w:rsidRPr="008072F2">
        <w:rPr>
          <w:rFonts w:ascii="HelveticaNeueLT Std" w:hAnsi="HelveticaNeueLT Std"/>
        </w:rPr>
        <w:t xml:space="preserve"> the existing law to new circumstances.</w:t>
      </w:r>
    </w:p>
    <w:p w14:paraId="4C18464F" w14:textId="6876FF44" w:rsidR="004A5C46" w:rsidRDefault="004A5C46" w:rsidP="00217C62">
      <w:pPr>
        <w:pStyle w:val="ListParagraph"/>
        <w:ind w:left="0"/>
        <w:rPr>
          <w:rFonts w:ascii="HelveticaNeueLT Std" w:hAnsi="HelveticaNeueLT Std"/>
        </w:rPr>
      </w:pPr>
    </w:p>
    <w:p w14:paraId="2B8BBD86" w14:textId="64652D23" w:rsidR="00305386" w:rsidRPr="00217C62" w:rsidRDefault="00B711FE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 w:rsidRPr="008072F2">
        <w:rPr>
          <w:rFonts w:ascii="HelveticaNeueLT Std" w:hAnsi="HelveticaNeueLT Std"/>
        </w:rPr>
        <w:t>Legal realism</w:t>
      </w:r>
      <w:r w:rsidR="008072F2">
        <w:rPr>
          <w:rFonts w:ascii="HelveticaNeueLT Std" w:hAnsi="HelveticaNeueLT Std"/>
        </w:rPr>
        <w:t xml:space="preserve"> view – 20</w:t>
      </w:r>
      <w:r w:rsidR="008072F2" w:rsidRPr="008072F2">
        <w:rPr>
          <w:rFonts w:ascii="HelveticaNeueLT Std" w:hAnsi="HelveticaNeueLT Std"/>
          <w:vertAlign w:val="superscript"/>
        </w:rPr>
        <w:t>th</w:t>
      </w:r>
      <w:r w:rsidR="008072F2">
        <w:rPr>
          <w:rFonts w:ascii="HelveticaNeueLT Std" w:hAnsi="HelveticaNeueLT Std"/>
        </w:rPr>
        <w:t xml:space="preserve"> century movement: emphasis on </w:t>
      </w:r>
      <w:r w:rsidR="00305386" w:rsidRPr="00217C62">
        <w:rPr>
          <w:rFonts w:ascii="HelveticaNeueLT Std" w:hAnsi="HelveticaNeueLT Std"/>
        </w:rPr>
        <w:t xml:space="preserve">‘choices’ </w:t>
      </w:r>
      <w:r w:rsidR="008072F2">
        <w:rPr>
          <w:rFonts w:ascii="HelveticaNeueLT Std" w:hAnsi="HelveticaNeueLT Std"/>
        </w:rPr>
        <w:t xml:space="preserve">facing judges’ in their decision-making which allow other </w:t>
      </w:r>
      <w:r w:rsidR="00305386" w:rsidRPr="00217C62">
        <w:rPr>
          <w:rFonts w:ascii="HelveticaNeueLT Std" w:hAnsi="HelveticaNeueLT Std"/>
        </w:rPr>
        <w:t>factors (</w:t>
      </w:r>
      <w:proofErr w:type="spellStart"/>
      <w:r w:rsidR="00305386" w:rsidRPr="00217C62">
        <w:rPr>
          <w:rFonts w:ascii="HelveticaNeueLT Std" w:hAnsi="HelveticaNeueLT Std"/>
        </w:rPr>
        <w:t>eg</w:t>
      </w:r>
      <w:proofErr w:type="spellEnd"/>
      <w:r w:rsidR="00305386" w:rsidRPr="00217C62">
        <w:rPr>
          <w:rFonts w:ascii="HelveticaNeueLT Std" w:hAnsi="HelveticaNeueLT Std"/>
        </w:rPr>
        <w:t xml:space="preserve"> pol</w:t>
      </w:r>
      <w:r w:rsidR="008072F2">
        <w:rPr>
          <w:rFonts w:ascii="HelveticaNeueLT Std" w:hAnsi="HelveticaNeueLT Std"/>
        </w:rPr>
        <w:t>icy) to enter into the equation, meaning judges do ‘make’ law</w:t>
      </w:r>
    </w:p>
    <w:p w14:paraId="0FB0B0C3" w14:textId="53C444AF" w:rsidR="00305386" w:rsidRPr="00305386" w:rsidRDefault="00305386" w:rsidP="00217C62">
      <w:pPr>
        <w:pStyle w:val="ListParagraph"/>
        <w:ind w:left="0"/>
        <w:rPr>
          <w:rFonts w:ascii="HelveticaNeueLT Std" w:hAnsi="HelveticaNeueLT Std"/>
        </w:rPr>
      </w:pPr>
    </w:p>
    <w:p w14:paraId="21B83E88" w14:textId="7AF1CCE5" w:rsidR="00D97441" w:rsidRDefault="00B711FE" w:rsidP="00D97441">
      <w:pPr>
        <w:pStyle w:val="ListParagraph"/>
        <w:numPr>
          <w:ilvl w:val="0"/>
          <w:numId w:val="7"/>
        </w:numPr>
        <w:rPr>
          <w:rFonts w:ascii="HelveticaNeueLT Std" w:hAnsi="HelveticaNeueLT Std"/>
        </w:rPr>
      </w:pPr>
      <w:r w:rsidRPr="008072F2">
        <w:rPr>
          <w:rFonts w:ascii="HelveticaNeueLT Std" w:hAnsi="HelveticaNeueLT Std"/>
        </w:rPr>
        <w:t>Modern view</w:t>
      </w:r>
      <w:r w:rsidR="00D97441">
        <w:rPr>
          <w:rFonts w:ascii="HelveticaNeueLT Std" w:hAnsi="HelveticaNeueLT Std"/>
          <w:b/>
        </w:rPr>
        <w:t xml:space="preserve"> - </w:t>
      </w:r>
      <w:r>
        <w:rPr>
          <w:rFonts w:ascii="HelveticaNeueLT Std" w:hAnsi="HelveticaNeueLT Std"/>
          <w:b/>
        </w:rPr>
        <w:t xml:space="preserve"> </w:t>
      </w:r>
      <w:r>
        <w:rPr>
          <w:rFonts w:ascii="HelveticaNeueLT Std" w:hAnsi="HelveticaNeueLT Std"/>
        </w:rPr>
        <w:t>accept</w:t>
      </w:r>
      <w:r w:rsidR="008072F2">
        <w:rPr>
          <w:rFonts w:ascii="HelveticaNeueLT Std" w:hAnsi="HelveticaNeueLT Std"/>
        </w:rPr>
        <w:t>ed</w:t>
      </w:r>
      <w:r>
        <w:rPr>
          <w:rFonts w:ascii="HelveticaNeueLT Std" w:hAnsi="HelveticaNeueLT Std"/>
        </w:rPr>
        <w:t xml:space="preserve"> that judges</w:t>
      </w:r>
      <w:r w:rsidRPr="00B711FE">
        <w:rPr>
          <w:rFonts w:ascii="HelveticaNeueLT Std" w:hAnsi="HelveticaNeueLT Std"/>
        </w:rPr>
        <w:t xml:space="preserve"> do make law within proper limits</w:t>
      </w:r>
      <w:r w:rsidR="008072F2">
        <w:rPr>
          <w:rFonts w:ascii="HelveticaNeueLT Std" w:hAnsi="HelveticaNeueLT Std"/>
        </w:rPr>
        <w:t xml:space="preserve"> and subject to the legislature; judges have </w:t>
      </w:r>
      <w:r w:rsidR="008072F2" w:rsidRPr="00D97441">
        <w:rPr>
          <w:rFonts w:ascii="HelveticaNeueLT Std" w:hAnsi="HelveticaNeueLT Std"/>
          <w:i/>
          <w:u w:val="single"/>
        </w:rPr>
        <w:t>choices</w:t>
      </w:r>
      <w:r w:rsidR="008072F2">
        <w:rPr>
          <w:rFonts w:ascii="HelveticaNeueLT Std" w:hAnsi="HelveticaNeueLT Std"/>
        </w:rPr>
        <w:t xml:space="preserve"> but </w:t>
      </w:r>
      <w:r w:rsidRPr="00217C62">
        <w:rPr>
          <w:rFonts w:ascii="HelveticaNeueLT Std" w:hAnsi="HelveticaNeueLT Std"/>
        </w:rPr>
        <w:t>these are not completely unbridled and more often than not the existing authorities and principles point the j</w:t>
      </w:r>
      <w:r w:rsidR="00D97441">
        <w:rPr>
          <w:rFonts w:ascii="HelveticaNeueLT Std" w:hAnsi="HelveticaNeueLT Std"/>
        </w:rPr>
        <w:t>udge towards a ‘correct’ choice (</w:t>
      </w:r>
      <w:proofErr w:type="spellStart"/>
      <w:r w:rsidR="00D97441">
        <w:rPr>
          <w:rFonts w:ascii="HelveticaNeueLT Std" w:hAnsi="HelveticaNeueLT Std"/>
        </w:rPr>
        <w:t>cf</w:t>
      </w:r>
      <w:proofErr w:type="spellEnd"/>
      <w:r w:rsidR="008072F2">
        <w:rPr>
          <w:rFonts w:ascii="HelveticaNeueLT Std" w:hAnsi="HelveticaNeueLT Std"/>
        </w:rPr>
        <w:t xml:space="preserve"> </w:t>
      </w:r>
      <w:r w:rsidR="009F2C19">
        <w:rPr>
          <w:rFonts w:ascii="HelveticaNeueLT Std" w:hAnsi="HelveticaNeueLT Std"/>
        </w:rPr>
        <w:t>‘</w:t>
      </w:r>
      <w:r w:rsidR="008072F2">
        <w:rPr>
          <w:rFonts w:ascii="HelveticaNeueLT Std" w:hAnsi="HelveticaNeueLT Std"/>
        </w:rPr>
        <w:t>judicial activism</w:t>
      </w:r>
      <w:r w:rsidR="009F2C19">
        <w:rPr>
          <w:rFonts w:ascii="HelveticaNeueLT Std" w:hAnsi="HelveticaNeueLT Std"/>
        </w:rPr>
        <w:t>’</w:t>
      </w:r>
      <w:r w:rsidR="008072F2">
        <w:rPr>
          <w:rFonts w:ascii="HelveticaNeueLT Std" w:hAnsi="HelveticaNeueLT Std"/>
        </w:rPr>
        <w:t xml:space="preserve"> which</w:t>
      </w:r>
      <w:r w:rsidR="009F2C19">
        <w:rPr>
          <w:rFonts w:ascii="HelveticaNeueLT Std" w:hAnsi="HelveticaNeueLT Std"/>
        </w:rPr>
        <w:t xml:space="preserve"> is a</w:t>
      </w:r>
      <w:r w:rsidR="008072F2">
        <w:rPr>
          <w:rFonts w:ascii="HelveticaNeueLT Std" w:hAnsi="HelveticaNeueLT Std"/>
        </w:rPr>
        <w:t xml:space="preserve"> </w:t>
      </w:r>
      <w:r w:rsidR="009F2C19">
        <w:rPr>
          <w:rFonts w:ascii="HelveticaNeueLT Std" w:hAnsi="HelveticaNeueLT Std"/>
        </w:rPr>
        <w:t>critics’ term for excessive, illegitimate innovation]</w:t>
      </w:r>
      <w:r w:rsidR="008072F2">
        <w:rPr>
          <w:rFonts w:ascii="HelveticaNeueLT Std" w:hAnsi="HelveticaNeueLT Std"/>
        </w:rPr>
        <w:t>.</w:t>
      </w:r>
      <w:r w:rsidR="00D97441">
        <w:rPr>
          <w:rFonts w:ascii="HelveticaNeueLT Std" w:hAnsi="HelveticaNeueLT Std"/>
        </w:rPr>
        <w:t xml:space="preserve"> They all </w:t>
      </w:r>
      <w:r w:rsidR="00D97441">
        <w:rPr>
          <w:rFonts w:ascii="HelveticaNeueLT Std" w:hAnsi="HelveticaNeueLT Std"/>
        </w:rPr>
        <w:lastRenderedPageBreak/>
        <w:t>work</w:t>
      </w:r>
      <w:r w:rsidR="00D97441" w:rsidRPr="008072F2">
        <w:rPr>
          <w:rFonts w:ascii="HelveticaNeueLT Std" w:hAnsi="HelveticaNeueLT Std"/>
        </w:rPr>
        <w:t xml:space="preserve"> within ce</w:t>
      </w:r>
      <w:r w:rsidR="00D97441">
        <w:rPr>
          <w:rFonts w:ascii="HelveticaNeueLT Std" w:hAnsi="HelveticaNeueLT Std"/>
        </w:rPr>
        <w:t xml:space="preserve">rtain shared parameters but do have their own </w:t>
      </w:r>
      <w:r w:rsidR="00D97441" w:rsidRPr="008072F2">
        <w:rPr>
          <w:rFonts w:ascii="HelveticaNeueLT Std" w:hAnsi="HelveticaNeueLT Std"/>
        </w:rPr>
        <w:t xml:space="preserve">perspectives </w:t>
      </w:r>
      <w:r w:rsidR="00D97441">
        <w:rPr>
          <w:rFonts w:ascii="HelveticaNeueLT Std" w:hAnsi="HelveticaNeueLT Std"/>
        </w:rPr>
        <w:t>and approaches to their task.</w:t>
      </w:r>
    </w:p>
    <w:p w14:paraId="2BA8E05E" w14:textId="7008EEA6" w:rsidR="00B711FE" w:rsidRPr="00D97441" w:rsidRDefault="00B711FE" w:rsidP="00D97441">
      <w:pPr>
        <w:rPr>
          <w:rFonts w:ascii="HelveticaNeueLT Std" w:hAnsi="HelveticaNeueLT Std"/>
        </w:rPr>
      </w:pPr>
    </w:p>
    <w:p w14:paraId="6775B62D" w14:textId="77777777" w:rsidR="008072F2" w:rsidRPr="008072F2" w:rsidRDefault="008072F2" w:rsidP="008072F2">
      <w:pPr>
        <w:rPr>
          <w:rFonts w:ascii="HelveticaNeueLT Std" w:hAnsi="HelveticaNeueLT Std"/>
        </w:rPr>
      </w:pPr>
    </w:p>
    <w:p w14:paraId="724D337D" w14:textId="135B94CF" w:rsidR="0001238B" w:rsidRPr="00B631E2" w:rsidRDefault="008072F2" w:rsidP="006F3D1E">
      <w:pPr>
        <w:pStyle w:val="ListParagraph"/>
        <w:numPr>
          <w:ilvl w:val="0"/>
          <w:numId w:val="7"/>
        </w:numPr>
      </w:pPr>
      <w:r>
        <w:rPr>
          <w:rFonts w:ascii="HelveticaNeueLT Std" w:hAnsi="HelveticaNeueLT Std"/>
        </w:rPr>
        <w:t xml:space="preserve">Within modern view, different positions exist on extent of choices available to a judge </w:t>
      </w:r>
      <w:proofErr w:type="spellStart"/>
      <w:r>
        <w:rPr>
          <w:rFonts w:ascii="HelveticaNeueLT Std" w:hAnsi="HelveticaNeueLT Std"/>
        </w:rPr>
        <w:t>eg.</w:t>
      </w:r>
      <w:proofErr w:type="spellEnd"/>
      <w:r>
        <w:rPr>
          <w:rFonts w:ascii="HelveticaNeueLT Std" w:hAnsi="HelveticaNeueLT Std"/>
        </w:rPr>
        <w:t xml:space="preserve"> </w:t>
      </w:r>
      <w:proofErr w:type="spellStart"/>
      <w:r>
        <w:rPr>
          <w:rFonts w:ascii="HelveticaNeueLT Std" w:hAnsi="HelveticaNeueLT Std"/>
        </w:rPr>
        <w:t>Heydon</w:t>
      </w:r>
      <w:proofErr w:type="spellEnd"/>
      <w:r>
        <w:rPr>
          <w:rFonts w:ascii="HelveticaNeueLT Std" w:hAnsi="HelveticaNeueLT Std"/>
        </w:rPr>
        <w:t xml:space="preserve"> J v Kirby J. It is a spectrum. </w:t>
      </w:r>
      <w:r w:rsidR="00800B53">
        <w:rPr>
          <w:rFonts w:ascii="HelveticaNeueLT Std" w:hAnsi="HelveticaNeueLT Std"/>
        </w:rPr>
        <w:t xml:space="preserve">And judges don’t always appear to conform to the ‘position’ that is typically ascribed to them! </w:t>
      </w:r>
    </w:p>
    <w:p w14:paraId="7C0A0E30" w14:textId="77777777" w:rsidR="00B631E2" w:rsidRPr="006F3D1E" w:rsidRDefault="00B631E2" w:rsidP="00B631E2">
      <w:pPr>
        <w:pStyle w:val="ListParagraph"/>
        <w:ind w:left="360"/>
      </w:pPr>
    </w:p>
    <w:p w14:paraId="3B6880F2" w14:textId="77777777" w:rsidR="006F3D1E" w:rsidRDefault="006F3D1E" w:rsidP="006F3D1E"/>
    <w:p w14:paraId="2EAD44A7" w14:textId="2200000D" w:rsidR="006F3D1E" w:rsidRPr="0001238B" w:rsidRDefault="00B631E2" w:rsidP="00B631E2">
      <w:pPr>
        <w:pStyle w:val="ListParagraph"/>
        <w:numPr>
          <w:ilvl w:val="0"/>
          <w:numId w:val="7"/>
        </w:numPr>
      </w:pPr>
      <w:r>
        <w:t xml:space="preserve">‘The Case of the </w:t>
      </w:r>
      <w:proofErr w:type="spellStart"/>
      <w:r>
        <w:t>Speluncian</w:t>
      </w:r>
      <w:proofErr w:type="spellEnd"/>
      <w:r>
        <w:t xml:space="preserve"> Explorers’ – famous fictional </w:t>
      </w:r>
      <w:r w:rsidR="00D00730">
        <w:t>teaching tool illustrating</w:t>
      </w:r>
      <w:r>
        <w:t xml:space="preserve"> different judicial approaches to reasoning – posted as optional extra reading on course Wattle page. </w:t>
      </w:r>
    </w:p>
    <w:sectPr w:rsidR="006F3D1E" w:rsidRPr="0001238B" w:rsidSect="00AF4C9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440" w:bottom="1418" w:left="144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D541A" w14:textId="77777777" w:rsidR="006C48C6" w:rsidRDefault="006C48C6" w:rsidP="00A92BEC">
      <w:r>
        <w:separator/>
      </w:r>
    </w:p>
  </w:endnote>
  <w:endnote w:type="continuationSeparator" w:id="0">
    <w:p w14:paraId="1BC711D7" w14:textId="77777777" w:rsidR="006C48C6" w:rsidRDefault="006C48C6" w:rsidP="00A9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NeueLT Std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ngs">
    <w:altName w:val="MS Gothic"/>
    <w:panose1 w:val="020B06040202020202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L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4750" w14:textId="77777777" w:rsidR="00CD2D2B" w:rsidRDefault="00CD2D2B" w:rsidP="00A92BE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D4751" w14:textId="77777777" w:rsidR="00CD2D2B" w:rsidRDefault="00CD2D2B" w:rsidP="00A92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4752" w14:textId="29612B69" w:rsidR="00CD2D2B" w:rsidRDefault="00CD2D2B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543666">
      <w:rPr>
        <w:noProof/>
      </w:rPr>
      <w:t>2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4754" w14:textId="71072830" w:rsidR="00CD2D2B" w:rsidRPr="00C7599D" w:rsidRDefault="00CD2D2B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543666">
      <w:rPr>
        <w:noProof/>
      </w:rPr>
      <w:t>1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  <w:t xml:space="preserve"> </w:t>
    </w:r>
  </w:p>
  <w:p w14:paraId="0D1D4755" w14:textId="77777777" w:rsidR="00CD2D2B" w:rsidRDefault="00CD2D2B" w:rsidP="00A92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47C19" w14:textId="77777777" w:rsidR="006C48C6" w:rsidRDefault="006C48C6" w:rsidP="00A92BEC">
      <w:r>
        <w:separator/>
      </w:r>
    </w:p>
  </w:footnote>
  <w:footnote w:type="continuationSeparator" w:id="0">
    <w:p w14:paraId="400640B5" w14:textId="77777777" w:rsidR="006C48C6" w:rsidRDefault="006C48C6" w:rsidP="00A9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474F" w14:textId="77777777" w:rsidR="00CD2D2B" w:rsidRDefault="00CD2D2B" w:rsidP="00A92BEC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6FA33" w14:textId="77777777" w:rsidR="00CD2D2B" w:rsidRDefault="00CD2D2B" w:rsidP="00C376B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C96BA5" wp14:editId="613348BE">
              <wp:simplePos x="0" y="0"/>
              <wp:positionH relativeFrom="column">
                <wp:posOffset>3429000</wp:posOffset>
              </wp:positionH>
              <wp:positionV relativeFrom="paragraph">
                <wp:posOffset>468630</wp:posOffset>
              </wp:positionV>
              <wp:extent cx="27432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AFFAEF" w14:textId="77777777" w:rsidR="00CD2D2B" w:rsidRPr="00825E7D" w:rsidRDefault="00CD2D2B" w:rsidP="00C376B2">
                          <w:pPr>
                            <w:rPr>
                              <w:b/>
                            </w:rPr>
                          </w:pPr>
                          <w:r w:rsidRPr="00825E7D">
                            <w:rPr>
                              <w:b/>
                            </w:rPr>
                            <w:t>LAWS8586: Law and Legal Institutions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C96B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pt;margin-top:36.9pt;width:3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" filled="f" stroked="f">
              <v:textbox>
                <w:txbxContent>
                  <w:p w14:paraId="45AFFAEF" w14:textId="77777777" w:rsidR="00CD2D2B" w:rsidRPr="00825E7D" w:rsidRDefault="00CD2D2B" w:rsidP="00C376B2">
                    <w:pPr>
                      <w:rPr>
                        <w:b/>
                      </w:rPr>
                    </w:pPr>
                    <w:r w:rsidRPr="00825E7D">
                      <w:rPr>
                        <w:b/>
                      </w:rPr>
                      <w:t>LAWS8586: Law and Legal Institutions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77A9CE2" wp14:editId="05E1473F">
          <wp:simplePos x="0" y="0"/>
          <wp:positionH relativeFrom="column">
            <wp:posOffset>-628650</wp:posOffset>
          </wp:positionH>
          <wp:positionV relativeFrom="paragraph">
            <wp:posOffset>-93980</wp:posOffset>
          </wp:positionV>
          <wp:extent cx="6800850" cy="1285875"/>
          <wp:effectExtent l="0" t="0" r="6350" b="9525"/>
          <wp:wrapThrough wrapText="bothSides">
            <wp:wrapPolygon edited="0">
              <wp:start x="0" y="0"/>
              <wp:lineTo x="0" y="21333"/>
              <wp:lineTo x="21539" y="21333"/>
              <wp:lineTo x="21539" y="0"/>
              <wp:lineTo x="0" y="0"/>
            </wp:wrapPolygon>
          </wp:wrapThrough>
          <wp:docPr id="5" name="Picture 1" descr="Description: 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1D4753" w14:textId="00324963" w:rsidR="00CD2D2B" w:rsidRPr="00C376B2" w:rsidRDefault="00CD2D2B" w:rsidP="00C37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single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B"/>
    <w:multiLevelType w:val="singleLevel"/>
    <w:tmpl w:val="0000000B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8" w15:restartNumberingAfterBreak="0">
    <w:nsid w:val="0000000C"/>
    <w:multiLevelType w:val="singleLevel"/>
    <w:tmpl w:val="0000000C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singleLevel"/>
    <w:tmpl w:val="0000000D"/>
    <w:name w:val="WW8Num2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</w:abstractNum>
  <w:abstractNum w:abstractNumId="10" w15:restartNumberingAfterBreak="0">
    <w:nsid w:val="0000000E"/>
    <w:multiLevelType w:val="singleLevel"/>
    <w:tmpl w:val="0000000E"/>
    <w:name w:val="WW8Num23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</w:abstractNum>
  <w:abstractNum w:abstractNumId="11" w15:restartNumberingAfterBreak="0">
    <w:nsid w:val="0000000F"/>
    <w:multiLevelType w:val="singleLevel"/>
    <w:tmpl w:val="0000000F"/>
    <w:name w:val="WW8Num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</w:abstractNum>
  <w:abstractNum w:abstractNumId="12" w15:restartNumberingAfterBreak="0">
    <w:nsid w:val="00000011"/>
    <w:multiLevelType w:val="multilevel"/>
    <w:tmpl w:val="00000011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14"/>
    <w:multiLevelType w:val="singleLevel"/>
    <w:tmpl w:val="00000014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15"/>
    <w:multiLevelType w:val="multilevel"/>
    <w:tmpl w:val="00000015"/>
    <w:name w:val="WW8Num2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15" w15:restartNumberingAfterBreak="0">
    <w:nsid w:val="00000016"/>
    <w:multiLevelType w:val="singleLevel"/>
    <w:tmpl w:val="00000016"/>
    <w:name w:val="WW8Num33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</w:abstractNum>
  <w:abstractNum w:abstractNumId="16" w15:restartNumberingAfterBreak="0">
    <w:nsid w:val="00000017"/>
    <w:multiLevelType w:val="singleLevel"/>
    <w:tmpl w:val="00000017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8"/>
    <w:multiLevelType w:val="multilevel"/>
    <w:tmpl w:val="00000018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D"/>
    <w:multiLevelType w:val="multilevel"/>
    <w:tmpl w:val="0000001D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27"/>
    <w:multiLevelType w:val="multilevel"/>
    <w:tmpl w:val="00000027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E5508C0"/>
    <w:multiLevelType w:val="hybridMultilevel"/>
    <w:tmpl w:val="14C65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0B23EE9"/>
    <w:multiLevelType w:val="multilevel"/>
    <w:tmpl w:val="7238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9508DB"/>
    <w:multiLevelType w:val="hybridMultilevel"/>
    <w:tmpl w:val="A0D44FFC"/>
    <w:lvl w:ilvl="0" w:tplc="A7F881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F746907"/>
    <w:multiLevelType w:val="hybridMultilevel"/>
    <w:tmpl w:val="21F058D2"/>
    <w:lvl w:ilvl="0" w:tplc="FD740220">
      <w:numFmt w:val="bullet"/>
      <w:lvlText w:val="-"/>
      <w:lvlJc w:val="left"/>
      <w:pPr>
        <w:ind w:left="760" w:hanging="360"/>
      </w:pPr>
      <w:rPr>
        <w:rFonts w:ascii="HelveticaNeueLT Std" w:eastAsia="MS Minngs" w:hAnsi="HelveticaNeueLT Std" w:cs="Aria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2CE03E1B"/>
    <w:multiLevelType w:val="hybridMultilevel"/>
    <w:tmpl w:val="8604AAFE"/>
    <w:lvl w:ilvl="0" w:tplc="A7F881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160329"/>
    <w:multiLevelType w:val="hybridMultilevel"/>
    <w:tmpl w:val="C30C5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B65FEF"/>
    <w:multiLevelType w:val="hybridMultilevel"/>
    <w:tmpl w:val="23D2B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32693"/>
    <w:multiLevelType w:val="hybridMultilevel"/>
    <w:tmpl w:val="9CAC09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856D8A"/>
    <w:multiLevelType w:val="hybridMultilevel"/>
    <w:tmpl w:val="7396E69C"/>
    <w:lvl w:ilvl="0" w:tplc="C48EF400">
      <w:start w:val="1"/>
      <w:numFmt w:val="decimal"/>
      <w:pStyle w:val="Numbersty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ECB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982789"/>
    <w:multiLevelType w:val="hybridMultilevel"/>
    <w:tmpl w:val="D72A2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26"/>
  </w:num>
  <w:num w:numId="4">
    <w:abstractNumId w:val="25"/>
  </w:num>
  <w:num w:numId="5">
    <w:abstractNumId w:val="27"/>
  </w:num>
  <w:num w:numId="6">
    <w:abstractNumId w:val="29"/>
  </w:num>
  <w:num w:numId="7">
    <w:abstractNumId w:val="20"/>
  </w:num>
  <w:num w:numId="8">
    <w:abstractNumId w:val="22"/>
  </w:num>
  <w:num w:numId="9">
    <w:abstractNumId w:val="24"/>
  </w:num>
  <w:num w:numId="10">
    <w:abstractNumId w:val="21"/>
    <w:lvlOverride w:ilvl="0">
      <w:startOverride w:val="53"/>
    </w:lvlOverride>
  </w:num>
  <w:num w:numId="11">
    <w:abstractNumId w:val="21"/>
    <w:lvlOverride w:ilvl="0">
      <w:startOverride w:val="54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D"/>
    <w:rsid w:val="00001C94"/>
    <w:rsid w:val="000118D7"/>
    <w:rsid w:val="0001238B"/>
    <w:rsid w:val="00017136"/>
    <w:rsid w:val="00036303"/>
    <w:rsid w:val="00037663"/>
    <w:rsid w:val="00041768"/>
    <w:rsid w:val="00041DF4"/>
    <w:rsid w:val="000425B4"/>
    <w:rsid w:val="000620A6"/>
    <w:rsid w:val="00067790"/>
    <w:rsid w:val="00080E3A"/>
    <w:rsid w:val="00083E86"/>
    <w:rsid w:val="000921A1"/>
    <w:rsid w:val="000A59C7"/>
    <w:rsid w:val="000B1D6E"/>
    <w:rsid w:val="000C0C5D"/>
    <w:rsid w:val="000C78AC"/>
    <w:rsid w:val="000D36B7"/>
    <w:rsid w:val="000D5E73"/>
    <w:rsid w:val="000E2A4A"/>
    <w:rsid w:val="000E61B5"/>
    <w:rsid w:val="00110ABC"/>
    <w:rsid w:val="00116F96"/>
    <w:rsid w:val="001202B7"/>
    <w:rsid w:val="001213ED"/>
    <w:rsid w:val="001218F0"/>
    <w:rsid w:val="00131A66"/>
    <w:rsid w:val="00140199"/>
    <w:rsid w:val="001405F2"/>
    <w:rsid w:val="00143BF0"/>
    <w:rsid w:val="001522CD"/>
    <w:rsid w:val="0015434D"/>
    <w:rsid w:val="001556F4"/>
    <w:rsid w:val="0015751B"/>
    <w:rsid w:val="00165D25"/>
    <w:rsid w:val="001669B7"/>
    <w:rsid w:val="001717E6"/>
    <w:rsid w:val="00176238"/>
    <w:rsid w:val="00183504"/>
    <w:rsid w:val="00183981"/>
    <w:rsid w:val="001A0D89"/>
    <w:rsid w:val="001B2F21"/>
    <w:rsid w:val="001D1247"/>
    <w:rsid w:val="001D2387"/>
    <w:rsid w:val="001E240B"/>
    <w:rsid w:val="00203B16"/>
    <w:rsid w:val="0021424E"/>
    <w:rsid w:val="00217C62"/>
    <w:rsid w:val="00241719"/>
    <w:rsid w:val="002473F7"/>
    <w:rsid w:val="00256F79"/>
    <w:rsid w:val="00264659"/>
    <w:rsid w:val="0027498C"/>
    <w:rsid w:val="00277DCD"/>
    <w:rsid w:val="002803C2"/>
    <w:rsid w:val="00281F28"/>
    <w:rsid w:val="00282D5B"/>
    <w:rsid w:val="00287F83"/>
    <w:rsid w:val="002A064F"/>
    <w:rsid w:val="002A58E8"/>
    <w:rsid w:val="002A59D4"/>
    <w:rsid w:val="002B0247"/>
    <w:rsid w:val="002B2253"/>
    <w:rsid w:val="002B4E7E"/>
    <w:rsid w:val="002C6FD8"/>
    <w:rsid w:val="002D1D51"/>
    <w:rsid w:val="002D6826"/>
    <w:rsid w:val="00305386"/>
    <w:rsid w:val="00313F61"/>
    <w:rsid w:val="0032759D"/>
    <w:rsid w:val="00337D43"/>
    <w:rsid w:val="00341667"/>
    <w:rsid w:val="0034224E"/>
    <w:rsid w:val="00342D79"/>
    <w:rsid w:val="0034391F"/>
    <w:rsid w:val="003451CF"/>
    <w:rsid w:val="00362AFE"/>
    <w:rsid w:val="00363D45"/>
    <w:rsid w:val="0036601D"/>
    <w:rsid w:val="00370C42"/>
    <w:rsid w:val="003730DB"/>
    <w:rsid w:val="00375810"/>
    <w:rsid w:val="00380DC2"/>
    <w:rsid w:val="003B77D2"/>
    <w:rsid w:val="003D1836"/>
    <w:rsid w:val="003D3A00"/>
    <w:rsid w:val="003E236B"/>
    <w:rsid w:val="003E276A"/>
    <w:rsid w:val="003E625F"/>
    <w:rsid w:val="00404F48"/>
    <w:rsid w:val="00406523"/>
    <w:rsid w:val="004133C7"/>
    <w:rsid w:val="00417466"/>
    <w:rsid w:val="00426C3E"/>
    <w:rsid w:val="004340EE"/>
    <w:rsid w:val="00452864"/>
    <w:rsid w:val="00453B86"/>
    <w:rsid w:val="00456F2B"/>
    <w:rsid w:val="004620C8"/>
    <w:rsid w:val="00466E0D"/>
    <w:rsid w:val="00471573"/>
    <w:rsid w:val="0047682B"/>
    <w:rsid w:val="00483137"/>
    <w:rsid w:val="0049021C"/>
    <w:rsid w:val="00492CF7"/>
    <w:rsid w:val="004950C3"/>
    <w:rsid w:val="004959FD"/>
    <w:rsid w:val="00496256"/>
    <w:rsid w:val="00496CBB"/>
    <w:rsid w:val="004A5C46"/>
    <w:rsid w:val="004C45F8"/>
    <w:rsid w:val="004D5324"/>
    <w:rsid w:val="004D57C5"/>
    <w:rsid w:val="004D65E9"/>
    <w:rsid w:val="004E1B36"/>
    <w:rsid w:val="004E335D"/>
    <w:rsid w:val="004E39D9"/>
    <w:rsid w:val="004E7C04"/>
    <w:rsid w:val="004F4F75"/>
    <w:rsid w:val="0050397D"/>
    <w:rsid w:val="005055EA"/>
    <w:rsid w:val="00510058"/>
    <w:rsid w:val="00514F3C"/>
    <w:rsid w:val="00520CB7"/>
    <w:rsid w:val="00520F53"/>
    <w:rsid w:val="00525D4C"/>
    <w:rsid w:val="00535B01"/>
    <w:rsid w:val="005418D0"/>
    <w:rsid w:val="00543666"/>
    <w:rsid w:val="005532DD"/>
    <w:rsid w:val="005707C0"/>
    <w:rsid w:val="00575469"/>
    <w:rsid w:val="00592403"/>
    <w:rsid w:val="00593925"/>
    <w:rsid w:val="005A6472"/>
    <w:rsid w:val="005B0479"/>
    <w:rsid w:val="005B1C65"/>
    <w:rsid w:val="005B2B25"/>
    <w:rsid w:val="005D0112"/>
    <w:rsid w:val="005D13C5"/>
    <w:rsid w:val="005D6C07"/>
    <w:rsid w:val="005E2AD4"/>
    <w:rsid w:val="005E47D5"/>
    <w:rsid w:val="005F280F"/>
    <w:rsid w:val="005F46F0"/>
    <w:rsid w:val="005F4C32"/>
    <w:rsid w:val="005F5685"/>
    <w:rsid w:val="00602D39"/>
    <w:rsid w:val="006112C9"/>
    <w:rsid w:val="006419C3"/>
    <w:rsid w:val="006425C1"/>
    <w:rsid w:val="00643638"/>
    <w:rsid w:val="00645A6F"/>
    <w:rsid w:val="00667D13"/>
    <w:rsid w:val="00675045"/>
    <w:rsid w:val="00677FAF"/>
    <w:rsid w:val="006A7DBA"/>
    <w:rsid w:val="006B1FFC"/>
    <w:rsid w:val="006B74AE"/>
    <w:rsid w:val="006C27C7"/>
    <w:rsid w:val="006C2825"/>
    <w:rsid w:val="006C48C6"/>
    <w:rsid w:val="006C64DD"/>
    <w:rsid w:val="006C773B"/>
    <w:rsid w:val="006D2235"/>
    <w:rsid w:val="006E5F78"/>
    <w:rsid w:val="006E684A"/>
    <w:rsid w:val="006F3D1E"/>
    <w:rsid w:val="006F4264"/>
    <w:rsid w:val="007002B3"/>
    <w:rsid w:val="00700965"/>
    <w:rsid w:val="0070585C"/>
    <w:rsid w:val="007129CE"/>
    <w:rsid w:val="00717257"/>
    <w:rsid w:val="00726482"/>
    <w:rsid w:val="00726EEC"/>
    <w:rsid w:val="007319EC"/>
    <w:rsid w:val="00763A4F"/>
    <w:rsid w:val="00767CD3"/>
    <w:rsid w:val="007814DB"/>
    <w:rsid w:val="0079136E"/>
    <w:rsid w:val="0079495B"/>
    <w:rsid w:val="00794D07"/>
    <w:rsid w:val="007A6E67"/>
    <w:rsid w:val="007B48D1"/>
    <w:rsid w:val="007D620F"/>
    <w:rsid w:val="007E0B1A"/>
    <w:rsid w:val="007E2A32"/>
    <w:rsid w:val="007E4A0E"/>
    <w:rsid w:val="007E54A0"/>
    <w:rsid w:val="007F1ED8"/>
    <w:rsid w:val="00800B53"/>
    <w:rsid w:val="008035D4"/>
    <w:rsid w:val="0080434F"/>
    <w:rsid w:val="008072F2"/>
    <w:rsid w:val="00811DCA"/>
    <w:rsid w:val="008153EC"/>
    <w:rsid w:val="00815BC6"/>
    <w:rsid w:val="00820084"/>
    <w:rsid w:val="0083427E"/>
    <w:rsid w:val="00836641"/>
    <w:rsid w:val="008377C7"/>
    <w:rsid w:val="00851D5E"/>
    <w:rsid w:val="00854B6C"/>
    <w:rsid w:val="00871B07"/>
    <w:rsid w:val="0088499E"/>
    <w:rsid w:val="008955A3"/>
    <w:rsid w:val="008D2A24"/>
    <w:rsid w:val="008D5EAF"/>
    <w:rsid w:val="0090724F"/>
    <w:rsid w:val="00911D27"/>
    <w:rsid w:val="00915469"/>
    <w:rsid w:val="00915E74"/>
    <w:rsid w:val="00916EEC"/>
    <w:rsid w:val="00923B0C"/>
    <w:rsid w:val="009305CB"/>
    <w:rsid w:val="009333D0"/>
    <w:rsid w:val="009333D6"/>
    <w:rsid w:val="00936A65"/>
    <w:rsid w:val="00941D47"/>
    <w:rsid w:val="00957E27"/>
    <w:rsid w:val="00967849"/>
    <w:rsid w:val="00970D93"/>
    <w:rsid w:val="0097540E"/>
    <w:rsid w:val="0098680C"/>
    <w:rsid w:val="0099547A"/>
    <w:rsid w:val="009A4847"/>
    <w:rsid w:val="009A536F"/>
    <w:rsid w:val="009B4525"/>
    <w:rsid w:val="009B581A"/>
    <w:rsid w:val="009C10B1"/>
    <w:rsid w:val="009E093F"/>
    <w:rsid w:val="009E1ABE"/>
    <w:rsid w:val="009F0238"/>
    <w:rsid w:val="009F2C19"/>
    <w:rsid w:val="009F4FDE"/>
    <w:rsid w:val="00A050CB"/>
    <w:rsid w:val="00A13AC4"/>
    <w:rsid w:val="00A228C5"/>
    <w:rsid w:val="00A32AD8"/>
    <w:rsid w:val="00A50E72"/>
    <w:rsid w:val="00A75116"/>
    <w:rsid w:val="00A92BEC"/>
    <w:rsid w:val="00AA776A"/>
    <w:rsid w:val="00AB2F63"/>
    <w:rsid w:val="00AB4C6F"/>
    <w:rsid w:val="00AC63C8"/>
    <w:rsid w:val="00AC7157"/>
    <w:rsid w:val="00AD3B3B"/>
    <w:rsid w:val="00AD537F"/>
    <w:rsid w:val="00AD5C50"/>
    <w:rsid w:val="00AD6AEC"/>
    <w:rsid w:val="00AD6DFC"/>
    <w:rsid w:val="00AD7BA7"/>
    <w:rsid w:val="00AE3450"/>
    <w:rsid w:val="00AF4C98"/>
    <w:rsid w:val="00AF57D6"/>
    <w:rsid w:val="00AF6916"/>
    <w:rsid w:val="00AF70A9"/>
    <w:rsid w:val="00B00179"/>
    <w:rsid w:val="00B01520"/>
    <w:rsid w:val="00B036E7"/>
    <w:rsid w:val="00B0497E"/>
    <w:rsid w:val="00B07A10"/>
    <w:rsid w:val="00B1146D"/>
    <w:rsid w:val="00B20150"/>
    <w:rsid w:val="00B25880"/>
    <w:rsid w:val="00B312FA"/>
    <w:rsid w:val="00B320F3"/>
    <w:rsid w:val="00B4639D"/>
    <w:rsid w:val="00B50CA6"/>
    <w:rsid w:val="00B54F00"/>
    <w:rsid w:val="00B6186B"/>
    <w:rsid w:val="00B61B11"/>
    <w:rsid w:val="00B631E2"/>
    <w:rsid w:val="00B6432D"/>
    <w:rsid w:val="00B6455A"/>
    <w:rsid w:val="00B65CBE"/>
    <w:rsid w:val="00B711FE"/>
    <w:rsid w:val="00B72915"/>
    <w:rsid w:val="00B731C9"/>
    <w:rsid w:val="00B8027F"/>
    <w:rsid w:val="00B84576"/>
    <w:rsid w:val="00B8520E"/>
    <w:rsid w:val="00BA7E5B"/>
    <w:rsid w:val="00BB4B61"/>
    <w:rsid w:val="00BB4BB9"/>
    <w:rsid w:val="00BC6C37"/>
    <w:rsid w:val="00BD1749"/>
    <w:rsid w:val="00BF544B"/>
    <w:rsid w:val="00BF54EF"/>
    <w:rsid w:val="00C07751"/>
    <w:rsid w:val="00C35AC7"/>
    <w:rsid w:val="00C37217"/>
    <w:rsid w:val="00C37631"/>
    <w:rsid w:val="00C376B2"/>
    <w:rsid w:val="00C37B15"/>
    <w:rsid w:val="00C43A35"/>
    <w:rsid w:val="00C4466D"/>
    <w:rsid w:val="00C50A69"/>
    <w:rsid w:val="00C52B0B"/>
    <w:rsid w:val="00C53F8C"/>
    <w:rsid w:val="00C54E6C"/>
    <w:rsid w:val="00C557AD"/>
    <w:rsid w:val="00C748DA"/>
    <w:rsid w:val="00C7599D"/>
    <w:rsid w:val="00C81801"/>
    <w:rsid w:val="00C83442"/>
    <w:rsid w:val="00CA0109"/>
    <w:rsid w:val="00CA3A99"/>
    <w:rsid w:val="00CB586F"/>
    <w:rsid w:val="00CC641C"/>
    <w:rsid w:val="00CC681B"/>
    <w:rsid w:val="00CD2D2B"/>
    <w:rsid w:val="00CE4207"/>
    <w:rsid w:val="00CF1E00"/>
    <w:rsid w:val="00D00730"/>
    <w:rsid w:val="00D02208"/>
    <w:rsid w:val="00D12023"/>
    <w:rsid w:val="00D15530"/>
    <w:rsid w:val="00D166E0"/>
    <w:rsid w:val="00D2155E"/>
    <w:rsid w:val="00D25AA1"/>
    <w:rsid w:val="00D32197"/>
    <w:rsid w:val="00D33FA9"/>
    <w:rsid w:val="00D37E91"/>
    <w:rsid w:val="00D40682"/>
    <w:rsid w:val="00D44982"/>
    <w:rsid w:val="00D56711"/>
    <w:rsid w:val="00D61B49"/>
    <w:rsid w:val="00D62168"/>
    <w:rsid w:val="00D62BAD"/>
    <w:rsid w:val="00D82DE3"/>
    <w:rsid w:val="00D83B66"/>
    <w:rsid w:val="00D84F69"/>
    <w:rsid w:val="00D97441"/>
    <w:rsid w:val="00D97F84"/>
    <w:rsid w:val="00DC05C2"/>
    <w:rsid w:val="00DC063C"/>
    <w:rsid w:val="00DC0742"/>
    <w:rsid w:val="00DC5509"/>
    <w:rsid w:val="00DC6398"/>
    <w:rsid w:val="00DE206D"/>
    <w:rsid w:val="00DE3039"/>
    <w:rsid w:val="00DF5401"/>
    <w:rsid w:val="00DF7DBA"/>
    <w:rsid w:val="00E22854"/>
    <w:rsid w:val="00E320EB"/>
    <w:rsid w:val="00E44361"/>
    <w:rsid w:val="00E511FD"/>
    <w:rsid w:val="00E53582"/>
    <w:rsid w:val="00E54BC9"/>
    <w:rsid w:val="00E72232"/>
    <w:rsid w:val="00E74AD2"/>
    <w:rsid w:val="00E90955"/>
    <w:rsid w:val="00E93387"/>
    <w:rsid w:val="00E964C7"/>
    <w:rsid w:val="00EA5864"/>
    <w:rsid w:val="00ED2DAD"/>
    <w:rsid w:val="00EE119C"/>
    <w:rsid w:val="00EF7AAC"/>
    <w:rsid w:val="00F00123"/>
    <w:rsid w:val="00F003D9"/>
    <w:rsid w:val="00F040F5"/>
    <w:rsid w:val="00F12305"/>
    <w:rsid w:val="00F14B8C"/>
    <w:rsid w:val="00F20FE0"/>
    <w:rsid w:val="00F304FB"/>
    <w:rsid w:val="00F374B8"/>
    <w:rsid w:val="00F567ED"/>
    <w:rsid w:val="00F650D5"/>
    <w:rsid w:val="00F71D24"/>
    <w:rsid w:val="00F7586D"/>
    <w:rsid w:val="00F80A19"/>
    <w:rsid w:val="00F82D0C"/>
    <w:rsid w:val="00F83525"/>
    <w:rsid w:val="00F84444"/>
    <w:rsid w:val="00FA1B7D"/>
    <w:rsid w:val="00FA3A44"/>
    <w:rsid w:val="00FB0586"/>
    <w:rsid w:val="00FC0FB9"/>
    <w:rsid w:val="00FF1B89"/>
    <w:rsid w:val="00FF1CB3"/>
    <w:rsid w:val="00FF256D"/>
    <w:rsid w:val="00FF309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1D4653"/>
  <w15:docId w15:val="{92156330-7BE0-0040-B675-E1E49D04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ngs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EC"/>
    <w:rPr>
      <w:rFonts w:ascii="HelveticaNeueLT Std Lt" w:hAnsi="HelveticaNeueLT Std Lt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D51"/>
    <w:pPr>
      <w:keepNext/>
      <w:keepLines/>
      <w:spacing w:before="480" w:after="120"/>
      <w:outlineLvl w:val="0"/>
    </w:pPr>
    <w:rPr>
      <w:rFonts w:ascii="HelveticaNeueLT Std" w:hAnsi="HelveticaNeueLT Std"/>
      <w:b/>
      <w:bCs/>
      <w:color w:val="4C6E7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D1D51"/>
    <w:pPr>
      <w:keepNext/>
      <w:keepLines/>
      <w:spacing w:before="200" w:after="120"/>
      <w:outlineLvl w:val="1"/>
    </w:pPr>
    <w:rPr>
      <w:rFonts w:ascii="HelveticaNeueLT Std" w:eastAsiaTheme="majorEastAsia" w:hAnsi="HelveticaNeueLT Std" w:cstheme="majorBidi"/>
      <w:b/>
      <w:bCs/>
      <w:color w:val="4C6E78"/>
      <w:szCs w:val="26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143B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D1D51"/>
    <w:rPr>
      <w:rFonts w:ascii="HelveticaNeueLT Std" w:hAnsi="HelveticaNeueLT Std" w:cs="Arial"/>
      <w:b/>
      <w:bCs/>
      <w:color w:val="4C6E78"/>
      <w:sz w:val="22"/>
      <w:szCs w:val="22"/>
      <w:lang w:val="en-GB"/>
    </w:rPr>
  </w:style>
  <w:style w:type="paragraph" w:customStyle="1" w:styleId="Normal1">
    <w:name w:val="Normal1"/>
    <w:basedOn w:val="Normal"/>
    <w:uiPriority w:val="99"/>
    <w:rsid w:val="00854B6C"/>
    <w:pPr>
      <w:spacing w:after="120" w:line="480" w:lineRule="auto"/>
      <w:ind w:firstLine="720"/>
    </w:pPr>
    <w:rPr>
      <w:rFonts w:ascii="Calibri" w:hAnsi="Calibri"/>
    </w:rPr>
  </w:style>
  <w:style w:type="character" w:styleId="Hyperlink">
    <w:name w:val="Hyperlink"/>
    <w:rsid w:val="00B61B11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B61B11"/>
    <w:rPr>
      <w:rFonts w:cs="Times New Roman"/>
    </w:rPr>
  </w:style>
  <w:style w:type="character" w:customStyle="1" w:styleId="apple-converted-space">
    <w:name w:val="apple-converted-space"/>
    <w:uiPriority w:val="99"/>
    <w:rsid w:val="00B61B11"/>
    <w:rPr>
      <w:rFonts w:cs="Times New Roman"/>
    </w:rPr>
  </w:style>
  <w:style w:type="character" w:styleId="Strong">
    <w:name w:val="Strong"/>
    <w:uiPriority w:val="99"/>
    <w:qFormat/>
    <w:rsid w:val="00B61B11"/>
    <w:rPr>
      <w:rFonts w:cs="Times New Roman"/>
      <w:b/>
    </w:rPr>
  </w:style>
  <w:style w:type="paragraph" w:customStyle="1" w:styleId="Default">
    <w:name w:val="Default"/>
    <w:uiPriority w:val="99"/>
    <w:rsid w:val="00B61B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B61B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B61B11"/>
    <w:rPr>
      <w:rFonts w:ascii="Times New Roman" w:hAnsi="Times New Roman" w:cs="Times New Roman"/>
      <w:lang w:eastAsia="en-US"/>
    </w:rPr>
  </w:style>
  <w:style w:type="character" w:styleId="PageNumber">
    <w:name w:val="page number"/>
    <w:uiPriority w:val="99"/>
    <w:semiHidden/>
    <w:rsid w:val="00B61B11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61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83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83E86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rsid w:val="00ED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16F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16F96"/>
    <w:rPr>
      <w:rFonts w:ascii="Times New Roman" w:hAnsi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D1D51"/>
    <w:rPr>
      <w:rFonts w:ascii="HelveticaNeueLT Std" w:eastAsiaTheme="majorEastAsia" w:hAnsi="HelveticaNeueLT Std" w:cstheme="majorBidi"/>
      <w:b/>
      <w:bCs/>
      <w:color w:val="4C6E78"/>
      <w:sz w:val="22"/>
      <w:szCs w:val="26"/>
      <w:lang w:val="en-GB"/>
    </w:rPr>
  </w:style>
  <w:style w:type="paragraph" w:customStyle="1" w:styleId="Normal10">
    <w:name w:val="Normal1"/>
    <w:basedOn w:val="Normal"/>
    <w:qFormat/>
    <w:rsid w:val="00C43A35"/>
    <w:pPr>
      <w:spacing w:after="120" w:line="480" w:lineRule="auto"/>
      <w:ind w:firstLine="720"/>
    </w:pPr>
    <w:rPr>
      <w:rFonts w:ascii="Calibri" w:hAnsi="Calibri"/>
    </w:rPr>
  </w:style>
  <w:style w:type="paragraph" w:styleId="NormalWeb">
    <w:name w:val="Normal (Web)"/>
    <w:basedOn w:val="Normal"/>
    <w:link w:val="NormalWebChar"/>
    <w:rsid w:val="00C43A35"/>
    <w:pPr>
      <w:spacing w:before="100" w:beforeAutospacing="1" w:after="100" w:afterAutospacing="1"/>
    </w:pPr>
    <w:rPr>
      <w:rFonts w:eastAsia="Times New Roman"/>
      <w:color w:val="333366"/>
      <w:lang w:val="en-US"/>
    </w:rPr>
  </w:style>
  <w:style w:type="paragraph" w:styleId="Caption">
    <w:name w:val="caption"/>
    <w:basedOn w:val="Normal"/>
    <w:next w:val="Normal"/>
    <w:qFormat/>
    <w:locked/>
    <w:rsid w:val="00C43A35"/>
    <w:pPr>
      <w:framePr w:hSpace="181" w:wrap="around" w:hAnchor="margin" w:xAlign="center" w:yAlign="bottom"/>
      <w:jc w:val="center"/>
    </w:pPr>
    <w:rPr>
      <w:rFonts w:ascii="Lucida Handwriting" w:eastAsia="Times New Roman" w:hAnsi="Lucida Handwriting"/>
      <w:b/>
      <w:sz w:val="32"/>
      <w:szCs w:val="20"/>
      <w:lang w:val="en-GB"/>
    </w:rPr>
  </w:style>
  <w:style w:type="paragraph" w:customStyle="1" w:styleId="cotext">
    <w:name w:val="co text"/>
    <w:basedOn w:val="Normal"/>
    <w:rsid w:val="00C43A35"/>
    <w:pPr>
      <w:spacing w:after="160"/>
    </w:pPr>
    <w:rPr>
      <w:rFonts w:ascii="Times" w:eastAsia="Times New Roman" w:hAnsi="Times"/>
      <w:szCs w:val="20"/>
      <w:lang w:val="en-GB"/>
    </w:rPr>
  </w:style>
  <w:style w:type="paragraph" w:customStyle="1" w:styleId="BodyText1">
    <w:name w:val="Body Text1"/>
    <w:basedOn w:val="Normal"/>
    <w:rsid w:val="00C43A35"/>
    <w:pPr>
      <w:spacing w:after="240"/>
    </w:pPr>
    <w:rPr>
      <w:rFonts w:ascii="Arial" w:eastAsia="Times New Roman" w:hAnsi="Arial"/>
      <w:lang w:val="en-US"/>
    </w:rPr>
  </w:style>
  <w:style w:type="paragraph" w:customStyle="1" w:styleId="UTSsocopy">
    <w:name w:val="UTS/so:copy"/>
    <w:basedOn w:val="Normal"/>
    <w:rsid w:val="00C43A35"/>
    <w:pPr>
      <w:widowControl w:val="0"/>
    </w:pPr>
    <w:rPr>
      <w:rFonts w:ascii="Arial" w:eastAsia="Times" w:hAnsi="Arial"/>
      <w:spacing w:val="2"/>
      <w:w w:val="92"/>
      <w:kern w:val="22"/>
      <w:szCs w:val="20"/>
    </w:rPr>
  </w:style>
  <w:style w:type="character" w:customStyle="1" w:styleId="NormalWebChar">
    <w:name w:val="Normal (Web) Char"/>
    <w:basedOn w:val="DefaultParagraphFont"/>
    <w:link w:val="NormalWeb"/>
    <w:rsid w:val="00C43A35"/>
    <w:rPr>
      <w:rFonts w:ascii="Times New Roman" w:eastAsia="Times New Roman" w:hAnsi="Times New Roman"/>
      <w:color w:val="333366"/>
      <w:sz w:val="22"/>
      <w:szCs w:val="22"/>
      <w:lang w:val="en-US"/>
    </w:rPr>
  </w:style>
  <w:style w:type="paragraph" w:customStyle="1" w:styleId="Numberstyle">
    <w:name w:val="Numberstyle"/>
    <w:basedOn w:val="Normal"/>
    <w:rsid w:val="00C43A35"/>
    <w:pPr>
      <w:numPr>
        <w:numId w:val="1"/>
      </w:numPr>
      <w:shd w:val="clear" w:color="auto" w:fill="FFFFFF"/>
      <w:spacing w:before="240"/>
    </w:pPr>
    <w:rPr>
      <w:rFonts w:ascii="Arial" w:eastAsia="Times New Roman" w:hAnsi="Arial"/>
      <w:lang w:val="en-US"/>
    </w:rPr>
  </w:style>
  <w:style w:type="paragraph" w:customStyle="1" w:styleId="CharCharCharCharCharChar">
    <w:name w:val="Char Char Char Char Char Char"/>
    <w:basedOn w:val="Normal"/>
    <w:rsid w:val="00B2015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20150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rsid w:val="005F4C32"/>
    <w:pPr>
      <w:spacing w:before="120" w:after="120"/>
      <w:jc w:val="both"/>
    </w:pPr>
    <w:rPr>
      <w:rFonts w:ascii="CG Times" w:eastAsia="Times New Roman" w:hAnsi="CG Times"/>
      <w:szCs w:val="20"/>
      <w:lang w:val="en-US" w:eastAsia="en-AU"/>
    </w:rPr>
  </w:style>
  <w:style w:type="character" w:customStyle="1" w:styleId="BodyText2Char">
    <w:name w:val="Body Text 2 Char"/>
    <w:basedOn w:val="DefaultParagraphFont"/>
    <w:link w:val="BodyText2"/>
    <w:rsid w:val="005F4C32"/>
    <w:rPr>
      <w:rFonts w:ascii="CG Times" w:eastAsia="Times New Roman" w:hAnsi="CG Times"/>
      <w:sz w:val="24"/>
      <w:lang w:val="en-US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C3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143BF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4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6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F0"/>
    <w:rPr>
      <w:rFonts w:ascii="HelveticaNeueLT Std Lt" w:hAnsi="HelveticaNeueLT Std Lt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F0"/>
    <w:rPr>
      <w:rFonts w:ascii="HelveticaNeueLT Std Lt" w:hAnsi="HelveticaNeueLT Std Lt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3439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391F"/>
    <w:rPr>
      <w:rFonts w:ascii="HelveticaNeueLT Std Lt" w:hAnsi="HelveticaNeueLT Std Lt" w:cs="Arial"/>
      <w:sz w:val="22"/>
      <w:szCs w:val="22"/>
    </w:rPr>
  </w:style>
  <w:style w:type="character" w:customStyle="1" w:styleId="sup">
    <w:name w:val="sup"/>
    <w:basedOn w:val="DefaultParagraphFont"/>
    <w:rsid w:val="00D97441"/>
  </w:style>
  <w:style w:type="character" w:styleId="UnresolvedMention">
    <w:name w:val="Unresolved Mention"/>
    <w:basedOn w:val="DefaultParagraphFont"/>
    <w:uiPriority w:val="99"/>
    <w:semiHidden/>
    <w:unhideWhenUsed/>
    <w:rsid w:val="00C5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51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.gov.au/legal-system/courts/structural-reform-federal-courts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037A7-D966-8643-A796-636812A1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Briefing Note: KPI B5 Overall Satisfaction in SELT Surveys</vt:lpstr>
    </vt:vector>
  </TitlesOfParts>
  <Manager/>
  <Company>ANU College of Law</Company>
  <LinksUpToDate>false</LinksUpToDate>
  <CharactersWithSpaces>6657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LII Session 2 Outline</dc:title>
  <dc:subject/>
  <dc:creator>Amelia Simpson</dc:creator>
  <cp:keywords/>
  <dc:description/>
  <cp:lastModifiedBy>Amelia Simpson</cp:lastModifiedBy>
  <cp:revision>3</cp:revision>
  <cp:lastPrinted>2018-01-06T09:18:00Z</cp:lastPrinted>
  <dcterms:created xsi:type="dcterms:W3CDTF">2021-07-13T10:58:00Z</dcterms:created>
  <dcterms:modified xsi:type="dcterms:W3CDTF">2021-07-13T11:04:00Z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dDocName">
    <vt:lpwstr>ANUP_001200</vt:lpwstr>
  </property>
  <property fmtid="{D5CDD505-2E9C-101B-9397-08002B2CF9AE}" pid="4" name="DISProperties">
    <vt:lpwstr>DISdDocName,DIScgiUrl,DISdUser,DISdID,DISidcName,DISTaskPaneUrl</vt:lpwstr>
  </property>
  <property fmtid="{D5CDD505-2E9C-101B-9397-08002B2CF9AE}" pid="5" name="DIScgiUrl">
    <vt:lpwstr>http://policies-auth.anu.edu.au/cs/idcplg</vt:lpwstr>
  </property>
  <property fmtid="{D5CDD505-2E9C-101B-9397-08002B2CF9AE}" pid="6" name="DISdUser">
    <vt:lpwstr>aine</vt:lpwstr>
  </property>
  <property fmtid="{D5CDD505-2E9C-101B-9397-08002B2CF9AE}" pid="7" name="DISdID">
    <vt:lpwstr>2123</vt:lpwstr>
  </property>
  <property fmtid="{D5CDD505-2E9C-101B-9397-08002B2CF9AE}" pid="8" name="DISidcName">
    <vt:lpwstr>prcts1anueduau16200</vt:lpwstr>
  </property>
  <property fmtid="{D5CDD505-2E9C-101B-9397-08002B2CF9AE}" pid="9" name="DISTaskPaneUrl">
    <vt:lpwstr>http://policies-auth.anu.edu.au/cs/idcplg?IdcService=DESKTOP_DOC_INFO&amp;dDocName=ANUP_001200&amp;dID=2123&amp;ClientControlled=DocMan,taskpane&amp;coreContentOnly=1</vt:lpwstr>
  </property>
</Properties>
</file>