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F3458" w14:textId="1CD287C0" w:rsidR="00D04BAF" w:rsidRDefault="00D04BAF" w:rsidP="00821BEF">
      <w:pPr>
        <w:pStyle w:val="Heading1"/>
      </w:pPr>
      <w:r>
        <w:t>Coursework</w:t>
      </w:r>
    </w:p>
    <w:p w14:paraId="68DFB911" w14:textId="31F4C38D" w:rsidR="00D04BAF" w:rsidRDefault="004265F8">
      <w:pPr>
        <w:rPr>
          <w:rFonts w:ascii="CMSSBX10" w:hAnsi="CMSSBX10" w:cs="CMSSBX10"/>
          <w:kern w:val="0"/>
          <w:sz w:val="29"/>
          <w:szCs w:val="29"/>
        </w:rPr>
      </w:pPr>
      <w:r>
        <w:rPr>
          <w:rFonts w:ascii="CMTI10" w:eastAsia="CMTI10" w:cs="CMTI10"/>
          <w:color w:val="FF0000"/>
          <w:kern w:val="0"/>
          <w:sz w:val="20"/>
          <w:szCs w:val="20"/>
        </w:rPr>
        <w:t>if a sentence is in red italics, I expect to see a written response</w:t>
      </w:r>
    </w:p>
    <w:p w14:paraId="32DD7EE0" w14:textId="0B26113D" w:rsidR="00D04BAF" w:rsidRDefault="004265F8" w:rsidP="004265F8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BX10" w:eastAsia="CMBX10" w:cs="CMBX10"/>
          <w:kern w:val="0"/>
          <w:sz w:val="20"/>
          <w:szCs w:val="20"/>
        </w:rPr>
        <w:t>For sentences formatted bold I expect to see a plot</w:t>
      </w:r>
      <w:r>
        <w:rPr>
          <w:rFonts w:ascii="CMR10" w:eastAsia="CMR10" w:cs="CMR10"/>
          <w:kern w:val="0"/>
          <w:sz w:val="20"/>
          <w:szCs w:val="20"/>
        </w:rPr>
        <w:t>.</w:t>
      </w:r>
    </w:p>
    <w:p w14:paraId="00CA9914" w14:textId="77777777" w:rsidR="004265F8" w:rsidRDefault="004265F8" w:rsidP="004265F8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answer the advanced parts well, which require some critical interpretation of</w:t>
      </w:r>
    </w:p>
    <w:p w14:paraId="3C34DE74" w14:textId="775F3F1F" w:rsidR="004265F8" w:rsidRDefault="004265F8" w:rsidP="004265F8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the results.</w:t>
      </w:r>
    </w:p>
    <w:p w14:paraId="53A96917" w14:textId="76C48655" w:rsidR="004265F8" w:rsidRDefault="004265F8" w:rsidP="004265F8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12A804F0" w14:textId="295C4D00" w:rsidR="004265F8" w:rsidRDefault="004265F8" w:rsidP="004265F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 w:rsidRPr="004265F8">
        <w:rPr>
          <w:rFonts w:ascii="CMR10" w:eastAsia="CMR10" w:cs="CMR10"/>
          <w:kern w:val="0"/>
          <w:sz w:val="20"/>
          <w:szCs w:val="20"/>
        </w:rPr>
        <w:t>Please use at least 2 cm margins and 10 pt fonts</w:t>
      </w:r>
    </w:p>
    <w:p w14:paraId="63015198" w14:textId="6AED14FA" w:rsidR="004265F8" w:rsidRDefault="004265F8" w:rsidP="004265F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plots are high-quality, reasonably sized axis labels</w:t>
      </w:r>
    </w:p>
    <w:p w14:paraId="73C2E21E" w14:textId="6C7C6841" w:rsidR="004265F8" w:rsidRDefault="004265F8" w:rsidP="004265F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All plots should have clear x- and y-axis labels, and units</w:t>
      </w:r>
    </w:p>
    <w:p w14:paraId="53737B80" w14:textId="4652B4A7" w:rsidR="004265F8" w:rsidRDefault="004265F8" w:rsidP="004265F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>
        <w:rPr>
          <w:rFonts w:ascii="CMR10" w:eastAsia="CMR10" w:cs="CMR10"/>
          <w:kern w:val="0"/>
          <w:sz w:val="20"/>
          <w:szCs w:val="20"/>
        </w:rPr>
        <w:t>whatever programming language</w:t>
      </w:r>
    </w:p>
    <w:p w14:paraId="3FAB8DFC" w14:textId="26B6E350" w:rsidR="004265F8" w:rsidRPr="004265F8" w:rsidRDefault="004265F8" w:rsidP="004265F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  <w:r w:rsidRPr="004265F8">
        <w:rPr>
          <w:rFonts w:ascii="CMR10" w:eastAsia="CMR10" w:cs="CMR10"/>
          <w:kern w:val="0"/>
          <w:sz w:val="20"/>
          <w:szCs w:val="20"/>
        </w:rPr>
        <w:t>submit both your report and code</w:t>
      </w:r>
      <w:r>
        <w:rPr>
          <w:rFonts w:ascii="CMR10" w:eastAsia="CMR10" w:cs="CMR10"/>
          <w:kern w:val="0"/>
          <w:sz w:val="20"/>
          <w:szCs w:val="20"/>
        </w:rPr>
        <w:t xml:space="preserve"> (final mark will entirely be based on the report)</w:t>
      </w:r>
    </w:p>
    <w:p w14:paraId="61093BC6" w14:textId="77777777" w:rsidR="004265F8" w:rsidRPr="004265F8" w:rsidRDefault="004265F8" w:rsidP="004265F8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kern w:val="0"/>
          <w:sz w:val="20"/>
          <w:szCs w:val="20"/>
        </w:rPr>
      </w:pPr>
    </w:p>
    <w:p w14:paraId="392D1E1B" w14:textId="1DB7E51E" w:rsidR="00D04BAF" w:rsidRDefault="00D04BAF" w:rsidP="00821BEF">
      <w:pPr>
        <w:pStyle w:val="Heading1"/>
      </w:pPr>
      <w:r>
        <w:t>E</w:t>
      </w:r>
      <w:r>
        <w:rPr>
          <w:rFonts w:hint="eastAsia"/>
        </w:rPr>
        <w:t>xam</w:t>
      </w:r>
    </w:p>
    <w:p w14:paraId="1852B7B6" w14:textId="77777777" w:rsidR="007F0DC5" w:rsidRPr="007F0DC5" w:rsidRDefault="007F0DC5" w:rsidP="007F0DC5">
      <w:pPr>
        <w:rPr>
          <w:rFonts w:ascii="CMSSBX10" w:hAnsi="CMSSBX10" w:cs="CMSSBX10"/>
          <w:kern w:val="0"/>
          <w:sz w:val="29"/>
          <w:szCs w:val="29"/>
        </w:rPr>
      </w:pPr>
      <w:r w:rsidRPr="007F0DC5">
        <w:rPr>
          <w:rFonts w:ascii="CMSSBX10" w:hAnsi="CMSSBX10" w:cs="CMSSBX10"/>
          <w:kern w:val="0"/>
          <w:sz w:val="29"/>
          <w:szCs w:val="29"/>
        </w:rPr>
        <w:t>is closed book</w:t>
      </w:r>
    </w:p>
    <w:p w14:paraId="385E8A2C" w14:textId="77777777" w:rsidR="007F0DC5" w:rsidRPr="007F0DC5" w:rsidRDefault="007F0DC5" w:rsidP="007F0DC5">
      <w:pPr>
        <w:rPr>
          <w:rFonts w:ascii="CMSSBX10" w:hAnsi="CMSSBX10" w:cs="CMSSBX10"/>
          <w:kern w:val="0"/>
          <w:sz w:val="29"/>
          <w:szCs w:val="29"/>
        </w:rPr>
      </w:pPr>
      <w:r w:rsidRPr="007F0DC5">
        <w:rPr>
          <w:rFonts w:ascii="CMSSBX10" w:hAnsi="CMSSBX10" w:cs="CMSSBX10"/>
          <w:kern w:val="0"/>
          <w:sz w:val="29"/>
          <w:szCs w:val="29"/>
        </w:rPr>
        <w:t>is in person</w:t>
      </w:r>
    </w:p>
    <w:p w14:paraId="1DE797A6" w14:textId="77777777" w:rsidR="007F0DC5" w:rsidRPr="007F0DC5" w:rsidRDefault="007F0DC5" w:rsidP="007F0DC5">
      <w:pPr>
        <w:rPr>
          <w:rFonts w:ascii="CMSSBX10" w:hAnsi="CMSSBX10" w:cs="CMSSBX10"/>
          <w:kern w:val="0"/>
          <w:sz w:val="29"/>
          <w:szCs w:val="29"/>
        </w:rPr>
      </w:pPr>
      <w:r w:rsidRPr="007F0DC5">
        <w:rPr>
          <w:rFonts w:ascii="CMSSBX10" w:hAnsi="CMSSBX10" w:cs="CMSSBX10"/>
          <w:kern w:val="0"/>
          <w:sz w:val="29"/>
          <w:szCs w:val="29"/>
        </w:rPr>
        <w:t>is handwritten</w:t>
      </w:r>
    </w:p>
    <w:p w14:paraId="07D970FB" w14:textId="58B170BA" w:rsidR="00D04BAF" w:rsidRDefault="007F0DC5" w:rsidP="007F0DC5">
      <w:pPr>
        <w:rPr>
          <w:rFonts w:ascii="CMSSBX10" w:hAnsi="CMSSBX10" w:cs="CMSSBX10"/>
          <w:kern w:val="0"/>
          <w:sz w:val="29"/>
          <w:szCs w:val="29"/>
        </w:rPr>
      </w:pPr>
      <w:r w:rsidRPr="007F0DC5">
        <w:rPr>
          <w:rFonts w:ascii="CMSSBX10" w:hAnsi="CMSSBX10" w:cs="CMSSBX10"/>
          <w:kern w:val="0"/>
          <w:sz w:val="29"/>
          <w:szCs w:val="29"/>
        </w:rPr>
        <w:t>allows calculator</w:t>
      </w:r>
    </w:p>
    <w:p w14:paraId="6390ED6C" w14:textId="77777777" w:rsidR="007F0DC5" w:rsidRPr="007F0DC5" w:rsidRDefault="007F0DC5" w:rsidP="007F0DC5">
      <w:pPr>
        <w:numPr>
          <w:ilvl w:val="0"/>
          <w:numId w:val="2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kern w:val="0"/>
          <w:sz w:val="24"/>
          <w:szCs w:val="24"/>
          <w14:ligatures w14:val="none"/>
        </w:rPr>
      </w:pPr>
      <w:r w:rsidRPr="007F0DC5">
        <w:rPr>
          <w:rFonts w:ascii="Segoe UI" w:eastAsia="Times New Roman" w:hAnsi="Segoe UI" w:cs="Segoe UI"/>
          <w:color w:val="C9D1D9"/>
          <w:kern w:val="0"/>
          <w:sz w:val="24"/>
          <w:szCs w:val="24"/>
          <w14:ligatures w14:val="none"/>
        </w:rPr>
        <w:t>There are 12 compulsory short questions.</w:t>
      </w:r>
    </w:p>
    <w:p w14:paraId="49F1351B" w14:textId="77777777" w:rsidR="007F0DC5" w:rsidRPr="007F0DC5" w:rsidRDefault="007F0DC5" w:rsidP="007F0DC5">
      <w:pPr>
        <w:numPr>
          <w:ilvl w:val="0"/>
          <w:numId w:val="2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kern w:val="0"/>
          <w:sz w:val="24"/>
          <w:szCs w:val="24"/>
          <w14:ligatures w14:val="none"/>
        </w:rPr>
      </w:pPr>
      <w:r w:rsidRPr="007F0DC5">
        <w:rPr>
          <w:rFonts w:ascii="Segoe UI" w:eastAsia="Times New Roman" w:hAnsi="Segoe UI" w:cs="Segoe UI"/>
          <w:color w:val="C9D1D9"/>
          <w:kern w:val="0"/>
          <w:sz w:val="24"/>
          <w:szCs w:val="24"/>
          <w14:ligatures w14:val="none"/>
        </w:rPr>
        <w:t xml:space="preserve">In addition, there are 3 long questions. You pick 2 of the 3 long questions. The long questions </w:t>
      </w:r>
      <w:proofErr w:type="gramStart"/>
      <w:r w:rsidRPr="007F0DC5">
        <w:rPr>
          <w:rFonts w:ascii="Segoe UI" w:eastAsia="Times New Roman" w:hAnsi="Segoe UI" w:cs="Segoe UI"/>
          <w:color w:val="C9D1D9"/>
          <w:kern w:val="0"/>
          <w:sz w:val="24"/>
          <w:szCs w:val="24"/>
          <w14:ligatures w14:val="none"/>
        </w:rPr>
        <w:t>is</w:t>
      </w:r>
      <w:proofErr w:type="gramEnd"/>
      <w:r w:rsidRPr="007F0DC5">
        <w:rPr>
          <w:rFonts w:ascii="Segoe UI" w:eastAsia="Times New Roman" w:hAnsi="Segoe UI" w:cs="Segoe UI"/>
          <w:color w:val="C9D1D9"/>
          <w:kern w:val="0"/>
          <w:sz w:val="24"/>
          <w:szCs w:val="24"/>
          <w14:ligatures w14:val="none"/>
        </w:rPr>
        <w:t xml:space="preserve"> really just a collection of a few short answer questions, but where there can be some links across the questions.</w:t>
      </w:r>
    </w:p>
    <w:p w14:paraId="458F23BA" w14:textId="77777777" w:rsidR="007F0DC5" w:rsidRPr="007F0DC5" w:rsidRDefault="007F0DC5" w:rsidP="007F0DC5">
      <w:pPr>
        <w:numPr>
          <w:ilvl w:val="0"/>
          <w:numId w:val="2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kern w:val="0"/>
          <w:sz w:val="24"/>
          <w:szCs w:val="24"/>
          <w14:ligatures w14:val="none"/>
        </w:rPr>
      </w:pPr>
      <w:r w:rsidRPr="007F0DC5">
        <w:rPr>
          <w:rFonts w:ascii="Segoe UI" w:eastAsia="Times New Roman" w:hAnsi="Segoe UI" w:cs="Segoe UI"/>
          <w:color w:val="C9D1D9"/>
          <w:kern w:val="0"/>
          <w:sz w:val="24"/>
          <w:szCs w:val="24"/>
          <w14:ligatures w14:val="none"/>
        </w:rPr>
        <w:t>Previous years have multiple choice questions and short answer questions, while this year we just have short answer questions (remember that the long questions are really just a collection of shorter questions). Importantly, the content + difficulty of the MCQs vs short answer questions should be very similar.</w:t>
      </w:r>
    </w:p>
    <w:p w14:paraId="6D2CDDCA" w14:textId="77777777" w:rsidR="007F0DC5" w:rsidRDefault="007F0DC5" w:rsidP="007F0DC5">
      <w:pPr>
        <w:rPr>
          <w:rFonts w:ascii="CMSSBX10" w:hAnsi="CMSSBX10" w:cs="CMSSBX10"/>
          <w:kern w:val="0"/>
          <w:sz w:val="29"/>
          <w:szCs w:val="29"/>
        </w:rPr>
      </w:pPr>
    </w:p>
    <w:p w14:paraId="48FBBCC7" w14:textId="12E8CBA7" w:rsidR="00D04BAF" w:rsidRDefault="00D04BAF">
      <w:pPr>
        <w:rPr>
          <w:rFonts w:ascii="CMSSBX10" w:hAnsi="CMSSBX10" w:cs="CMSSBX10"/>
          <w:kern w:val="0"/>
          <w:sz w:val="29"/>
          <w:szCs w:val="29"/>
        </w:rPr>
      </w:pPr>
      <w:r>
        <w:rPr>
          <w:rFonts w:ascii="CMSSBX10" w:hAnsi="CMSSBX10" w:cs="CMSSBX10"/>
          <w:kern w:val="0"/>
          <w:sz w:val="29"/>
          <w:szCs w:val="29"/>
        </w:rPr>
        <w:t>Section 1: Brain basics (14 marks)</w:t>
      </w:r>
    </w:p>
    <w:p w14:paraId="71E014B4" w14:textId="77777777" w:rsidR="00D04BAF" w:rsidRDefault="00D04BAF" w:rsidP="00D04BAF">
      <w:pPr>
        <w:autoSpaceDE w:val="0"/>
        <w:autoSpaceDN w:val="0"/>
        <w:adjustRightInd w:val="0"/>
        <w:spacing w:after="0" w:line="240" w:lineRule="auto"/>
        <w:rPr>
          <w:rFonts w:ascii="CMSSBX10" w:hAnsi="CMSSBX10" w:cs="CMSSBX10"/>
          <w:kern w:val="0"/>
          <w:sz w:val="29"/>
          <w:szCs w:val="29"/>
        </w:rPr>
      </w:pPr>
      <w:r>
        <w:rPr>
          <w:rFonts w:ascii="CMSSBX10" w:hAnsi="CMSSBX10" w:cs="CMSSBX10"/>
          <w:kern w:val="0"/>
          <w:sz w:val="29"/>
          <w:szCs w:val="29"/>
        </w:rPr>
        <w:t>Section 2: Differential equations, leaky integrate-and-fire</w:t>
      </w:r>
    </w:p>
    <w:p w14:paraId="6608F079" w14:textId="3C872BB0" w:rsidR="00D04BAF" w:rsidRDefault="00D04BAF" w:rsidP="00D04BAF">
      <w:pPr>
        <w:rPr>
          <w:rFonts w:ascii="CMSSBX10" w:hAnsi="CMSSBX10" w:cs="CMSSBX10"/>
          <w:kern w:val="0"/>
          <w:sz w:val="29"/>
          <w:szCs w:val="29"/>
        </w:rPr>
      </w:pPr>
      <w:r>
        <w:rPr>
          <w:rFonts w:ascii="CMSSBX10" w:hAnsi="CMSSBX10" w:cs="CMSSBX10"/>
          <w:kern w:val="0"/>
          <w:sz w:val="29"/>
          <w:szCs w:val="29"/>
        </w:rPr>
        <w:t>neurons (14 marks)</w:t>
      </w:r>
    </w:p>
    <w:p w14:paraId="7CF94F1B" w14:textId="77777777" w:rsidR="00D04BAF" w:rsidRDefault="00D04BAF" w:rsidP="00D04BAF">
      <w:pPr>
        <w:autoSpaceDE w:val="0"/>
        <w:autoSpaceDN w:val="0"/>
        <w:adjustRightInd w:val="0"/>
        <w:spacing w:after="0" w:line="240" w:lineRule="auto"/>
        <w:rPr>
          <w:rFonts w:ascii="CMSSBX10" w:hAnsi="CMSSBX10" w:cs="CMSSBX10"/>
          <w:kern w:val="0"/>
          <w:sz w:val="29"/>
          <w:szCs w:val="29"/>
        </w:rPr>
      </w:pPr>
      <w:r>
        <w:rPr>
          <w:rFonts w:ascii="CMSSBX10" w:hAnsi="CMSSBX10" w:cs="CMSSBX10"/>
          <w:kern w:val="0"/>
          <w:sz w:val="29"/>
          <w:szCs w:val="29"/>
        </w:rPr>
        <w:t>Section 3: Hodgkin Huxley, modelling neurons, analysing</w:t>
      </w:r>
    </w:p>
    <w:p w14:paraId="59DAF984" w14:textId="035CAE9B" w:rsidR="00D04BAF" w:rsidRDefault="00D04BAF" w:rsidP="00D04BAF">
      <w:pPr>
        <w:rPr>
          <w:rFonts w:ascii="CMSSBX10" w:hAnsi="CMSSBX10" w:cs="CMSSBX10"/>
          <w:kern w:val="0"/>
          <w:sz w:val="29"/>
          <w:szCs w:val="29"/>
        </w:rPr>
      </w:pPr>
      <w:r>
        <w:rPr>
          <w:rFonts w:ascii="CMSSBX10" w:hAnsi="CMSSBX10" w:cs="CMSSBX10"/>
          <w:kern w:val="0"/>
          <w:sz w:val="29"/>
          <w:szCs w:val="29"/>
        </w:rPr>
        <w:t>spiking data (16 marks)</w:t>
      </w:r>
    </w:p>
    <w:p w14:paraId="2EAC272D" w14:textId="2E2E3757" w:rsidR="00D04BAF" w:rsidRDefault="00D04BAF" w:rsidP="00D04BAF">
      <w:pPr>
        <w:rPr>
          <w:rFonts w:ascii="CMSSBX10" w:hAnsi="CMSSBX10" w:cs="CMSSBX10"/>
          <w:kern w:val="0"/>
          <w:sz w:val="29"/>
          <w:szCs w:val="29"/>
        </w:rPr>
      </w:pPr>
      <w:r>
        <w:rPr>
          <w:rFonts w:ascii="CMSSBX10" w:hAnsi="CMSSBX10" w:cs="CMSSBX10"/>
          <w:kern w:val="0"/>
          <w:sz w:val="29"/>
          <w:szCs w:val="29"/>
        </w:rPr>
        <w:lastRenderedPageBreak/>
        <w:t>Section 4: Synapses, synaptic plasticity (7 marks)</w:t>
      </w:r>
    </w:p>
    <w:p w14:paraId="30E2BDB7" w14:textId="3A1BD796" w:rsidR="00D04BAF" w:rsidRDefault="00D04BAF" w:rsidP="00D04BAF">
      <w:pPr>
        <w:rPr>
          <w:rFonts w:ascii="CMSSBX10" w:hAnsi="CMSSBX10" w:cs="CMSSBX10"/>
          <w:kern w:val="0"/>
          <w:sz w:val="29"/>
          <w:szCs w:val="29"/>
        </w:rPr>
      </w:pPr>
      <w:r>
        <w:rPr>
          <w:rFonts w:ascii="CMSSBX10" w:hAnsi="CMSSBX10" w:cs="CMSSBX10"/>
          <w:kern w:val="0"/>
          <w:sz w:val="29"/>
          <w:szCs w:val="29"/>
        </w:rPr>
        <w:t>Section 5: Hippocampus, Hopfield networks (14 marks)</w:t>
      </w:r>
    </w:p>
    <w:p w14:paraId="4CD857B9" w14:textId="74B29FAB" w:rsidR="00D04BAF" w:rsidRDefault="00D04BAF" w:rsidP="00D04BAF">
      <w:pPr>
        <w:rPr>
          <w:rFonts w:ascii="CMSSBX10" w:hAnsi="CMSSBX10" w:cs="CMSSBX10"/>
          <w:kern w:val="0"/>
          <w:sz w:val="29"/>
          <w:szCs w:val="29"/>
        </w:rPr>
      </w:pPr>
      <w:r>
        <w:rPr>
          <w:rFonts w:ascii="CMSSBX10" w:hAnsi="CMSSBX10" w:cs="CMSSBX10"/>
          <w:kern w:val="0"/>
          <w:sz w:val="29"/>
          <w:szCs w:val="29"/>
        </w:rPr>
        <w:t>Section 6: Visual system, rate coding (14 marks</w:t>
      </w:r>
    </w:p>
    <w:p w14:paraId="0E1809CC" w14:textId="77777777" w:rsidR="00D04BAF" w:rsidRDefault="00D04BAF" w:rsidP="00D04BAF">
      <w:pPr>
        <w:autoSpaceDE w:val="0"/>
        <w:autoSpaceDN w:val="0"/>
        <w:adjustRightInd w:val="0"/>
        <w:spacing w:after="0" w:line="240" w:lineRule="auto"/>
        <w:rPr>
          <w:rFonts w:ascii="CMSSBX10" w:hAnsi="CMSSBX10" w:cs="CMSSBX10"/>
          <w:kern w:val="0"/>
          <w:sz w:val="29"/>
          <w:szCs w:val="29"/>
        </w:rPr>
      </w:pPr>
      <w:r>
        <w:rPr>
          <w:rFonts w:ascii="CMSSBX10" w:hAnsi="CMSSBX10" w:cs="CMSSBX10"/>
          <w:kern w:val="0"/>
          <w:sz w:val="29"/>
          <w:szCs w:val="29"/>
        </w:rPr>
        <w:t>Section 7: Supervised learning, Cerebellum, temporal</w:t>
      </w:r>
    </w:p>
    <w:p w14:paraId="52894FA9" w14:textId="6F9874B8" w:rsidR="00821BEF" w:rsidRDefault="00D04BAF" w:rsidP="00D04BAF">
      <w:pPr>
        <w:rPr>
          <w:rFonts w:ascii="CMSSBX10" w:hAnsi="CMSSBX10" w:cs="CMSSBX10"/>
          <w:kern w:val="0"/>
          <w:sz w:val="29"/>
          <w:szCs w:val="29"/>
        </w:rPr>
      </w:pPr>
      <w:r>
        <w:rPr>
          <w:rFonts w:ascii="CMSSBX10" w:hAnsi="CMSSBX10" w:cs="CMSSBX10"/>
          <w:kern w:val="0"/>
          <w:sz w:val="29"/>
          <w:szCs w:val="29"/>
        </w:rPr>
        <w:t>difference learning (7 marks)</w:t>
      </w:r>
    </w:p>
    <w:p w14:paraId="3084BECC" w14:textId="7AB725F0" w:rsidR="00D04BAF" w:rsidRPr="00821BEF" w:rsidRDefault="00821BEF" w:rsidP="00821BEF">
      <w:pPr>
        <w:pStyle w:val="Heading1"/>
      </w:pPr>
      <w:r>
        <w:br w:type="page"/>
      </w:r>
      <w:r>
        <w:lastRenderedPageBreak/>
        <w:t>W</w:t>
      </w:r>
      <w:r>
        <w:rPr>
          <w:rFonts w:hint="eastAsia"/>
        </w:rPr>
        <w:t>ee</w:t>
      </w:r>
      <w:r>
        <w:t>k 1</w:t>
      </w:r>
    </w:p>
    <w:p w14:paraId="6A60FA2D" w14:textId="7C9A5D57" w:rsidR="00A359F3" w:rsidRDefault="00C01DCB">
      <w:r>
        <w:rPr>
          <w:noProof/>
        </w:rPr>
        <w:drawing>
          <wp:inline distT="0" distB="0" distL="0" distR="0" wp14:anchorId="77700702" wp14:editId="415CD6CC">
            <wp:extent cx="5731510" cy="577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70C8" w14:textId="03976203" w:rsidR="00C01DCB" w:rsidRDefault="00C01DCB">
      <w:r>
        <w:rPr>
          <w:noProof/>
        </w:rPr>
        <w:drawing>
          <wp:inline distT="0" distB="0" distL="0" distR="0" wp14:anchorId="6197CCED" wp14:editId="13FDABF7">
            <wp:extent cx="5731510" cy="16109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7FE4" w14:textId="26BBEA8D" w:rsidR="00C01DCB" w:rsidRDefault="00C01DCB">
      <w:r>
        <w:rPr>
          <w:noProof/>
        </w:rPr>
        <w:drawing>
          <wp:inline distT="0" distB="0" distL="0" distR="0" wp14:anchorId="1221D85A" wp14:editId="15091DF5">
            <wp:extent cx="5731510" cy="41656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E964" w14:textId="77777777" w:rsidR="00D04BAF" w:rsidRDefault="00D04BAF"/>
    <w:p w14:paraId="16FAA37F" w14:textId="77777777" w:rsidR="00D04BAF" w:rsidRDefault="00D04BAF"/>
    <w:p w14:paraId="5F239078" w14:textId="2EDADD29" w:rsidR="00D04BAF" w:rsidRDefault="00D04BAF">
      <w:r>
        <w:rPr>
          <w:noProof/>
        </w:rPr>
        <w:lastRenderedPageBreak/>
        <w:drawing>
          <wp:inline distT="0" distB="0" distL="0" distR="0" wp14:anchorId="1D6331DB" wp14:editId="7648E6EF">
            <wp:extent cx="5731510" cy="21685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43FF" w14:textId="49806CB4" w:rsidR="00771088" w:rsidRDefault="00771088">
      <w:r>
        <w:rPr>
          <w:noProof/>
        </w:rPr>
        <w:drawing>
          <wp:inline distT="0" distB="0" distL="0" distR="0" wp14:anchorId="5ED700D8" wp14:editId="02E276DC">
            <wp:extent cx="5731510" cy="12858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6EBB" w14:textId="1CE676B6" w:rsidR="00771088" w:rsidRDefault="00771088">
      <w:r>
        <w:rPr>
          <w:noProof/>
        </w:rPr>
        <w:drawing>
          <wp:inline distT="0" distB="0" distL="0" distR="0" wp14:anchorId="5064F1E4" wp14:editId="00A2783C">
            <wp:extent cx="5731510" cy="32118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1660" w14:textId="457253C4" w:rsidR="00F80601" w:rsidRDefault="00771088">
      <w:r>
        <w:rPr>
          <w:noProof/>
        </w:rPr>
        <w:drawing>
          <wp:inline distT="0" distB="0" distL="0" distR="0" wp14:anchorId="722360D1" wp14:editId="6A893578">
            <wp:extent cx="5731510" cy="16948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0D76" w14:textId="1AADD78F" w:rsidR="00771088" w:rsidRDefault="00F80601" w:rsidP="00F80601">
      <w:pPr>
        <w:pStyle w:val="Heading1"/>
      </w:pPr>
      <w:r>
        <w:br w:type="page"/>
      </w:r>
      <w:r>
        <w:lastRenderedPageBreak/>
        <w:t>Week 2</w:t>
      </w:r>
    </w:p>
    <w:p w14:paraId="1BD5D4BC" w14:textId="735EBCBB" w:rsidR="00F80601" w:rsidRDefault="00F80601" w:rsidP="00F80601">
      <w:r w:rsidRPr="00F80601">
        <w:rPr>
          <w:rFonts w:hint="eastAsia"/>
        </w:rPr>
        <w:t>漏桶算法</w:t>
      </w:r>
      <w:r w:rsidRPr="00F80601">
        <w:rPr>
          <w:rFonts w:hint="eastAsia"/>
        </w:rPr>
        <w:t>(Leaky Bucket)</w:t>
      </w:r>
    </w:p>
    <w:p w14:paraId="57A975E1" w14:textId="3A32C8C7" w:rsidR="00F80601" w:rsidRDefault="00F80601" w:rsidP="00F80601">
      <w:r>
        <w:rPr>
          <w:noProof/>
        </w:rPr>
        <w:drawing>
          <wp:inline distT="0" distB="0" distL="0" distR="0" wp14:anchorId="494D4B5D" wp14:editId="35511D28">
            <wp:extent cx="1695450" cy="409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496B" w14:textId="5855BE1D" w:rsidR="00F80601" w:rsidRDefault="00F80601" w:rsidP="00F80601">
      <w:r>
        <w:rPr>
          <w:noProof/>
        </w:rPr>
        <w:drawing>
          <wp:inline distT="0" distB="0" distL="0" distR="0" wp14:anchorId="6C6B3659" wp14:editId="1BC382E4">
            <wp:extent cx="4362450" cy="3476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4658" cy="347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AF11" w14:textId="59503BF6" w:rsidR="00F80601" w:rsidRDefault="00F80601" w:rsidP="00F80601">
      <w:r>
        <w:rPr>
          <w:noProof/>
        </w:rPr>
        <w:drawing>
          <wp:inline distT="0" distB="0" distL="0" distR="0" wp14:anchorId="76193D35" wp14:editId="333BCDE3">
            <wp:extent cx="4524375" cy="34170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983" cy="34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119B" w14:textId="0E814569" w:rsidR="008F73AE" w:rsidRDefault="00F80601" w:rsidP="00F80601">
      <w:pPr>
        <w:rPr>
          <w:rFonts w:ascii="Arial" w:hAnsi="Arial" w:cs="Arial"/>
          <w:color w:val="BDC1C6"/>
          <w:sz w:val="21"/>
          <w:szCs w:val="21"/>
          <w:shd w:val="clear" w:color="auto" w:fill="202124"/>
        </w:rPr>
      </w:pPr>
      <w:r w:rsidRPr="00F80601">
        <w:t>Linear Regression</w:t>
      </w:r>
      <w:r>
        <w:t xml:space="preserve"> </w:t>
      </w:r>
      <w:proofErr w:type="gramStart"/>
      <w:r>
        <w:rPr>
          <w:rStyle w:val="Emphasis"/>
          <w:rFonts w:ascii="Arial" w:hAnsi="Arial" w:cs="Arial"/>
          <w:i w:val="0"/>
          <w:iCs w:val="0"/>
          <w:color w:val="FF7866"/>
          <w:sz w:val="21"/>
          <w:szCs w:val="21"/>
          <w:shd w:val="clear" w:color="auto" w:fill="202124"/>
        </w:rPr>
        <w:t>Exponential</w:t>
      </w:r>
      <w:r>
        <w:rPr>
          <w:rFonts w:ascii="Arial" w:hAnsi="Arial" w:cs="Arial"/>
          <w:color w:val="BDC1C6"/>
          <w:sz w:val="21"/>
          <w:szCs w:val="21"/>
          <w:shd w:val="clear" w:color="auto" w:fill="202124"/>
        </w:rPr>
        <w:t xml:space="preserve">  </w:t>
      </w:r>
      <w:r>
        <w:rPr>
          <w:rFonts w:ascii="Arial" w:hAnsi="Arial" w:cs="Arial" w:hint="eastAsia"/>
          <w:color w:val="BDC1C6"/>
          <w:sz w:val="21"/>
          <w:szCs w:val="21"/>
          <w:shd w:val="clear" w:color="auto" w:fill="202124"/>
        </w:rPr>
        <w:t>指数函数</w:t>
      </w:r>
      <w:proofErr w:type="gramEnd"/>
      <w:r w:rsidR="00F101F1">
        <w:rPr>
          <w:rFonts w:ascii="Arial" w:hAnsi="Arial" w:cs="Arial" w:hint="eastAsia"/>
          <w:color w:val="BDC1C6"/>
          <w:sz w:val="21"/>
          <w:szCs w:val="21"/>
          <w:shd w:val="clear" w:color="auto" w:fill="202124"/>
        </w:rPr>
        <w:t xml:space="preserve"> </w:t>
      </w:r>
      <w:r w:rsidR="00F101F1">
        <w:rPr>
          <w:rFonts w:ascii="Arial" w:hAnsi="Arial" w:cs="Arial"/>
          <w:color w:val="BDC1C6"/>
          <w:sz w:val="21"/>
          <w:szCs w:val="21"/>
          <w:shd w:val="clear" w:color="auto" w:fill="202124"/>
        </w:rPr>
        <w:t xml:space="preserve"> </w:t>
      </w:r>
      <w:r w:rsidR="00F101F1" w:rsidRPr="00F101F1">
        <w:rPr>
          <w:rFonts w:ascii="Arial" w:hAnsi="Arial" w:cs="Arial" w:hint="eastAsia"/>
          <w:color w:val="BDC1C6"/>
          <w:sz w:val="21"/>
          <w:szCs w:val="21"/>
          <w:shd w:val="clear" w:color="auto" w:fill="202124"/>
        </w:rPr>
        <w:t>微分方程</w:t>
      </w:r>
      <w:r w:rsidR="00F101F1">
        <w:rPr>
          <w:rFonts w:ascii="Arial" w:hAnsi="Arial" w:cs="Arial" w:hint="eastAsia"/>
          <w:color w:val="BDC1C6"/>
          <w:sz w:val="21"/>
          <w:szCs w:val="21"/>
          <w:shd w:val="clear" w:color="auto" w:fill="202124"/>
        </w:rPr>
        <w:t xml:space="preserve"> </w:t>
      </w:r>
      <w:r w:rsidR="00F101F1">
        <w:rPr>
          <w:rFonts w:ascii="Arial" w:hAnsi="Arial" w:cs="Arial" w:hint="eastAsia"/>
          <w:color w:val="BDC1C6"/>
          <w:sz w:val="21"/>
          <w:szCs w:val="21"/>
          <w:shd w:val="clear" w:color="auto" w:fill="202124"/>
        </w:rPr>
        <w:t>（</w:t>
      </w:r>
      <w:r w:rsidR="00F101F1" w:rsidRPr="00F101F1">
        <w:rPr>
          <w:rFonts w:ascii="Arial" w:hAnsi="Arial" w:cs="Arial"/>
          <w:color w:val="BDC1C6"/>
          <w:sz w:val="21"/>
          <w:szCs w:val="21"/>
          <w:shd w:val="clear" w:color="auto" w:fill="202124"/>
        </w:rPr>
        <w:t>differential equations</w:t>
      </w:r>
      <w:r w:rsidR="00F101F1">
        <w:rPr>
          <w:rFonts w:ascii="Arial" w:hAnsi="Arial" w:cs="Arial" w:hint="eastAsia"/>
          <w:color w:val="BDC1C6"/>
          <w:sz w:val="21"/>
          <w:szCs w:val="21"/>
          <w:shd w:val="clear" w:color="auto" w:fill="202124"/>
        </w:rPr>
        <w:t>）</w:t>
      </w:r>
    </w:p>
    <w:p w14:paraId="105074C9" w14:textId="77777777" w:rsidR="008F73AE" w:rsidRDefault="008F73AE">
      <w:pPr>
        <w:rPr>
          <w:rFonts w:ascii="Arial" w:hAnsi="Arial" w:cs="Arial"/>
          <w:color w:val="BDC1C6"/>
          <w:sz w:val="21"/>
          <w:szCs w:val="21"/>
          <w:shd w:val="clear" w:color="auto" w:fill="202124"/>
        </w:rPr>
      </w:pPr>
      <w:r>
        <w:rPr>
          <w:rFonts w:ascii="Arial" w:hAnsi="Arial" w:cs="Arial"/>
          <w:color w:val="BDC1C6"/>
          <w:sz w:val="21"/>
          <w:szCs w:val="21"/>
          <w:shd w:val="clear" w:color="auto" w:fill="202124"/>
        </w:rPr>
        <w:br w:type="page"/>
      </w:r>
    </w:p>
    <w:p w14:paraId="51B10107" w14:textId="3D8EC617" w:rsidR="00F80601" w:rsidRDefault="008F73AE" w:rsidP="008F73AE">
      <w:pPr>
        <w:pStyle w:val="Heading1"/>
      </w:pPr>
      <w:r>
        <w:lastRenderedPageBreak/>
        <w:t>W</w:t>
      </w:r>
      <w:r>
        <w:rPr>
          <w:rFonts w:hint="eastAsia"/>
        </w:rPr>
        <w:t>ee</w:t>
      </w:r>
      <w:r>
        <w:t>k 3</w:t>
      </w:r>
    </w:p>
    <w:p w14:paraId="273292E4" w14:textId="7091D029" w:rsidR="008F73AE" w:rsidRDefault="008F73AE" w:rsidP="008F73AE">
      <w:r w:rsidRPr="008F73AE">
        <w:t>leaky integrate and fire model</w:t>
      </w:r>
    </w:p>
    <w:p w14:paraId="7F676AA8" w14:textId="7E3CA4B5" w:rsidR="008F73AE" w:rsidRDefault="008F73AE" w:rsidP="008F73AE">
      <w:r>
        <w:rPr>
          <w:noProof/>
        </w:rPr>
        <w:drawing>
          <wp:inline distT="0" distB="0" distL="0" distR="0" wp14:anchorId="7787B23B" wp14:editId="2BCD72A7">
            <wp:extent cx="3914775" cy="1600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1BC0" w14:textId="763FA009" w:rsidR="008F73AE" w:rsidRDefault="008F73AE" w:rsidP="008F73AE">
      <w:r w:rsidRPr="008F73AE">
        <w:t xml:space="preserve">The ion pump pumps three sodium ions out for each </w:t>
      </w:r>
      <w:proofErr w:type="spellStart"/>
      <w:r w:rsidRPr="008F73AE">
        <w:t>it</w:t>
      </w:r>
      <w:proofErr w:type="spellEnd"/>
      <w:r w:rsidRPr="008F73AE">
        <w:t xml:space="preserve"> two </w:t>
      </w:r>
      <w:proofErr w:type="spellStart"/>
      <w:r w:rsidRPr="008F73AE">
        <w:t>potassiums</w:t>
      </w:r>
      <w:proofErr w:type="spellEnd"/>
      <w:r w:rsidRPr="008F73AE">
        <w:t xml:space="preserve"> it pumps in</w:t>
      </w:r>
    </w:p>
    <w:p w14:paraId="7F65349A" w14:textId="59A376ED" w:rsidR="008F73AE" w:rsidRDefault="008F73AE" w:rsidP="008F73AE">
      <w:r>
        <w:rPr>
          <w:rFonts w:ascii="Arial" w:hAnsi="Arial" w:cs="Arial"/>
          <w:b/>
          <w:bCs/>
          <w:color w:val="202122"/>
          <w:sz w:val="23"/>
          <w:szCs w:val="23"/>
          <w:shd w:val="clear" w:color="auto" w:fill="FFFFFF"/>
        </w:rPr>
        <w:t>钠钾泵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（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sodium–potassium pump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）又称</w:t>
      </w:r>
      <w:r>
        <w:rPr>
          <w:rFonts w:ascii="Arial" w:hAnsi="Arial" w:cs="Arial"/>
          <w:b/>
          <w:bCs/>
          <w:color w:val="202122"/>
          <w:sz w:val="23"/>
          <w:szCs w:val="23"/>
          <w:shd w:val="clear" w:color="auto" w:fill="FFFFFF"/>
        </w:rPr>
        <w:t>钠钾</w:t>
      </w:r>
      <w:r>
        <w:rPr>
          <w:rFonts w:ascii="Arial" w:hAnsi="Arial" w:cs="Arial"/>
          <w:b/>
          <w:bCs/>
          <w:color w:val="202122"/>
          <w:sz w:val="23"/>
          <w:szCs w:val="23"/>
          <w:shd w:val="clear" w:color="auto" w:fill="FFFFFF"/>
        </w:rPr>
        <w:t>ATP</w:t>
      </w:r>
      <w:r>
        <w:rPr>
          <w:rFonts w:ascii="Arial" w:hAnsi="Arial" w:cs="Arial"/>
          <w:b/>
          <w:bCs/>
          <w:color w:val="202122"/>
          <w:sz w:val="23"/>
          <w:szCs w:val="23"/>
          <w:shd w:val="clear" w:color="auto" w:fill="FFFFFF"/>
        </w:rPr>
        <w:t>酶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（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Na</w:t>
      </w:r>
      <w:r>
        <w:rPr>
          <w:rFonts w:ascii="Arial" w:hAnsi="Arial" w:cs="Arial"/>
          <w:color w:val="202122"/>
          <w:shd w:val="clear" w:color="auto" w:fill="FFFFFF"/>
          <w:vertAlign w:val="superscript"/>
        </w:rPr>
        <w:t>+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/K</w:t>
      </w:r>
      <w:r>
        <w:rPr>
          <w:rFonts w:ascii="Arial" w:hAnsi="Arial" w:cs="Arial"/>
          <w:color w:val="202122"/>
          <w:shd w:val="clear" w:color="auto" w:fill="FFFFFF"/>
          <w:vertAlign w:val="superscript"/>
        </w:rPr>
        <w:t>+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-ATPase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）、</w:t>
      </w:r>
      <w:r>
        <w:rPr>
          <w:rFonts w:ascii="Arial" w:hAnsi="Arial" w:cs="Arial"/>
          <w:b/>
          <w:bCs/>
          <w:color w:val="202122"/>
          <w:sz w:val="23"/>
          <w:szCs w:val="23"/>
          <w:shd w:val="clear" w:color="auto" w:fill="FFFFFF"/>
        </w:rPr>
        <w:t>钠钾</w:t>
      </w:r>
      <w:r>
        <w:rPr>
          <w:rFonts w:ascii="Arial" w:hAnsi="Arial" w:cs="Arial"/>
          <w:b/>
          <w:bCs/>
          <w:color w:val="202122"/>
          <w:sz w:val="23"/>
          <w:szCs w:val="23"/>
          <w:shd w:val="clear" w:color="auto" w:fill="FFFFFF"/>
        </w:rPr>
        <w:t>ATP</w:t>
      </w:r>
      <w:r>
        <w:rPr>
          <w:rFonts w:ascii="Arial" w:hAnsi="Arial" w:cs="Arial"/>
          <w:b/>
          <w:bCs/>
          <w:color w:val="202122"/>
          <w:sz w:val="23"/>
          <w:szCs w:val="23"/>
          <w:shd w:val="clear" w:color="auto" w:fill="FFFFFF"/>
        </w:rPr>
        <w:t>酶泵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（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sodium-potassium ATPase pump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）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 xml:space="preserve">, 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是一种位于</w:t>
      </w:r>
      <w:hyperlink r:id="rId16" w:tooltip="细胞膜" w:history="1">
        <w:r>
          <w:rPr>
            <w:rStyle w:val="Hyperlink"/>
            <w:rFonts w:ascii="Arial" w:hAnsi="Arial" w:cs="Arial"/>
            <w:color w:val="0645AD"/>
            <w:sz w:val="23"/>
            <w:szCs w:val="23"/>
            <w:shd w:val="clear" w:color="auto" w:fill="FFFFFF"/>
          </w:rPr>
          <w:t>细胞膜</w:t>
        </w:r>
      </w:hyperlink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上，利用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ATP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水解把钠离子泵出，而把钾离子泵入细胞的一种</w:t>
      </w:r>
      <w:hyperlink r:id="rId17" w:tooltip="酶" w:history="1">
        <w:r>
          <w:rPr>
            <w:rStyle w:val="Hyperlink"/>
            <w:rFonts w:ascii="Arial" w:hAnsi="Arial" w:cs="Arial"/>
            <w:color w:val="0645AD"/>
            <w:sz w:val="23"/>
            <w:szCs w:val="23"/>
            <w:shd w:val="clear" w:color="auto" w:fill="FFFFFF"/>
          </w:rPr>
          <w:t>酶</w:t>
        </w:r>
      </w:hyperlink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（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EC 3.6.3.9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）；精确说，是一种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“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离子匣式跨膜</w:t>
      </w:r>
      <w:hyperlink r:id="rId18" w:tooltip="ATP酶" w:history="1">
        <w:r>
          <w:rPr>
            <w:rStyle w:val="Hyperlink"/>
            <w:rFonts w:ascii="Arial" w:hAnsi="Arial" w:cs="Arial"/>
            <w:color w:val="0645AD"/>
            <w:sz w:val="23"/>
            <w:szCs w:val="23"/>
            <w:shd w:val="clear" w:color="auto" w:fill="FFFFFF"/>
          </w:rPr>
          <w:t>ATP</w:t>
        </w:r>
        <w:r>
          <w:rPr>
            <w:rStyle w:val="Hyperlink"/>
            <w:rFonts w:ascii="Arial" w:hAnsi="Arial" w:cs="Arial"/>
            <w:color w:val="0645AD"/>
            <w:sz w:val="23"/>
            <w:szCs w:val="23"/>
            <w:shd w:val="clear" w:color="auto" w:fill="FFFFFF"/>
          </w:rPr>
          <w:t>酶</w:t>
        </w:r>
      </w:hyperlink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”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。钠钾泵可在人类细胞及</w:t>
      </w:r>
      <w:hyperlink r:id="rId19" w:tooltip="后生动物" w:history="1">
        <w:r>
          <w:rPr>
            <w:rStyle w:val="Hyperlink"/>
            <w:rFonts w:ascii="Arial" w:hAnsi="Arial" w:cs="Arial"/>
            <w:color w:val="0645AD"/>
            <w:sz w:val="23"/>
            <w:szCs w:val="23"/>
            <w:shd w:val="clear" w:color="auto" w:fill="FFFFFF"/>
          </w:rPr>
          <w:t>后生动物</w:t>
        </w:r>
      </w:hyperlink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中发现，是维持细胞膜电位的重要酶</w:t>
      </w:r>
      <w:r>
        <w:rPr>
          <w:rFonts w:ascii="Microsoft YaHei" w:eastAsia="Microsoft YaHei" w:hAnsi="Microsoft YaHei" w:cs="Microsoft YaHei" w:hint="eastAsia"/>
          <w:color w:val="202122"/>
          <w:sz w:val="23"/>
          <w:szCs w:val="23"/>
          <w:shd w:val="clear" w:color="auto" w:fill="FFFFFF"/>
        </w:rPr>
        <w:t>。</w:t>
      </w:r>
    </w:p>
    <w:p w14:paraId="422422C1" w14:textId="3F562429" w:rsidR="008F73AE" w:rsidRDefault="008F73AE" w:rsidP="008F73AE">
      <w:pPr>
        <w:rPr>
          <w:rFonts w:ascii="Microsoft YaHei" w:eastAsia="Microsoft YaHei" w:hAnsi="Microsoft YaHei" w:cs="Microsoft YaHei"/>
          <w:color w:val="20212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钠钾泵可以将细胞外相对细胞内较低浓度的</w:t>
      </w:r>
      <w:hyperlink r:id="rId20" w:tooltip="钾离子" w:history="1">
        <w:r>
          <w:rPr>
            <w:rStyle w:val="Hyperlink"/>
            <w:rFonts w:ascii="Arial" w:hAnsi="Arial" w:cs="Arial"/>
            <w:color w:val="0645AD"/>
            <w:sz w:val="23"/>
            <w:szCs w:val="23"/>
            <w:shd w:val="clear" w:color="auto" w:fill="FFFFFF"/>
          </w:rPr>
          <w:t>钾离子</w:t>
        </w:r>
      </w:hyperlink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送进细胞，并将细胞内相对细胞外较低浓度的</w:t>
      </w:r>
      <w:hyperlink r:id="rId21" w:tooltip="钠离子" w:history="1">
        <w:r>
          <w:rPr>
            <w:rStyle w:val="Hyperlink"/>
            <w:rFonts w:ascii="Arial" w:hAnsi="Arial" w:cs="Arial"/>
            <w:color w:val="0645AD"/>
            <w:sz w:val="23"/>
            <w:szCs w:val="23"/>
            <w:shd w:val="clear" w:color="auto" w:fill="FFFFFF"/>
          </w:rPr>
          <w:t>钠离子</w:t>
        </w:r>
      </w:hyperlink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送出细</w:t>
      </w:r>
      <w:r>
        <w:rPr>
          <w:rFonts w:ascii="Microsoft YaHei" w:eastAsia="Microsoft YaHei" w:hAnsi="Microsoft YaHei" w:cs="Microsoft YaHei" w:hint="eastAsia"/>
          <w:color w:val="202122"/>
          <w:sz w:val="23"/>
          <w:szCs w:val="23"/>
          <w:shd w:val="clear" w:color="auto" w:fill="FFFFFF"/>
        </w:rPr>
        <w:t>胞</w:t>
      </w:r>
    </w:p>
    <w:p w14:paraId="4CB3804B" w14:textId="6D2439B1" w:rsidR="003D32CE" w:rsidRDefault="00FF2EED" w:rsidP="008F73AE">
      <w:pPr>
        <w:rPr>
          <w:rFonts w:ascii="Microsoft YaHei" w:eastAsia="Microsoft YaHei" w:hAnsi="Microsoft YaHei" w:cs="Microsoft YaHei"/>
          <w:color w:val="2021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1C63F40" wp14:editId="4D754F25">
            <wp:extent cx="3028950" cy="885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DDC4" w14:textId="77777777" w:rsidR="003D32CE" w:rsidRDefault="003D32CE" w:rsidP="008F73AE">
      <w:pPr>
        <w:rPr>
          <w:rFonts w:ascii="Microsoft YaHei" w:eastAsia="Microsoft YaHei" w:hAnsi="Microsoft YaHei" w:cs="Microsoft YaHei"/>
          <w:color w:val="202122"/>
          <w:sz w:val="23"/>
          <w:szCs w:val="23"/>
          <w:shd w:val="clear" w:color="auto" w:fill="FFFFFF"/>
        </w:rPr>
      </w:pPr>
    </w:p>
    <w:p w14:paraId="43DD8935" w14:textId="1A859470" w:rsidR="003D32CE" w:rsidRDefault="003D32CE" w:rsidP="008F73AE">
      <w:proofErr w:type="spellStart"/>
      <w:r w:rsidRPr="00783545">
        <w:rPr>
          <w:color w:val="FF0000"/>
        </w:rPr>
        <w:t>hodgkin</w:t>
      </w:r>
      <w:r w:rsidRPr="003D32CE">
        <w:t>_</w:t>
      </w:r>
      <w:proofErr w:type="gramStart"/>
      <w:r w:rsidRPr="003D32CE">
        <w:t>huxley</w:t>
      </w:r>
      <w:proofErr w:type="spellEnd"/>
      <w:r>
        <w:t xml:space="preserve">  </w:t>
      </w:r>
      <w:r w:rsidRPr="003D32CE">
        <w:rPr>
          <w:rFonts w:hint="eastAsia"/>
        </w:rPr>
        <w:t>基于电导模型</w:t>
      </w:r>
      <w:proofErr w:type="gramEnd"/>
    </w:p>
    <w:p w14:paraId="722C3367" w14:textId="4D40FB46" w:rsidR="008F002C" w:rsidRDefault="00FF2EED" w:rsidP="008F73AE">
      <w:r>
        <w:rPr>
          <w:noProof/>
        </w:rPr>
        <w:drawing>
          <wp:inline distT="0" distB="0" distL="0" distR="0" wp14:anchorId="605CD6E6" wp14:editId="64AD20B3">
            <wp:extent cx="3371850" cy="885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79AE" w14:textId="2756BE3D" w:rsidR="008F002C" w:rsidRDefault="008F002C">
      <w:r w:rsidRPr="008F002C">
        <w:t>https://en.wikipedia.org/wiki/Biological_neuron_model</w:t>
      </w:r>
    </w:p>
    <w:p w14:paraId="4DDC60E1" w14:textId="77777777" w:rsidR="008F002C" w:rsidRDefault="008F002C" w:rsidP="008F002C">
      <w:r>
        <w:t>Hodgkin–Huxley</w:t>
      </w:r>
    </w:p>
    <w:p w14:paraId="1A7D6DFC" w14:textId="77777777" w:rsidR="008F002C" w:rsidRDefault="008F002C" w:rsidP="008F002C">
      <w:r>
        <w:t>Perfect Integrate-and-fire</w:t>
      </w:r>
    </w:p>
    <w:p w14:paraId="58F112A5" w14:textId="77777777" w:rsidR="008F002C" w:rsidRPr="00783545" w:rsidRDefault="008F002C" w:rsidP="008F002C">
      <w:pPr>
        <w:rPr>
          <w:color w:val="FF0000"/>
        </w:rPr>
      </w:pPr>
      <w:r w:rsidRPr="00783545">
        <w:rPr>
          <w:color w:val="FF0000"/>
        </w:rPr>
        <w:t>Leaky integrate-and-fire</w:t>
      </w:r>
    </w:p>
    <w:p w14:paraId="33652354" w14:textId="77777777" w:rsidR="008F002C" w:rsidRDefault="008F002C" w:rsidP="008F002C">
      <w:r>
        <w:t>Adaptive integrate-and-fire</w:t>
      </w:r>
    </w:p>
    <w:p w14:paraId="4A0909C2" w14:textId="77777777" w:rsidR="008F002C" w:rsidRDefault="008F002C" w:rsidP="008F002C">
      <w:r>
        <w:t>Fractional-order leaky integrate-and-fire</w:t>
      </w:r>
    </w:p>
    <w:p w14:paraId="01166909" w14:textId="57C832D0" w:rsidR="008F002C" w:rsidRDefault="008F002C" w:rsidP="008F002C">
      <w:r>
        <w:t>'Exponential integrate-and-fire' and 'adaptive exponential integrate-and-fire'</w:t>
      </w:r>
    </w:p>
    <w:p w14:paraId="2E7B9F7C" w14:textId="77777777" w:rsidR="008F002C" w:rsidRDefault="008F002C"/>
    <w:p w14:paraId="51A54B27" w14:textId="39071B09" w:rsidR="00FF2EED" w:rsidRDefault="008F002C" w:rsidP="008F002C">
      <w:pPr>
        <w:pStyle w:val="Heading1"/>
      </w:pPr>
      <w:r>
        <w:t>Week 4</w:t>
      </w:r>
    </w:p>
    <w:p w14:paraId="50B58D54" w14:textId="77777777" w:rsidR="008F002C" w:rsidRDefault="008F002C" w:rsidP="008F002C"/>
    <w:p w14:paraId="5737BBBA" w14:textId="1C084FC1" w:rsidR="008F002C" w:rsidRDefault="008F002C" w:rsidP="008F002C">
      <w:r w:rsidRPr="008F002C">
        <w:t>Chemical synapses</w:t>
      </w:r>
      <w:r>
        <w:t xml:space="preserve"> </w:t>
      </w:r>
      <w:r w:rsidRPr="008F002C">
        <w:rPr>
          <w:rFonts w:hint="eastAsia"/>
        </w:rPr>
        <w:t>化学突触</w:t>
      </w:r>
    </w:p>
    <w:p w14:paraId="63F4531F" w14:textId="77777777" w:rsidR="008F002C" w:rsidRDefault="008F002C" w:rsidP="008F002C"/>
    <w:p w14:paraId="534DBA83" w14:textId="0BA9C634" w:rsidR="008F002C" w:rsidRDefault="008F002C" w:rsidP="008F002C">
      <w:r w:rsidRPr="008F002C">
        <w:t>Post-synaptic potential</w:t>
      </w:r>
      <w:r>
        <w:t xml:space="preserve"> </w:t>
      </w:r>
      <w:r w:rsidRPr="008F002C">
        <w:rPr>
          <w:rFonts w:hint="eastAsia"/>
        </w:rPr>
        <w:t>突觸後電位</w:t>
      </w:r>
    </w:p>
    <w:p w14:paraId="33A19C01" w14:textId="3F559E65" w:rsidR="008F002C" w:rsidRDefault="008F002C" w:rsidP="008F002C">
      <w:r>
        <w:rPr>
          <w:noProof/>
        </w:rPr>
        <w:drawing>
          <wp:inline distT="0" distB="0" distL="0" distR="0" wp14:anchorId="52AA53EB" wp14:editId="11D505B7">
            <wp:extent cx="5731510" cy="35509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1B30" w14:textId="7489A0A5" w:rsidR="008F002C" w:rsidRDefault="008F002C" w:rsidP="008F002C">
      <w:r>
        <w:rPr>
          <w:noProof/>
        </w:rPr>
        <w:lastRenderedPageBreak/>
        <w:drawing>
          <wp:inline distT="0" distB="0" distL="0" distR="0" wp14:anchorId="5EE4D7E5" wp14:editId="526D2637">
            <wp:extent cx="5731510" cy="35198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9C07" w14:textId="77777777" w:rsidR="008F002C" w:rsidRDefault="008F002C" w:rsidP="008F002C"/>
    <w:p w14:paraId="50327898" w14:textId="77777777" w:rsidR="008F002C" w:rsidRDefault="008F002C" w:rsidP="008F002C"/>
    <w:p w14:paraId="036C62A2" w14:textId="3BEFB407" w:rsidR="008F002C" w:rsidRDefault="008F002C" w:rsidP="008F002C">
      <w:pPr>
        <w:rPr>
          <w:rFonts w:ascii="CMBX12" w:hAnsi="CMBX12" w:cs="CMBX12"/>
          <w:kern w:val="0"/>
          <w:sz w:val="24"/>
          <w:szCs w:val="24"/>
        </w:rPr>
      </w:pPr>
      <w:r>
        <w:rPr>
          <w:rFonts w:ascii="CMBX12" w:hAnsi="CMBX12" w:cs="CMBX12"/>
          <w:kern w:val="0"/>
          <w:sz w:val="24"/>
          <w:szCs w:val="24"/>
        </w:rPr>
        <w:t xml:space="preserve">Synaptic plasticity </w:t>
      </w:r>
      <w:r w:rsidRPr="008F002C">
        <w:rPr>
          <w:rFonts w:ascii="CMBX12" w:hAnsi="CMBX12" w:cs="CMBX12" w:hint="eastAsia"/>
          <w:kern w:val="0"/>
          <w:sz w:val="24"/>
          <w:szCs w:val="24"/>
        </w:rPr>
        <w:t>突触可塑性</w:t>
      </w:r>
    </w:p>
    <w:p w14:paraId="514AAFF2" w14:textId="4F26048B" w:rsidR="008F002C" w:rsidRDefault="008F002C" w:rsidP="008F002C">
      <w:r w:rsidRPr="008F002C">
        <w:rPr>
          <w:rFonts w:hint="eastAsia"/>
        </w:rPr>
        <w:t>神经元突触连接的长时间改变的能力</w:t>
      </w:r>
    </w:p>
    <w:p w14:paraId="298C5CAE" w14:textId="00AC5A9A" w:rsidR="008F002C" w:rsidRDefault="008F002C" w:rsidP="008F002C">
      <w:r>
        <w:rPr>
          <w:noProof/>
        </w:rPr>
        <w:drawing>
          <wp:inline distT="0" distB="0" distL="0" distR="0" wp14:anchorId="6F1C6DBB" wp14:editId="3A8E30C4">
            <wp:extent cx="5731510" cy="12884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ACF6" w14:textId="01C87D41" w:rsidR="008F002C" w:rsidRDefault="008F002C" w:rsidP="008F002C">
      <w:r w:rsidRPr="008F002C">
        <w:t>STDP</w:t>
      </w:r>
      <w:r>
        <w:t xml:space="preserve"> </w:t>
      </w:r>
      <w:r w:rsidRPr="008F002C">
        <w:t>Spike-timing dependent plasticity</w:t>
      </w:r>
    </w:p>
    <w:p w14:paraId="25923723" w14:textId="2875B923" w:rsidR="008F002C" w:rsidRDefault="008F002C" w:rsidP="008F002C">
      <w:r>
        <w:rPr>
          <w:noProof/>
        </w:rPr>
        <w:lastRenderedPageBreak/>
        <w:drawing>
          <wp:inline distT="0" distB="0" distL="0" distR="0" wp14:anchorId="5512352A" wp14:editId="7F2DF417">
            <wp:extent cx="5731510" cy="42722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471C" w14:textId="5AF4AAE8" w:rsidR="008F002C" w:rsidRDefault="008F002C"/>
    <w:p w14:paraId="6F49350D" w14:textId="03A21999" w:rsidR="001D5281" w:rsidRDefault="001D5281">
      <w:r>
        <w:rPr>
          <w:noProof/>
        </w:rPr>
        <w:drawing>
          <wp:inline distT="0" distB="0" distL="0" distR="0" wp14:anchorId="7CBCB980" wp14:editId="1EB4B70A">
            <wp:extent cx="5731510" cy="11087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FFCC" w14:textId="77777777" w:rsidR="001D5281" w:rsidRDefault="001D5281"/>
    <w:p w14:paraId="1F9BB778" w14:textId="77777777" w:rsidR="001D5281" w:rsidRDefault="001D5281"/>
    <w:p w14:paraId="72E84354" w14:textId="77777777" w:rsidR="001D5281" w:rsidRDefault="001D5281"/>
    <w:p w14:paraId="6050A968" w14:textId="77777777" w:rsidR="00084770" w:rsidRDefault="00084770">
      <w:r>
        <w:br w:type="page"/>
      </w:r>
    </w:p>
    <w:p w14:paraId="76B8BE9E" w14:textId="53723B10" w:rsidR="008F002C" w:rsidRDefault="008F002C" w:rsidP="00991C66">
      <w:pPr>
        <w:pStyle w:val="Heading1"/>
      </w:pPr>
      <w:r>
        <w:lastRenderedPageBreak/>
        <w:t>W</w:t>
      </w:r>
      <w:r>
        <w:rPr>
          <w:rFonts w:hint="eastAsia"/>
        </w:rPr>
        <w:t>ee</w:t>
      </w:r>
      <w:r>
        <w:t>k 5</w:t>
      </w:r>
    </w:p>
    <w:p w14:paraId="2FDE7980" w14:textId="13C05563" w:rsidR="0042690E" w:rsidRDefault="0042690E" w:rsidP="008F002C">
      <w:r w:rsidRPr="0042690E">
        <w:t>Hippocampus</w:t>
      </w:r>
      <w:r w:rsidR="00A26F8A">
        <w:t xml:space="preserve"> </w:t>
      </w:r>
      <w:r w:rsidR="00A26F8A">
        <w:rPr>
          <w:rFonts w:hint="eastAsia"/>
        </w:rPr>
        <w:t>海马体</w:t>
      </w:r>
    </w:p>
    <w:p w14:paraId="021B44A7" w14:textId="59D8C9F3" w:rsidR="00CA0F1D" w:rsidRDefault="00CA0F1D" w:rsidP="008F002C">
      <w:r>
        <w:rPr>
          <w:noProof/>
        </w:rPr>
        <w:drawing>
          <wp:inline distT="0" distB="0" distL="0" distR="0" wp14:anchorId="6CC85B52" wp14:editId="41FAC611">
            <wp:extent cx="5731510" cy="42424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3394" w14:textId="45739AC9" w:rsidR="00CA0F1D" w:rsidRDefault="00CA0F1D" w:rsidP="008F002C">
      <w:r>
        <w:rPr>
          <w:noProof/>
        </w:rPr>
        <w:drawing>
          <wp:inline distT="0" distB="0" distL="0" distR="0" wp14:anchorId="7F05EC81" wp14:editId="60960A66">
            <wp:extent cx="5731510" cy="38538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86C9" w14:textId="6514C51D" w:rsidR="008F002C" w:rsidRDefault="0042690E" w:rsidP="008F002C">
      <w:r w:rsidRPr="0042690E">
        <w:lastRenderedPageBreak/>
        <w:t>2.Hopfield Networks</w:t>
      </w:r>
      <w:r w:rsidRPr="0042690E">
        <w:rPr>
          <w:rFonts w:hint="eastAsia"/>
        </w:rPr>
        <w:t>反馈神经网络</w:t>
      </w:r>
    </w:p>
    <w:p w14:paraId="6DDAB192" w14:textId="091CB49E" w:rsidR="004B76BF" w:rsidRDefault="004B76BF" w:rsidP="008F002C">
      <w:r>
        <w:rPr>
          <w:noProof/>
        </w:rPr>
        <w:drawing>
          <wp:inline distT="0" distB="0" distL="0" distR="0" wp14:anchorId="2D49BEBB" wp14:editId="79BCE848">
            <wp:extent cx="5731510" cy="46342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0C67" w14:textId="16EE25F5" w:rsidR="00FE3BD1" w:rsidRDefault="00000000" w:rsidP="008F002C">
      <w:hyperlink r:id="rId32" w:history="1">
        <w:r w:rsidR="00FE3BD1" w:rsidRPr="004A51F9">
          <w:rPr>
            <w:rStyle w:val="Hyperlink"/>
          </w:rPr>
          <w:t>https://zhuanlan.zhihu.co</w:t>
        </w:r>
        <w:r w:rsidR="00FE3BD1" w:rsidRPr="004A51F9">
          <w:rPr>
            <w:rStyle w:val="Hyperlink"/>
          </w:rPr>
          <w:t>m</w:t>
        </w:r>
        <w:r w:rsidR="00FE3BD1" w:rsidRPr="004A51F9">
          <w:rPr>
            <w:rStyle w:val="Hyperlink"/>
          </w:rPr>
          <w:t>/p/116908556</w:t>
        </w:r>
      </w:hyperlink>
    </w:p>
    <w:p w14:paraId="359500C4" w14:textId="2B1F3D0A" w:rsidR="00FE3BD1" w:rsidRDefault="00FE3BD1" w:rsidP="008F002C">
      <w:r>
        <w:rPr>
          <w:noProof/>
        </w:rPr>
        <w:lastRenderedPageBreak/>
        <w:drawing>
          <wp:inline distT="0" distB="0" distL="0" distR="0" wp14:anchorId="68757415" wp14:editId="35C104AC">
            <wp:extent cx="5731510" cy="74752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B63C" w14:textId="77777777" w:rsidR="00961402" w:rsidRDefault="00961402" w:rsidP="008F002C"/>
    <w:p w14:paraId="36D38560" w14:textId="6BB08C70" w:rsidR="00961402" w:rsidRDefault="00961402">
      <w:r>
        <w:br w:type="page"/>
      </w:r>
    </w:p>
    <w:p w14:paraId="6F089959" w14:textId="17E9DDD3" w:rsidR="00961402" w:rsidRDefault="00941B23" w:rsidP="00941B23">
      <w:pPr>
        <w:pStyle w:val="Heading1"/>
      </w:pPr>
      <w:r>
        <w:lastRenderedPageBreak/>
        <w:t>W</w:t>
      </w:r>
      <w:r>
        <w:rPr>
          <w:rFonts w:hint="eastAsia"/>
        </w:rPr>
        <w:t>ee</w:t>
      </w:r>
      <w:r>
        <w:t xml:space="preserve">k </w:t>
      </w:r>
      <w:r w:rsidR="00991C66">
        <w:t>6</w:t>
      </w:r>
    </w:p>
    <w:p w14:paraId="0A4293FF" w14:textId="19815E5D" w:rsidR="00941B23" w:rsidRDefault="00941B23" w:rsidP="00941B23">
      <w:r>
        <w:rPr>
          <w:noProof/>
        </w:rPr>
        <w:drawing>
          <wp:inline distT="0" distB="0" distL="0" distR="0" wp14:anchorId="130DD7CD" wp14:editId="772BC0CB">
            <wp:extent cx="5731510" cy="40220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E87A" w14:textId="60F796C8" w:rsidR="00941B23" w:rsidRDefault="00941B23" w:rsidP="00941B23">
      <w:r>
        <w:rPr>
          <w:rFonts w:hint="eastAsia"/>
        </w:rPr>
        <w:t>韦伯定律</w:t>
      </w:r>
    </w:p>
    <w:p w14:paraId="2D27B0DA" w14:textId="6A262FE8" w:rsidR="00941B23" w:rsidRDefault="00941B23" w:rsidP="00941B23">
      <w:r w:rsidRPr="00941B23">
        <w:rPr>
          <w:rFonts w:hint="eastAsia"/>
        </w:rPr>
        <w:t>人类对相对而非绝对刺激变化敏感。</w:t>
      </w:r>
    </w:p>
    <w:p w14:paraId="29B2FF14" w14:textId="77777777" w:rsidR="00941B23" w:rsidRDefault="00941B23" w:rsidP="00941B23"/>
    <w:p w14:paraId="6B3B32FE" w14:textId="61CA704B" w:rsidR="00941B23" w:rsidRDefault="00941B23" w:rsidP="00941B23">
      <w:r w:rsidRPr="00941B23">
        <w:t>In imaging science, difference of Gaussians (</w:t>
      </w:r>
      <w:proofErr w:type="spellStart"/>
      <w:r w:rsidRPr="00941B23">
        <w:t>DoG</w:t>
      </w:r>
      <w:proofErr w:type="spellEnd"/>
      <w:r w:rsidRPr="00941B23">
        <w:t>)</w:t>
      </w:r>
    </w:p>
    <w:p w14:paraId="5327254D" w14:textId="2699EEF7" w:rsidR="00941B23" w:rsidRDefault="00941B23" w:rsidP="00941B23">
      <w:r>
        <w:rPr>
          <w:noProof/>
        </w:rPr>
        <w:drawing>
          <wp:inline distT="0" distB="0" distL="0" distR="0" wp14:anchorId="7A7148ED" wp14:editId="0B6CEA09">
            <wp:extent cx="5847715" cy="3030279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8169" cy="303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CC8B" w14:textId="538C110F" w:rsidR="00941B23" w:rsidRPr="0039711A" w:rsidRDefault="00941B23" w:rsidP="00941B23">
      <w:pPr>
        <w:pStyle w:val="Heading1"/>
        <w:rPr>
          <w:lang w:val="en-US"/>
        </w:rPr>
      </w:pPr>
      <w:r>
        <w:lastRenderedPageBreak/>
        <w:t>W</w:t>
      </w:r>
      <w:r>
        <w:rPr>
          <w:rFonts w:hint="eastAsia"/>
        </w:rPr>
        <w:t>ee</w:t>
      </w:r>
      <w:r>
        <w:t xml:space="preserve">k </w:t>
      </w:r>
      <w:r w:rsidR="003E2A6B">
        <w:t>7</w:t>
      </w:r>
    </w:p>
    <w:p w14:paraId="1C8CF4C5" w14:textId="77777777" w:rsidR="00941B23" w:rsidRDefault="00941B23" w:rsidP="00941B23"/>
    <w:p w14:paraId="46908AD0" w14:textId="35ED074E" w:rsidR="00941B23" w:rsidRDefault="0039711A" w:rsidP="00941B23">
      <w:r w:rsidRPr="0039711A">
        <w:t xml:space="preserve">The delta </w:t>
      </w:r>
      <w:proofErr w:type="gramStart"/>
      <w:r w:rsidRPr="0039711A">
        <w:t>rule</w:t>
      </w:r>
      <w:proofErr w:type="gramEnd"/>
    </w:p>
    <w:p w14:paraId="23ED9CFA" w14:textId="607E974F" w:rsidR="0039711A" w:rsidRDefault="0039711A" w:rsidP="00941B23">
      <w:r>
        <w:rPr>
          <w:noProof/>
        </w:rPr>
        <w:drawing>
          <wp:inline distT="0" distB="0" distL="0" distR="0" wp14:anchorId="737F9E6B" wp14:editId="223E0C8B">
            <wp:extent cx="5731510" cy="41700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C004" w14:textId="77777777" w:rsidR="0039711A" w:rsidRDefault="0039711A" w:rsidP="00941B23">
      <w:r w:rsidRPr="0039711A">
        <w:rPr>
          <w:rFonts w:hint="eastAsia"/>
        </w:rPr>
        <w:t>这是在机器学习中经常出现的更新规则。假设我们有一个目标，我们现在要逐步调整当前状态，令它慢慢趋近这个目标。方法是：其中</w:t>
      </w:r>
      <w:r w:rsidRPr="0039711A">
        <w:rPr>
          <w:rFonts w:hint="eastAsia"/>
        </w:rPr>
        <w:t xml:space="preserve"> </w:t>
      </w:r>
      <w:r w:rsidRPr="0039711A">
        <w:rPr>
          <w:rFonts w:ascii="Cambria Math" w:hAnsi="Cambria Math" w:cs="Cambria Math"/>
        </w:rPr>
        <w:t>𝛼</w:t>
      </w:r>
      <w:r w:rsidRPr="0039711A">
        <w:rPr>
          <w:rFonts w:hint="eastAsia"/>
        </w:rPr>
        <w:t xml:space="preserve"> </w:t>
      </w:r>
      <w:r w:rsidRPr="0039711A">
        <w:rPr>
          <w:rFonts w:hint="eastAsia"/>
        </w:rPr>
        <w:t>叫学习速率，是一个</w:t>
      </w:r>
      <w:r w:rsidRPr="0039711A">
        <w:rPr>
          <w:rFonts w:hint="eastAsia"/>
        </w:rPr>
        <w:t xml:space="preserve"> 0 </w:t>
      </w:r>
      <w:r w:rsidRPr="0039711A">
        <w:rPr>
          <w:rFonts w:hint="eastAsia"/>
        </w:rPr>
        <w:t>到</w:t>
      </w:r>
      <w:r w:rsidRPr="0039711A">
        <w:rPr>
          <w:rFonts w:hint="eastAsia"/>
        </w:rPr>
        <w:t xml:space="preserve"> 1 </w:t>
      </w:r>
      <w:r w:rsidRPr="0039711A">
        <w:rPr>
          <w:rFonts w:hint="eastAsia"/>
        </w:rPr>
        <w:t>之间的小数。</w:t>
      </w:r>
      <w:r w:rsidRPr="0039711A">
        <w:rPr>
          <w:rFonts w:hint="eastAsia"/>
        </w:rPr>
        <w:t>Delta(</w:t>
      </w:r>
      <w:r w:rsidRPr="0039711A">
        <w:rPr>
          <w:rFonts w:hint="eastAsia"/>
        </w:rPr>
        <w:t>Δ</w:t>
      </w:r>
      <w:r w:rsidRPr="0039711A">
        <w:rPr>
          <w:rFonts w:hint="eastAsia"/>
        </w:rPr>
        <w:t xml:space="preserve">) </w:t>
      </w:r>
      <w:r w:rsidRPr="0039711A">
        <w:rPr>
          <w:rFonts w:hint="eastAsia"/>
        </w:rPr>
        <w:t>指的是目标和现状的差异。</w:t>
      </w:r>
    </w:p>
    <w:p w14:paraId="18A3FA9C" w14:textId="7B948C71" w:rsidR="0039711A" w:rsidRPr="00941B23" w:rsidRDefault="0039711A" w:rsidP="00941B23">
      <w:r w:rsidRPr="0039711A">
        <w:rPr>
          <w:rFonts w:hint="eastAsia"/>
        </w:rPr>
        <w:t>显然，反复执行上式，当前状态就会逐步逼近目标。</w:t>
      </w:r>
    </w:p>
    <w:sectPr w:rsidR="0039711A" w:rsidRPr="00941B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TI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SSBX10">
    <w:altName w:val="Calibri"/>
    <w:panose1 w:val="00000000000000000000"/>
    <w:charset w:val="00"/>
    <w:family w:val="auto"/>
    <w:notTrueType/>
    <w:pitch w:val="default"/>
    <w:sig w:usb0="00000003" w:usb1="08070000" w:usb2="00000010" w:usb3="00000000" w:csb0="00020001" w:csb1="00000000"/>
  </w:font>
  <w:font w:name="CMBX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774017"/>
    <w:multiLevelType w:val="multilevel"/>
    <w:tmpl w:val="FFB46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205709"/>
    <w:multiLevelType w:val="hybridMultilevel"/>
    <w:tmpl w:val="1E44824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7015192">
    <w:abstractNumId w:val="1"/>
  </w:num>
  <w:num w:numId="2" w16cid:durableId="1226598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DCB"/>
    <w:rsid w:val="00084770"/>
    <w:rsid w:val="000A2CC0"/>
    <w:rsid w:val="001D5281"/>
    <w:rsid w:val="0039711A"/>
    <w:rsid w:val="003D32CE"/>
    <w:rsid w:val="003E2A6B"/>
    <w:rsid w:val="004265F8"/>
    <w:rsid w:val="0042690E"/>
    <w:rsid w:val="004B76BF"/>
    <w:rsid w:val="00771088"/>
    <w:rsid w:val="00783545"/>
    <w:rsid w:val="007F0DC5"/>
    <w:rsid w:val="00821BEF"/>
    <w:rsid w:val="008F002C"/>
    <w:rsid w:val="008F73AE"/>
    <w:rsid w:val="00941B23"/>
    <w:rsid w:val="00961402"/>
    <w:rsid w:val="00991C66"/>
    <w:rsid w:val="00A26F8A"/>
    <w:rsid w:val="00A359F3"/>
    <w:rsid w:val="00C01DCB"/>
    <w:rsid w:val="00CA0F1D"/>
    <w:rsid w:val="00D04BAF"/>
    <w:rsid w:val="00F06365"/>
    <w:rsid w:val="00F101F1"/>
    <w:rsid w:val="00F80601"/>
    <w:rsid w:val="00FE3BD1"/>
    <w:rsid w:val="00FF2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C0092"/>
  <w15:chartTrackingRefBased/>
  <w15:docId w15:val="{E29D7137-9D8D-409A-BEE3-356E1B544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B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65F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21B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F80601"/>
    <w:rPr>
      <w:i/>
      <w:iCs/>
    </w:rPr>
  </w:style>
  <w:style w:type="character" w:styleId="Hyperlink">
    <w:name w:val="Hyperlink"/>
    <w:basedOn w:val="DefaultParagraphFont"/>
    <w:uiPriority w:val="99"/>
    <w:unhideWhenUsed/>
    <w:rsid w:val="008F73A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3BD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063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zh.wikipedia.org/wiki/ATP%E9%85%B6" TargetMode="External"/><Relationship Id="rId26" Type="http://schemas.openxmlformats.org/officeDocument/2006/relationships/image" Target="media/image16.png"/><Relationship Id="rId21" Type="http://schemas.openxmlformats.org/officeDocument/2006/relationships/hyperlink" Target="https://zh.wikipedia.org/wiki/%E9%88%89%E9%9B%A2%E5%AD%90" TargetMode="External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zh.wikipedia.org/wiki/%E9%85%B6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zh.wikipedia.org/wiki/%E7%B4%B0%E8%83%9E%E8%86%9C" TargetMode="External"/><Relationship Id="rId20" Type="http://schemas.openxmlformats.org/officeDocument/2006/relationships/hyperlink" Target="https://zh.wikipedia.org/wiki/%E9%89%80%E9%9B%A2%E5%AD%90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32" Type="http://schemas.openxmlformats.org/officeDocument/2006/relationships/hyperlink" Target="https://zhuanlan.zhihu.com/p/116908556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6.png"/><Relationship Id="rId19" Type="http://schemas.openxmlformats.org/officeDocument/2006/relationships/hyperlink" Target="https://zh.wikipedia.org/wiki/%E5%90%8E%E7%94%9F%E5%8A%A8%E7%89%A9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1</Pages>
  <Words>503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Raistlin Tao</dc:creator>
  <cp:keywords/>
  <dc:description/>
  <cp:lastModifiedBy>Raistlin Tao</cp:lastModifiedBy>
  <cp:revision>23</cp:revision>
  <dcterms:created xsi:type="dcterms:W3CDTF">2023-04-15T06:38:00Z</dcterms:created>
  <dcterms:modified xsi:type="dcterms:W3CDTF">2023-04-16T06:38:00Z</dcterms:modified>
</cp:coreProperties>
</file>