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pPr>
      <w:r>
        <w:rPr>
          <w:rFonts w:ascii="Arial" w:cs="Arial" w:eastAsia="Arial" w:hAnsi="Arial"/>
          <w:b/>
          <w:bCs/>
          <w:sz w:val="18"/>
          <w:szCs w:val="18"/>
        </w:rPr>
        <w:t xml:space="preserve">Tender: </w:t>
      </w:r>
      <w:r>
        <w:rPr>
          <w:rFonts w:ascii="Arial" w:cs="Arial" w:eastAsia="Arial" w:hAnsi="Arial"/>
          <w:sz w:val="18"/>
          <w:szCs w:val="18"/>
        </w:rPr>
        <w:t xml:space="preserve">Development of Centralized Access Control Integration System — B. BIRDS (Border Incident Reporting &amp; Documentation System) - Phase II</w:t>
      </w:r>
    </w:p>
    <w:p>
      <w:pPr>
        <w:spacing w:before="0" w:after="0"/>
      </w:pPr>
      <w:r>
        <w:rPr>
          <w:rFonts w:ascii="Arial" w:cs="Arial" w:eastAsia="Arial" w:hAnsi="Arial"/>
          <w:b/>
          <w:bCs/>
          <w:sz w:val="18"/>
          <w:szCs w:val="18"/>
        </w:rPr>
        <w:t xml:space="preserve">e-GP tender tracking no.: </w:t>
      </w:r>
      <w:r>
        <w:rPr>
          <w:rFonts w:ascii="Arial" w:cs="Arial" w:eastAsia="Arial" w:hAnsi="Arial"/>
          <w:sz w:val="18"/>
          <w:szCs w:val="18"/>
        </w:rPr>
        <w:t xml:space="preserve">1347267</w:t>
      </w:r>
    </w:p>
    <w:p>
      <w:pPr>
        <w:spacing w:before="0" w:after="240"/>
      </w:pPr>
      <w:r>
        <w:rPr>
          <w:rFonts w:ascii="Arial" w:cs="Arial" w:eastAsia="Arial" w:hAnsi="Arial"/>
          <w:b/>
          <w:bCs/>
          <w:sz w:val="18"/>
          <w:szCs w:val="18"/>
        </w:rPr>
        <w:t xml:space="preserve">Date: </w:t>
      </w:r>
      <w:r>
        <w:rPr>
          <w:rFonts w:ascii="Arial" w:cs="Arial" w:eastAsia="Arial" w:hAnsi="Arial"/>
          <w:sz w:val="18"/>
          <w:szCs w:val="18"/>
        </w:rPr>
        <w:t xml:space="preserve">18/10/2026</w:t>
      </w:r>
    </w:p>
    <w:p>
      <w:pPr>
        <w:spacing w:before="0" w:after="360"/>
      </w:pPr>
      <w:r>
        <w:rPr>
          <w:rFonts w:ascii="Arial" w:cs="Arial" w:eastAsia="Arial" w:hAnsi="Arial"/>
          <w:sz w:val="18"/>
          <w:szCs w:val="18"/>
        </w:rPr>
        <w:t xml:space="preserve">To: Director (Communication), Communication Branch, Headquarters Border Guard Bangladesh, Peelkhana, Dhaka</w:t>
      </w:r>
    </w:p>
    <w:p>
      <w:pPr>
        <w:spacing w:before="0" w:after="60"/>
        <w:jc w:val="center"/>
      </w:pPr>
      <w:r>
        <w:rPr>
          <w:rFonts w:ascii="Arial" w:cs="Arial" w:eastAsia="Arial" w:hAnsi="Arial"/>
          <w:b/>
          <w:bCs/>
          <w:sz w:val="28"/>
          <w:szCs w:val="28"/>
        </w:rPr>
        <w:t xml:space="preserve">TECHNICAL PROPOSAL</w:t>
      </w:r>
    </w:p>
    <w:p>
      <w:pPr>
        <w:spacing w:before="0" w:after="360"/>
        <w:jc w:val="center"/>
      </w:pPr>
      <w:r>
        <w:rPr>
          <w:rFonts w:ascii="Arial" w:cs="Arial" w:eastAsia="Arial" w:hAnsi="Arial"/>
          <w:b/>
          <w:bCs/>
          <w:sz w:val="22"/>
          <w:szCs w:val="22"/>
          <w:u w:val="single"/>
        </w:rPr>
        <w:t xml:space="preserve">BIRDS (Border Incident Reporting &amp; Documentation System) - Phase II</w:t>
      </w:r>
    </w:p>
    <w:p>
      <w:pPr>
        <w:spacing w:before="0" w:after="80"/>
      </w:pPr>
      <w:r>
        <w:rPr>
          <w:rFonts w:ascii="Arial" w:cs="Arial" w:eastAsia="Arial" w:hAnsi="Arial"/>
          <w:b/>
          <w:bCs/>
          <w:sz w:val="22"/>
          <w:szCs w:val="22"/>
        </w:rPr>
        <w:t xml:space="preserve">Contents</w:t>
      </w:r>
    </w:p>
    <w:p>
      <w:pPr>
        <w:spacing w:before="0" w:after="20"/>
        <w:ind w:left="200"/>
      </w:pPr>
      <w:r>
        <w:rPr>
          <w:rFonts w:ascii="Arial" w:cs="Arial" w:eastAsia="Arial" w:hAnsi="Arial"/>
          <w:sz w:val="20"/>
          <w:szCs w:val="20"/>
        </w:rPr>
        <w:t xml:space="preserve">1.  Introduction</w:t>
      </w:r>
    </w:p>
    <w:p>
      <w:pPr>
        <w:spacing w:before="0" w:after="20"/>
        <w:ind w:left="200"/>
      </w:pPr>
      <w:r>
        <w:rPr>
          <w:rFonts w:ascii="Arial" w:cs="Arial" w:eastAsia="Arial" w:hAnsi="Arial"/>
          <w:sz w:val="20"/>
          <w:szCs w:val="20"/>
        </w:rPr>
        <w:t xml:space="preserve">2.  Company profile and project team</w:t>
      </w:r>
    </w:p>
    <w:p>
      <w:pPr>
        <w:spacing w:before="0" w:after="20"/>
        <w:ind w:left="200"/>
      </w:pPr>
      <w:r>
        <w:rPr>
          <w:rFonts w:ascii="Arial" w:cs="Arial" w:eastAsia="Arial" w:hAnsi="Arial"/>
          <w:sz w:val="20"/>
          <w:szCs w:val="20"/>
        </w:rPr>
        <w:t xml:space="preserve">3.  Understanding of the requirement</w:t>
      </w:r>
    </w:p>
    <w:p>
      <w:pPr>
        <w:spacing w:before="0" w:after="20"/>
        <w:ind w:left="200"/>
      </w:pPr>
      <w:r>
        <w:rPr>
          <w:rFonts w:ascii="Arial" w:cs="Arial" w:eastAsia="Arial" w:hAnsi="Arial"/>
          <w:sz w:val="20"/>
          <w:szCs w:val="20"/>
        </w:rPr>
        <w:t xml:space="preserve">4.  Solution overview</w:t>
      </w:r>
    </w:p>
    <w:p>
      <w:pPr>
        <w:spacing w:before="0" w:after="20"/>
        <w:ind w:left="200"/>
      </w:pPr>
      <w:r>
        <w:rPr>
          <w:rFonts w:ascii="Arial" w:cs="Arial" w:eastAsia="Arial" w:hAnsi="Arial"/>
          <w:sz w:val="20"/>
          <w:szCs w:val="20"/>
        </w:rPr>
        <w:t xml:space="preserve">5.  System architecture</w:t>
      </w:r>
    </w:p>
    <w:p>
      <w:pPr>
        <w:spacing w:before="0" w:after="20"/>
        <w:ind w:left="200"/>
      </w:pPr>
      <w:r>
        <w:rPr>
          <w:rFonts w:ascii="Arial" w:cs="Arial" w:eastAsia="Arial" w:hAnsi="Arial"/>
          <w:sz w:val="20"/>
          <w:szCs w:val="20"/>
        </w:rPr>
        <w:t xml:space="preserve">6.  Security architecture</w:t>
      </w:r>
    </w:p>
    <w:p>
      <w:pPr>
        <w:spacing w:before="0" w:after="20"/>
        <w:ind w:left="200"/>
      </w:pPr>
      <w:r>
        <w:rPr>
          <w:rFonts w:ascii="Arial" w:cs="Arial" w:eastAsia="Arial" w:hAnsi="Arial"/>
          <w:sz w:val="20"/>
          <w:szCs w:val="20"/>
        </w:rPr>
        <w:t xml:space="preserve">7.  Infrastructure requirements</w:t>
      </w:r>
    </w:p>
    <w:p>
      <w:pPr>
        <w:spacing w:before="0" w:after="20"/>
        <w:ind w:left="200"/>
      </w:pPr>
      <w:r>
        <w:rPr>
          <w:rFonts w:ascii="Arial" w:cs="Arial" w:eastAsia="Arial" w:hAnsi="Arial"/>
          <w:sz w:val="20"/>
          <w:szCs w:val="20"/>
        </w:rPr>
        <w:t xml:space="preserve">8.  Availability, backup and disaster recovery</w:t>
      </w:r>
    </w:p>
    <w:p>
      <w:pPr>
        <w:spacing w:before="0" w:after="20"/>
        <w:ind w:left="200"/>
      </w:pPr>
      <w:r>
        <w:rPr>
          <w:rFonts w:ascii="Arial" w:cs="Arial" w:eastAsia="Arial" w:hAnsi="Arial"/>
          <w:sz w:val="20"/>
          <w:szCs w:val="20"/>
        </w:rPr>
        <w:t xml:space="preserve">9.  Performance and scalability</w:t>
      </w:r>
    </w:p>
    <w:p>
      <w:pPr>
        <w:spacing w:before="0" w:after="20"/>
        <w:ind w:left="200"/>
      </w:pPr>
      <w:r>
        <w:rPr>
          <w:rFonts w:ascii="Arial" w:cs="Arial" w:eastAsia="Arial" w:hAnsi="Arial"/>
          <w:sz w:val="20"/>
          <w:szCs w:val="20"/>
        </w:rPr>
        <w:t xml:space="preserve">10.  Integration and future expansion</w:t>
      </w:r>
    </w:p>
    <w:p>
      <w:pPr>
        <w:spacing w:before="0" w:after="20"/>
        <w:ind w:left="200"/>
      </w:pPr>
      <w:r>
        <w:rPr>
          <w:rFonts w:ascii="Arial" w:cs="Arial" w:eastAsia="Arial" w:hAnsi="Arial"/>
          <w:sz w:val="20"/>
          <w:szCs w:val="20"/>
        </w:rPr>
        <w:t xml:space="preserve">11.  Implementation methodology and work plan</w:t>
      </w:r>
    </w:p>
    <w:p>
      <w:pPr>
        <w:spacing w:before="0" w:after="20"/>
        <w:ind w:left="200"/>
      </w:pPr>
      <w:r>
        <w:rPr>
          <w:rFonts w:ascii="Arial" w:cs="Arial" w:eastAsia="Arial" w:hAnsi="Arial"/>
          <w:sz w:val="20"/>
          <w:szCs w:val="20"/>
        </w:rPr>
        <w:t xml:space="preserve">12.  Testing and quality assurance</w:t>
      </w:r>
    </w:p>
    <w:p>
      <w:pPr>
        <w:spacing w:before="0" w:after="20"/>
        <w:ind w:left="200"/>
      </w:pPr>
      <w:r>
        <w:rPr>
          <w:rFonts w:ascii="Arial" w:cs="Arial" w:eastAsia="Arial" w:hAnsi="Arial"/>
          <w:sz w:val="20"/>
          <w:szCs w:val="20"/>
        </w:rPr>
        <w:t xml:space="preserve">13.  Training</w:t>
      </w:r>
    </w:p>
    <w:p>
      <w:pPr>
        <w:spacing w:before="0" w:after="20"/>
        <w:ind w:left="200"/>
      </w:pPr>
      <w:r>
        <w:rPr>
          <w:rFonts w:ascii="Arial" w:cs="Arial" w:eastAsia="Arial" w:hAnsi="Arial"/>
          <w:sz w:val="20"/>
          <w:szCs w:val="20"/>
        </w:rPr>
        <w:t xml:space="preserve">14.  Documentation</w:t>
      </w:r>
    </w:p>
    <w:p>
      <w:pPr>
        <w:spacing w:before="0" w:after="20"/>
        <w:ind w:left="200"/>
      </w:pPr>
      <w:r>
        <w:rPr>
          <w:rFonts w:ascii="Arial" w:cs="Arial" w:eastAsia="Arial" w:hAnsi="Arial"/>
          <w:sz w:val="20"/>
          <w:szCs w:val="20"/>
        </w:rPr>
        <w:t xml:space="preserve">15.  Warranty and support</w:t>
      </w:r>
    </w:p>
    <w:p>
      <w:pPr>
        <w:spacing w:before="0" w:after="20"/>
        <w:ind w:left="200"/>
      </w:pPr>
      <w:r>
        <w:rPr>
          <w:rFonts w:ascii="Arial" w:cs="Arial" w:eastAsia="Arial" w:hAnsi="Arial"/>
          <w:sz w:val="20"/>
          <w:szCs w:val="20"/>
        </w:rPr>
        <w:t xml:space="preserve">16.  BGB responsibilities and assumptions</w:t>
      </w:r>
    </w:p>
    <w:p>
      <w:pPr>
        <w:spacing w:before="0" w:after="20"/>
        <w:ind w:left="200"/>
      </w:pPr>
      <w:r>
        <w:rPr>
          <w:rFonts w:ascii="Arial" w:cs="Arial" w:eastAsia="Arial" w:hAnsi="Arial"/>
          <w:sz w:val="20"/>
          <w:szCs w:val="20"/>
        </w:rPr>
        <w:t xml:space="preserve">17.  Value additions</w:t>
      </w:r>
    </w:p>
    <w:p>
      <w:pPr>
        <w:spacing w:before="120" w:after="0"/>
      </w:pPr>
      <w:r>
        <w:rPr>
          <w:rFonts w:ascii="Arial" w:cs="Arial" w:eastAsia="Arial" w:hAnsi="Arial"/>
          <w:sz w:val="20"/>
          <w:szCs w:val="20"/>
        </w:rPr>
        <w:t xml:space="preserve">Annexes (separate documents): Compliance Statement; Annex A — Compliance Notes; Annex B — Value Additions.</w:t>
      </w:r>
    </w:p>
    <w:p>
      <w:r>
        <w:br w:type="page"/>
      </w:r>
    </w:p>
    <w:p>
      <w:pPr>
        <w:pStyle w:val="Heading1"/>
        <w:keepNext/>
        <w:spacing w:before="300" w:after="120"/>
      </w:pPr>
      <w:r>
        <w:rPr>
          <w:rFonts w:ascii="Arial" w:cs="Arial" w:eastAsia="Arial" w:hAnsi="Arial"/>
          <w:b/>
          <w:bCs/>
          <w:color w:val="000000"/>
          <w:sz w:val="26"/>
          <w:szCs w:val="26"/>
        </w:rPr>
        <w:t xml:space="preserve">1.  Introduction</w:t>
      </w:r>
    </w:p>
    <w:p>
      <w:pPr>
        <w:spacing w:before="0" w:after="120"/>
        <w:jc w:val="both"/>
      </w:pPr>
      <w:r>
        <w:rPr>
          <w:rFonts w:ascii="Arial" w:cs="Arial" w:eastAsia="Arial" w:hAnsi="Arial"/>
          <w:sz w:val="20"/>
          <w:szCs w:val="20"/>
        </w:rPr>
        <w:t xml:space="preserve">Grace International submits this technical proposal for the supply, installation, commissioning and support of the Border Incident Reporting &amp; Documentation System (BIRDS) Phase II for Headquarters Border Guard Bangladesh under e-GP tender 1347267 (Development of Centralized Access Control Integration System — B. BIRDS Phase II). It describes the offered system, its architecture and security, the infrastructure it needs, how availability, backup and recovery are achieved, and how the system will be implemented, tested, handed over and supported.</w:t>
      </w:r>
    </w:p>
    <w:p>
      <w:pPr>
        <w:spacing w:before="0" w:after="120"/>
        <w:jc w:val="both"/>
      </w:pPr>
      <w:r>
        <w:rPr>
          <w:rFonts w:ascii="Arial" w:cs="Arial" w:eastAsia="Arial" w:hAnsi="Arial"/>
          <w:sz w:val="20"/>
          <w:szCs w:val="20"/>
        </w:rPr>
        <w:t xml:space="preserve">The offered system is already built and running. The Technical Evaluation Committee can verify it in the application demo (address and accounts in Annex A, section 1). Compliance with each of the 58 items of the Technical Specification is stated in the Compliance Statement and explained in Annex A; features offered beyond the specification are listed in Annex B.</w:t>
      </w:r>
    </w:p>
    <w:p>
      <w:pPr>
        <w:pStyle w:val="Heading1"/>
        <w:keepNext/>
        <w:spacing w:before="300" w:after="120"/>
      </w:pPr>
      <w:r>
        <w:rPr>
          <w:rFonts w:ascii="Arial" w:cs="Arial" w:eastAsia="Arial" w:hAnsi="Arial"/>
          <w:b/>
          <w:bCs/>
          <w:color w:val="000000"/>
          <w:sz w:val="26"/>
          <w:szCs w:val="26"/>
        </w:rPr>
        <w:t xml:space="preserve">2.  Company profile and project team</w:t>
      </w:r>
    </w:p>
    <w:p>
      <w:pPr>
        <w:spacing w:before="0" w:after="120"/>
        <w:jc w:val="both"/>
      </w:pPr>
      <w:r>
        <w:rPr>
          <w:rFonts w:ascii="Arial" w:cs="Arial" w:eastAsia="Arial" w:hAnsi="Arial"/>
          <w:sz w:val="20"/>
          <w:szCs w:val="20"/>
        </w:rPr>
        <w:t xml:space="preserve">The tenderer is Grace International. Its registration, licences, experience records and other verification documents are submitted separately with this tender, together with the curricula vitae of the key personnel.</w:t>
      </w:r>
    </w:p>
    <w:p>
      <w:pPr>
        <w:spacing w:before="0" w:after="120"/>
        <w:jc w:val="both"/>
      </w:pPr>
      <w:r>
        <w:rPr>
          <w:rFonts w:ascii="Arial" w:cs="Arial" w:eastAsia="Arial" w:hAnsi="Arial"/>
          <w:sz w:val="20"/>
          <w:szCs w:val="20"/>
        </w:rPr>
        <w:t xml:space="preserve">The project is staffed with the following roles throughout implementation and the warranty period: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Role</w:t>
            </w:r>
          </w:p>
        </w:tc>
        <w:tc>
          <w:tcPr>
            <w:tcW w:type="dxa" w:w="69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Responsibility</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Project manager</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Single point of contact for BGB; plan, progress reporting, risks, acceptance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Solution architect</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Architecture, integration (directory, e-mail, offline map data, antivirus), performance and availability design</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Software engineers</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Configuration and customisation of forms, reports and workflow; fixes during warranty</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Database / systems administrator</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Servers, database replication, backup and restore, DR site, monitoring</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Security engineer</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Hardening, security testing and vulnerability assessment, remediation</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Trainer / support lead</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Training courses and material, user support and the support desk</w:t>
            </w:r>
          </w:p>
        </w:tc>
      </w:tr>
    </w:tbl>
    <w:p>
      <w:pPr>
        <w:spacing w:before="0" w:after="120"/>
      </w:pPr>
      <w:r>
        <w:rPr>
          <w:rFonts w:ascii="Arial" w:cs="Arial" w:eastAsia="Arial" w:hAnsi="Arial"/>
          <w:sz w:val="20"/>
          <w:szCs w:val="20"/>
        </w:rPr>
        <w:t xml:space="preserve"/>
      </w:r>
    </w:p>
    <w:p>
      <w:pPr>
        <w:pStyle w:val="Heading1"/>
        <w:keepNext/>
        <w:spacing w:before="300" w:after="120"/>
      </w:pPr>
      <w:r>
        <w:rPr>
          <w:rFonts w:ascii="Arial" w:cs="Arial" w:eastAsia="Arial" w:hAnsi="Arial"/>
          <w:b/>
          <w:bCs/>
          <w:color w:val="000000"/>
          <w:sz w:val="26"/>
          <w:szCs w:val="26"/>
        </w:rPr>
        <w:t xml:space="preserve">3.  Understanding of the requirement</w:t>
      </w:r>
    </w:p>
    <w:p>
      <w:pPr>
        <w:spacing w:before="0" w:after="120"/>
        <w:jc w:val="both"/>
      </w:pPr>
      <w:r>
        <w:rPr>
          <w:rFonts w:ascii="Arial" w:cs="Arial" w:eastAsia="Arial" w:hAnsi="Arial"/>
          <w:sz w:val="20"/>
          <w:szCs w:val="20"/>
        </w:rPr>
        <w:t xml:space="preserve">BGB needs one central system in which incidents along the border are reported by the units that observe them, checked and approved through the chain of command, and then tracked, analysed and reported at every level from HQ to BOP. The record must be trustworthy: each step attributed, nothing finalised altered, evidence preserved with its original metadata, and every significant action auditable. The system must run on BGB's own network with high availability, recover from failure, integrate with BGB's directory, and remain open to future systems such as mobile applications, surveillance and digital evidence systems.</w:t>
      </w:r>
    </w:p>
    <w:p>
      <w:pPr>
        <w:pStyle w:val="Heading1"/>
        <w:keepNext/>
        <w:spacing w:before="300" w:after="120"/>
      </w:pPr>
      <w:r>
        <w:rPr>
          <w:rFonts w:ascii="Arial" w:cs="Arial" w:eastAsia="Arial" w:hAnsi="Arial"/>
          <w:b/>
          <w:bCs/>
          <w:color w:val="000000"/>
          <w:sz w:val="26"/>
          <w:szCs w:val="26"/>
        </w:rPr>
        <w:t xml:space="preserve">4.  Solution overview</w:t>
      </w:r>
    </w:p>
    <w:p>
      <w:pPr>
        <w:spacing w:before="0" w:after="120"/>
        <w:jc w:val="both"/>
      </w:pPr>
      <w:r>
        <w:rPr>
          <w:rFonts w:ascii="Arial" w:cs="Arial" w:eastAsia="Arial" w:hAnsi="Arial"/>
          <w:sz w:val="20"/>
          <w:szCs w:val="20"/>
        </w:rPr>
        <w:t xml:space="preserve">BIRDS is a web application used through a browser on BGB's network; no software has to be installed on users' computers. It is also a progressive web app (PWA), so it can be installed on phones, tablets and computers directly from the browser (section 5.3). Its modules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5506"/>
        <w:gridCol w:w="1800"/>
      </w:tblGrid>
      <w:tr>
        <w:trPr>
          <w:cantSplit/>
          <w:tblHeader/>
        </w:trPr>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Module</w:t>
            </w:r>
          </w:p>
        </w:tc>
        <w:tc>
          <w:tcPr>
            <w:tcW w:type="dxa" w:w="55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What it does</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Spec items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Incident registration</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Three-step electronic form, drafts, submission, editing after return, duplicate warning, GPS location, evidence upload (photos, video, PDF, office documents)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5–11</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Workflow and verification</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Draft → Submitted → Reviewed → Verified → Approved → Closed, with Return and Reject; modification by the reviewer before approval (reason required, audited); role- and scope-based actions; overdue flags; timeline and comments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12–14, 25</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Tracking and search</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Unique reference numbers BIRDS-&lt;year&gt;-NNNN, advanced filters, saved views, global search</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15, 16</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Dashboard, GIS and analytics</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Role-based dashboard and work queue, incident map with per-BOP counts, zoom to a location and drill-down to the incidents, clustering and heat map, statistics with hotspots and time-of-day patterns, trends by day/week/month/quarter/year, every chart opening its incidents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17–20</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Reports and export</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Configurable report templates, formal printouts with reference numbers, PDF, Excel and CSV export</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21, 22</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Notifications</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In-app, e-mail and push notifications for workflow events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23</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Audit and integrity</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Tamper-evident audit trail, append-only history, evidence fingerprints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24, 25</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Administration</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Users, roles and permissions, organisational hierarchy, categories, workflow, security and retention settings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3, 6, 9, 46, 47</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Archiving and retention</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Configurable retention and archiving with audit trail</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44, 45</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Integration</w:t>
            </w:r>
          </w:p>
        </w:tc>
        <w:tc>
          <w:tcPr>
            <w:tcW w:type="dxa" w:w="55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Documented REST API; directory (AD/LDAP) sign-in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31, 32, 58</w:t>
            </w:r>
          </w:p>
        </w:tc>
      </w:tr>
    </w:tbl>
    <w:p>
      <w:pPr>
        <w:spacing w:before="0" w:after="120"/>
      </w:pPr>
      <w:r>
        <w:rPr>
          <w:rFonts w:ascii="Arial" w:cs="Arial" w:eastAsia="Arial" w:hAnsi="Arial"/>
          <w:sz w:val="20"/>
          <w:szCs w:val="20"/>
        </w:rPr>
        <w:t xml:space="preserve"/>
      </w:r>
    </w:p>
    <w:p>
      <w:pPr>
        <w:pStyle w:val="Heading2"/>
        <w:keepNext/>
        <w:spacing w:before="200" w:after="100"/>
      </w:pPr>
      <w:r>
        <w:rPr>
          <w:rFonts w:ascii="Arial" w:cs="Arial" w:eastAsia="Arial" w:hAnsi="Arial"/>
          <w:b/>
          <w:bCs/>
          <w:color w:val="000000"/>
          <w:sz w:val="22"/>
          <w:szCs w:val="22"/>
        </w:rPr>
        <w:t xml:space="preserve">4.1  Incident workflow</w:t>
      </w:r>
    </w:p>
    <w:p>
      <w:pPr>
        <w:spacing w:before="0" w:after="120"/>
        <w:jc w:val="both"/>
      </w:pPr>
      <w:r>
        <w:rPr>
          <w:rFonts w:ascii="Arial" w:cs="Arial" w:eastAsia="Arial" w:hAnsi="Arial"/>
          <w:sz w:val="20"/>
          <w:szCs w:val="20"/>
        </w:rPr>
        <w:t xml:space="preserve">Every incident follows the workflow below (items 13, 14). The server holds the only copy of these rules: it decides which actions each officer may take on each record, so the screens only offer what the server will accept. Each step notifies the next responsible officers (item 23), is added to the incident timeline (item 12) and is recorded in the audit trail (item 24).</w:t>
      </w:r>
    </w:p>
    <w:p>
      <w:pPr>
        <w:keepNext/>
        <w:spacing w:before="120" w:after="60"/>
        <w:jc w:val="center"/>
      </w:pPr>
      <w:r>
        <w:drawing>
          <wp:inline distT="0" distB="0" distL="0" distR="0">
            <wp:extent cx="628650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4781550"/>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1. </w:t>
      </w:r>
      <w:r>
        <w:rPr>
          <w:rFonts w:ascii="Arial" w:cs="Arial" w:eastAsia="Arial" w:hAnsi="Arial"/>
          <w:sz w:val="18"/>
          <w:szCs w:val="18"/>
        </w:rPr>
        <w:t xml:space="preserve">Incident workflow: states, who may act at each step, and who is notified (items 12, 13, 14, 23, 25)</w:t>
      </w:r>
    </w:p>
    <w:p>
      <w:pPr>
        <w:pStyle w:val="Heading2"/>
        <w:keepNext/>
        <w:spacing w:before="200" w:after="100"/>
      </w:pPr>
      <w:r>
        <w:rPr>
          <w:rFonts w:ascii="Arial" w:cs="Arial" w:eastAsia="Arial" w:hAnsi="Arial"/>
          <w:b/>
          <w:bCs/>
          <w:color w:val="000000"/>
          <w:sz w:val="22"/>
          <w:szCs w:val="22"/>
        </w:rPr>
        <w:t xml:space="preserve">4.2  Roles, permissions and scope</w:t>
      </w:r>
    </w:p>
    <w:p>
      <w:pPr>
        <w:spacing w:before="0" w:after="120"/>
        <w:jc w:val="both"/>
      </w:pPr>
      <w:r>
        <w:rPr>
          <w:rFonts w:ascii="Arial" w:cs="Arial" w:eastAsia="Arial" w:hAnsi="Arial"/>
          <w:sz w:val="20"/>
          <w:szCs w:val="20"/>
        </w:rPr>
        <w:t xml:space="preserve">Access is decided by two things: the pages and actions the user's role is permitted (item 3), and the user's scope in the organisational hierarchy (item 9). The default permissions are shown below; administrators change them in Administration › Permissions without code changes (items 46, 47), and the server enforces them on every request.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06"/>
        <w:gridCol w:w="1400"/>
        <w:gridCol w:w="1400"/>
        <w:gridCol w:w="1400"/>
        <w:gridCol w:w="1400"/>
        <w:gridCol w:w="1400"/>
      </w:tblGrid>
      <w:tr>
        <w:trPr>
          <w:cantSplit/>
          <w:tblHeader/>
        </w:trPr>
        <w:tc>
          <w:tcPr>
            <w:tcW w:type="dxa" w:w="29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Page / function</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HQ Administrator</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Sector Officer</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Battalion Operator</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Verifier / Approver</w:t>
            </w:r>
          </w:p>
        </w:tc>
        <w:tc>
          <w:tcPr>
            <w:tcW w:type="dxa" w:w="1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Auditor</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Dashboard</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Incident register and records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File new incidents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GIS map</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Analytics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Reports and export</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Audit trail</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Administration</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Messages and voice calls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Raise flash alerts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Yes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r>
      <w:tr>
        <w:trPr>
          <w:cantSplit/>
        </w:trPr>
        <w:tc>
          <w:tcPr>
            <w:tcW w:type="dxa" w:w="2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Workflow actions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Review, verify, approve, close, return, reject</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Review, return, reject</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Submit own reports</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Review, verify, approve, return, reject</w:t>
            </w:r>
          </w:p>
        </w:tc>
        <w:tc>
          <w:tcPr>
            <w:tcW w:type="dxa" w:w="1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None (read only)</w:t>
            </w:r>
          </w:p>
        </w:tc>
      </w:tr>
    </w:tbl>
    <w:p>
      <w:pPr>
        <w:spacing w:before="0" w:after="120"/>
      </w:pPr>
      <w:r>
        <w:rPr>
          <w:rFonts w:ascii="Arial" w:cs="Arial" w:eastAsia="Arial" w:hAnsi="Arial"/>
          <w:sz w:val="20"/>
          <w:szCs w:val="20"/>
        </w:rPr>
        <w:t xml:space="preserve"/>
      </w:r>
    </w:p>
    <w:p>
      <w:pPr>
        <w:spacing w:before="0" w:after="120"/>
        <w:jc w:val="both"/>
      </w:pPr>
      <w:r>
        <w:rPr>
          <w:rFonts w:ascii="Arial" w:cs="Arial" w:eastAsia="Arial" w:hAnsi="Arial"/>
          <w:sz w:val="20"/>
          <w:szCs w:val="20"/>
        </w:rPr>
        <w:t xml:space="preserve">Each user is assigned a scope: HQ (every unit), a sector, a battalion or a BOP. Lists, the map, dashboards, analytics, reports, exports and workflow actions include only the incidents within that scope, and a user who is not permitted a record receives "not found" rather than its contents. The hierarchy HQ → Sector → Battalion → BOP is maintained in Administration › Organisation. Separately from scope, nobody can review, verify or approve a report they filed themselves.</w:t>
      </w:r>
    </w:p>
    <w:p>
      <w:pPr>
        <w:pStyle w:val="Heading2"/>
        <w:keepNext/>
        <w:spacing w:before="200" w:after="100"/>
      </w:pPr>
      <w:r>
        <w:rPr>
          <w:rFonts w:ascii="Arial" w:cs="Arial" w:eastAsia="Arial" w:hAnsi="Arial"/>
          <w:b/>
          <w:bCs/>
          <w:color w:val="000000"/>
          <w:sz w:val="22"/>
          <w:szCs w:val="22"/>
        </w:rPr>
        <w:t xml:space="preserve">4.3  Evidence handling</w:t>
      </w:r>
    </w:p>
    <w:p>
      <w:pPr>
        <w:spacing w:before="0" w:after="120"/>
        <w:jc w:val="both"/>
      </w:pPr>
      <w:r>
        <w:rPr>
          <w:rFonts w:ascii="Arial" w:cs="Arial" w:eastAsia="Arial" w:hAnsi="Arial"/>
          <w:sz w:val="20"/>
          <w:szCs w:val="20"/>
        </w:rPr>
        <w:t xml:space="preserve">Evidence files pass through the steps below before they are stored, and are checked again every time they are opened (items 10, 11, 25, 33). The original metadata is kept with the record, so the evidential value of photographs and documents is preserved.</w:t>
      </w:r>
    </w:p>
    <w:p>
      <w:pPr>
        <w:keepNext/>
        <w:spacing w:before="120" w:after="60"/>
        <w:jc w:val="center"/>
      </w:pPr>
      <w:r>
        <w:drawing>
          <wp:inline distT="0" distB="0" distL="0" distR="0">
            <wp:extent cx="565785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57850" cy="3228975"/>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2. </w:t>
      </w:r>
      <w:r>
        <w:rPr>
          <w:rFonts w:ascii="Arial" w:cs="Arial" w:eastAsia="Arial" w:hAnsi="Arial"/>
          <w:sz w:val="18"/>
          <w:szCs w:val="18"/>
        </w:rPr>
        <w:t xml:space="preserve">Evidence upload and retrieval with integrity checks (items 10, 11, 25, 33)</w:t>
      </w:r>
    </w:p>
    <w:p>
      <w:pPr>
        <w:pStyle w:val="Heading1"/>
        <w:keepNext/>
        <w:spacing w:before="300" w:after="120"/>
      </w:pPr>
      <w:r>
        <w:rPr>
          <w:rFonts w:ascii="Arial" w:cs="Arial" w:eastAsia="Arial" w:hAnsi="Arial"/>
          <w:b/>
          <w:bCs/>
          <w:color w:val="000000"/>
          <w:sz w:val="26"/>
          <w:szCs w:val="26"/>
        </w:rPr>
        <w:t xml:space="preserve">5.  System architecture</w:t>
      </w:r>
    </w:p>
    <w:p>
      <w:pPr>
        <w:pStyle w:val="Heading2"/>
        <w:keepNext/>
        <w:spacing w:before="200" w:after="100"/>
      </w:pPr>
      <w:r>
        <w:rPr>
          <w:rFonts w:ascii="Arial" w:cs="Arial" w:eastAsia="Arial" w:hAnsi="Arial"/>
          <w:b/>
          <w:bCs/>
          <w:color w:val="000000"/>
          <w:sz w:val="22"/>
          <w:szCs w:val="22"/>
        </w:rPr>
        <w:t xml:space="preserve">5.1  Three-tier design</w:t>
      </w:r>
    </w:p>
    <w:p>
      <w:pPr>
        <w:spacing w:before="0" w:after="120"/>
        <w:jc w:val="both"/>
      </w:pPr>
      <w:r>
        <w:rPr>
          <w:rFonts w:ascii="Arial" w:cs="Arial" w:eastAsia="Arial" w:hAnsi="Arial"/>
          <w:sz w:val="20"/>
          <w:szCs w:val="20"/>
        </w:rPr>
        <w:t xml:space="preserve">BIRDS follows the three-tier architecture required by item 2. Each tier can be scaled and secured separately.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3700"/>
        <w:gridCol w:w="3806"/>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Tier</w:t>
            </w:r>
          </w:p>
        </w:tc>
        <w:tc>
          <w:tcPr>
            <w:tcW w:type="dxa" w:w="3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Technology</w:t>
            </w:r>
          </w:p>
        </w:tc>
        <w:tc>
          <w:tcPr>
            <w:tcW w:type="dxa" w:w="38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Role</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Presentation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React 19 single-page application built with Vite; Leaflet maps; Chart.js charts; English and Bangla</w:t>
            </w:r>
          </w:p>
        </w:tc>
        <w:tc>
          <w:tcPr>
            <w:tcW w:type="dxa" w:w="3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Runs in the user's browser (Chrome, Edge, Firefox); progressive web app installable from the browser on phones, tablets and computers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Application</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Node.js (LTS, version 20 or later), Express 5, TypeScript; Zod validation; WebSocket for realtime events</w:t>
            </w:r>
          </w:p>
        </w:tc>
        <w:tc>
          <w:tcPr>
            <w:tcW w:type="dxa" w:w="3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All business rules, permissions, workflow, audit and file handling; REST API at /api/v1</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w:t>
            </w:r>
          </w:p>
        </w:tc>
        <w:tc>
          <w:tcPr>
            <w:tcW w:type="dxa" w:w="3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PostgreSQL 16 or later (relational, ACID); file storage on disk/NAS or S3-compatible object storage</w:t>
            </w:r>
          </w:p>
        </w:tc>
        <w:tc>
          <w:tcPr>
            <w:tcW w:type="dxa" w:w="3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Incident records, history, audit trail, configuration; encrypted evidence files</w:t>
            </w:r>
          </w:p>
        </w:tc>
      </w:tr>
    </w:tbl>
    <w:p>
      <w:pPr>
        <w:spacing w:before="0" w:after="120"/>
      </w:pPr>
      <w:r>
        <w:rPr>
          <w:rFonts w:ascii="Arial" w:cs="Arial" w:eastAsia="Arial" w:hAnsi="Arial"/>
          <w:sz w:val="20"/>
          <w:szCs w:val="20"/>
        </w:rPr>
        <w:t xml:space="preserve"/>
      </w:r>
    </w:p>
    <w:p>
      <w:pPr>
        <w:keepNext/>
        <w:spacing w:before="120" w:after="60"/>
        <w:jc w:val="center"/>
      </w:pPr>
      <w:r>
        <w:drawing>
          <wp:inline distT="0" distB="0" distL="0" distR="0">
            <wp:extent cx="6286500" cy="464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86500" cy="4648200"/>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3. </w:t>
      </w:r>
      <w:r>
        <w:rPr>
          <w:rFonts w:ascii="Arial" w:cs="Arial" w:eastAsia="Arial" w:hAnsi="Arial"/>
          <w:sz w:val="18"/>
          <w:szCs w:val="18"/>
        </w:rPr>
        <w:t xml:space="preserve">Solution architecture: three tiers, application modules and integrations (items 2, 30, 31, 58)</w:t>
      </w:r>
    </w:p>
    <w:p>
      <w:pPr>
        <w:pStyle w:val="Heading2"/>
        <w:keepNext/>
        <w:spacing w:before="200" w:after="100"/>
      </w:pPr>
      <w:r>
        <w:rPr>
          <w:rFonts w:ascii="Arial" w:cs="Arial" w:eastAsia="Arial" w:hAnsi="Arial"/>
          <w:b/>
          <w:bCs/>
          <w:color w:val="000000"/>
          <w:sz w:val="22"/>
          <w:szCs w:val="22"/>
        </w:rPr>
        <w:t xml:space="preserve">5.2  Deployment layout</w:t>
      </w:r>
    </w:p>
    <w:p>
      <w:pPr>
        <w:spacing w:before="0" w:after="120"/>
        <w:jc w:val="both"/>
      </w:pPr>
      <w:r>
        <w:rPr>
          <w:rFonts w:ascii="Arial" w:cs="Arial" w:eastAsia="Arial" w:hAnsi="Arial"/>
          <w:sz w:val="20"/>
          <w:szCs w:val="20"/>
        </w:rPr>
        <w:t xml:space="preserve">Users connect over HTTPS to a reverse proxy (Nginx) that terminates TLS and balances requests across two or more application servers. The application servers hold no state in memory: sessions are stored in the database and realtime events are passed through the database, so any server can answer any request and servers can be added or removed without interruption. The database runs as a primary with a standby replica; files are kept on central storage. A disaster-recovery site holds a replica of the database and files.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Component</w:t>
            </w:r>
          </w:p>
        </w:tc>
        <w:tc>
          <w:tcPr>
            <w:tcW w:type="dxa" w:w="69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Purpose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Reverse proxy / load balancer (Nginx)</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TLS termination, HTTP→HTTPS redirect, security headers, load balancing, WebSocket forwarding</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Application servers (×2 or more)</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BIRDS API and web application, run under a process manager (PM2) using all CPU cores; they also hold the offline map data (section 7)</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Database (primary + standby)</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PostgreSQL with streaming replication; point-in-time recovery through WAL archiving</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File storage</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Central NAS or S3-compatible object storage (e.g. MinIO) for evidence, voice messages and photos; encrypted by the application before storage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Backup storage</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Separate storage for encrypted database and file backups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Supporting services</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SMTP relay (e-mail notifications), TURN relay (voice calls), antivirus engine for uploads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DR site</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Database and file replicas with application servers ready to start</w:t>
            </w:r>
          </w:p>
        </w:tc>
      </w:tr>
    </w:tbl>
    <w:p>
      <w:pPr>
        <w:spacing w:before="0" w:after="120"/>
      </w:pPr>
      <w:r>
        <w:rPr>
          <w:rFonts w:ascii="Arial" w:cs="Arial" w:eastAsia="Arial" w:hAnsi="Arial"/>
          <w:sz w:val="20"/>
          <w:szCs w:val="20"/>
        </w:rPr>
        <w:t xml:space="preserve"/>
      </w:r>
    </w:p>
    <w:p>
      <w:pPr>
        <w:keepNext/>
        <w:spacing w:before="120" w:after="60"/>
        <w:jc w:val="center"/>
      </w:pPr>
      <w:r>
        <w:drawing>
          <wp:inline distT="0" distB="0" distL="0" distR="0">
            <wp:extent cx="6286500" cy="481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86500" cy="4810125"/>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4. </w:t>
      </w:r>
      <w:r>
        <w:rPr>
          <w:rFonts w:ascii="Arial" w:cs="Arial" w:eastAsia="Arial" w:hAnsi="Arial"/>
          <w:sz w:val="18"/>
          <w:szCs w:val="18"/>
        </w:rPr>
        <w:t xml:space="preserve">Deployment on BGB's network: main data centre and disaster-recovery site (items 27, 35, 36, 37); sizing in section 7</w:t>
      </w:r>
    </w:p>
    <w:p>
      <w:pPr>
        <w:pStyle w:val="Heading2"/>
        <w:keepNext/>
        <w:spacing w:before="200" w:after="100"/>
      </w:pPr>
      <w:r>
        <w:rPr>
          <w:rFonts w:ascii="Arial" w:cs="Arial" w:eastAsia="Arial" w:hAnsi="Arial"/>
          <w:b/>
          <w:bCs/>
          <w:color w:val="000000"/>
          <w:sz w:val="22"/>
          <w:szCs w:val="22"/>
        </w:rPr>
        <w:t xml:space="preserve">5.3  Mobile access: progressive web app</w:t>
      </w:r>
    </w:p>
    <w:p>
      <w:pPr>
        <w:spacing w:before="0" w:after="120"/>
        <w:jc w:val="both"/>
      </w:pPr>
      <w:r>
        <w:rPr>
          <w:rFonts w:ascii="Arial" w:cs="Arial" w:eastAsia="Arial" w:hAnsi="Arial"/>
          <w:sz w:val="20"/>
          <w:szCs w:val="20"/>
        </w:rPr>
        <w:t xml:space="preserve">BIRDS is a progressive web app (PWA). The same application that runs in the browser can be installed on a phone, tablet or computer directly from the browser, without an app store and without a separate mobile application to develop, approve or maintain.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Aspect</w:t>
            </w:r>
          </w:p>
        </w:tc>
        <w:tc>
          <w:tcPr>
            <w:tcW w:type="dxa" w:w="69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How it works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Installation</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Android, Windows, Mac: Chrome or Edge › "Install app" (also in the BIRDS user menu). iPhone/iPad: Safari › Share › "Add to Home Screen". BGB can also deploy it to managed devices.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Use</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Opens from the home screen in its own full-screen window like a native app, with the BIRDS icon; the layout adapts to phone and tablet screens, including notched phones.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Updates</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Every installed copy updates itself the next time it opens after the server is updated; there is nothing to reinstall.</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Notifications</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Calls and messages reach the device as push notifications even when BIRDS is closed (iPhone/iPad: iOS 16.4 or later, after installation).</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Security</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Only the application files are kept on the device; incident data is always fetched from the server after sign-in and is never stored on the device. Without a connection BIRDS opens with an offline notice.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Requirement</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An HTTPS address with a certificate trusted by the devices, and network access from the devices to the BIRDS server (Annex B, section 3).</w:t>
            </w:r>
          </w:p>
        </w:tc>
      </w:tr>
    </w:tbl>
    <w:p>
      <w:pPr>
        <w:spacing w:before="0" w:after="120"/>
      </w:pPr>
      <w:r>
        <w:rPr>
          <w:rFonts w:ascii="Arial" w:cs="Arial" w:eastAsia="Arial" w:hAnsi="Arial"/>
          <w:sz w:val="20"/>
          <w:szCs w:val="20"/>
        </w:rPr>
        <w:t xml:space="preserve"/>
      </w:r>
    </w:p>
    <w:p>
      <w:pPr>
        <w:pStyle w:val="Heading2"/>
        <w:keepNext/>
        <w:spacing w:before="200" w:after="100"/>
      </w:pPr>
      <w:r>
        <w:rPr>
          <w:rFonts w:ascii="Arial" w:cs="Arial" w:eastAsia="Arial" w:hAnsi="Arial"/>
          <w:b/>
          <w:bCs/>
          <w:color w:val="000000"/>
          <w:sz w:val="22"/>
          <w:szCs w:val="22"/>
        </w:rPr>
        <w:t xml:space="preserve">5.4  Software licensing</w:t>
      </w:r>
    </w:p>
    <w:p>
      <w:pPr>
        <w:spacing w:before="0" w:after="120"/>
        <w:jc w:val="both"/>
      </w:pPr>
      <w:r>
        <w:rPr>
          <w:rFonts w:ascii="Arial" w:cs="Arial" w:eastAsia="Arial" w:hAnsi="Arial"/>
          <w:sz w:val="20"/>
          <w:szCs w:val="20"/>
        </w:rPr>
        <w:t xml:space="preserve">All components (Node.js, PostgreSQL, Nginx, PM2, React, Leaflet, MinIO or equivalent, coturn) are open source. No proprietary licence is needed to run BIRDS; BGB is not tied to any vendor's licence fees.</w:t>
      </w:r>
    </w:p>
    <w:p>
      <w:pPr>
        <w:pStyle w:val="Heading2"/>
        <w:keepNext/>
        <w:spacing w:before="200" w:after="100"/>
      </w:pPr>
      <w:r>
        <w:rPr>
          <w:rFonts w:ascii="Arial" w:cs="Arial" w:eastAsia="Arial" w:hAnsi="Arial"/>
          <w:b/>
          <w:bCs/>
          <w:color w:val="000000"/>
          <w:sz w:val="22"/>
          <w:szCs w:val="22"/>
        </w:rPr>
        <w:t xml:space="preserve">5.5  Database design</w:t>
      </w:r>
    </w:p>
    <w:p>
      <w:pPr>
        <w:spacing w:before="0" w:after="120"/>
        <w:jc w:val="both"/>
      </w:pPr>
      <w:r>
        <w:rPr>
          <w:rFonts w:ascii="Arial" w:cs="Arial" w:eastAsia="Arial" w:hAnsi="Arial"/>
          <w:sz w:val="20"/>
          <w:szCs w:val="20"/>
        </w:rPr>
        <w:t xml:space="preserve">BIRDS uses PostgreSQL, an enterprise relational database (item 30), with 25 tables. The schema is managed as versioned migrations, so every installation has exactly the same structure and upgrades are repeatable. Figures 5 and 6 show the tables and their relationships; to keep them readable, the many columns that refer to a user are marked "→ users" instead of being drawn as lines. The full table and column dictionary is part of the Database Documentation (section 14).</w:t>
      </w:r>
    </w:p>
    <w:p>
      <w:pPr>
        <w:spacing w:before="0" w:after="80"/>
        <w:ind w:left="400" w:hanging="400"/>
        <w:jc w:val="both"/>
      </w:pPr>
      <w:r>
        <w:rPr>
          <w:rFonts w:ascii="Arial" w:cs="Arial" w:eastAsia="Arial" w:hAnsi="Arial"/>
          <w:sz w:val="20"/>
          <w:szCs w:val="20"/>
        </w:rPr>
        <w:t xml:space="preserve">a.  </w:t>
      </w:r>
      <w:r>
        <w:rPr>
          <w:rFonts w:ascii="Arial" w:cs="Arial" w:eastAsia="Arial" w:hAnsi="Arial"/>
          <w:sz w:val="20"/>
          <w:szCs w:val="20"/>
        </w:rPr>
        <w:t xml:space="preserve">Integrity rules in the database itself, so that they hold even outside the application: allowed values for severity, status and other fixed lists; unique reference numbers; foreign keys; triggers that refuse any change or deletion of the incident timeline, comments, messages and audit trail; a trigger that chains each audit entry to the previous one with SHA-256 (items 24, 25).</w:t>
      </w:r>
    </w:p>
    <w:p>
      <w:pPr>
        <w:spacing w:before="0" w:after="80"/>
        <w:ind w:left="400" w:hanging="400"/>
        <w:jc w:val="both"/>
      </w:pPr>
      <w:r>
        <w:rPr>
          <w:rFonts w:ascii="Arial" w:cs="Arial" w:eastAsia="Arial" w:hAnsi="Arial"/>
          <w:sz w:val="20"/>
          <w:szCs w:val="20"/>
        </w:rPr>
        <w:t xml:space="preserve">b.  </w:t>
      </w:r>
      <w:r>
        <w:rPr>
          <w:rFonts w:ascii="Arial" w:cs="Arial" w:eastAsia="Arial" w:hAnsi="Arial"/>
          <w:sz w:val="20"/>
          <w:szCs w:val="20"/>
        </w:rPr>
        <w:t xml:space="preserve">Indexes for every common search and dashboard: incident status, sector, date and category, sector with status, filer with status, archive date, and status with time in status (overdue); history, comments and evidence by incident; audit trail by time, user and action; notifications by user and read state; messages by conversation; calls by participant and time; flash alerts by status and validity. Every list is paged, so response time does not grow with the size of the register (items 37, 39).</w:t>
      </w:r>
    </w:p>
    <w:p>
      <w:pPr>
        <w:spacing w:before="0" w:after="80"/>
        <w:ind w:left="400" w:hanging="400"/>
        <w:jc w:val="both"/>
      </w:pPr>
      <w:r>
        <w:rPr>
          <w:rFonts w:ascii="Arial" w:cs="Arial" w:eastAsia="Arial" w:hAnsi="Arial"/>
          <w:sz w:val="20"/>
          <w:szCs w:val="20"/>
        </w:rPr>
        <w:t xml:space="preserve">c.  </w:t>
      </w:r>
      <w:r>
        <w:rPr>
          <w:rFonts w:ascii="Arial" w:cs="Arial" w:eastAsia="Arial" w:hAnsi="Arial"/>
          <w:sz w:val="20"/>
          <w:szCs w:val="20"/>
        </w:rPr>
        <w:t xml:space="preserve">Evidence and other files are kept in file storage, not in the database; the database holds their name, type, size, fingerprint and metadata. This keeps the database small and its backups fast (items 33, 34).</w:t>
      </w:r>
    </w:p>
    <w:p>
      <w:pPr>
        <w:keepNext/>
        <w:spacing w:before="120" w:after="60"/>
        <w:jc w:val="center"/>
      </w:pPr>
      <w:r>
        <w:drawing>
          <wp:inline distT="0" distB="0" distL="0" distR="0">
            <wp:extent cx="6286500" cy="656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86500" cy="6562725"/>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5. </w:t>
      </w:r>
      <w:r>
        <w:rPr>
          <w:rFonts w:ascii="Arial" w:cs="Arial" w:eastAsia="Arial" w:hAnsi="Arial"/>
          <w:sz w:val="18"/>
          <w:szCs w:val="18"/>
        </w:rPr>
        <w:t xml:space="preserve">Entity-relationship diagram (1 of 2): organisation, users, incidents, evidence, audit trail (item 30)</w:t>
      </w:r>
    </w:p>
    <w:p>
      <w:pPr>
        <w:keepNext/>
        <w:spacing w:before="120" w:after="60"/>
        <w:jc w:val="center"/>
      </w:pPr>
      <w:r>
        <w:drawing>
          <wp:inline distT="0" distB="0" distL="0" distR="0">
            <wp:extent cx="6286500" cy="4819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86500" cy="4819650"/>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6. </w:t>
      </w:r>
      <w:r>
        <w:rPr>
          <w:rFonts w:ascii="Arial" w:cs="Arial" w:eastAsia="Arial" w:hAnsi="Arial"/>
          <w:sz w:val="18"/>
          <w:szCs w:val="18"/>
        </w:rPr>
        <w:t xml:space="preserve">Entity-relationship diagram (2 of 2): messaging, voice calls and flash alerts (item 30)</w:t>
      </w:r>
    </w:p>
    <w:p>
      <w:pPr>
        <w:pStyle w:val="Heading1"/>
        <w:keepNext/>
        <w:spacing w:before="300" w:after="120"/>
      </w:pPr>
      <w:r>
        <w:rPr>
          <w:rFonts w:ascii="Arial" w:cs="Arial" w:eastAsia="Arial" w:hAnsi="Arial"/>
          <w:b/>
          <w:bCs/>
          <w:color w:val="000000"/>
          <w:sz w:val="26"/>
          <w:szCs w:val="26"/>
        </w:rPr>
        <w:t xml:space="preserve">6.  Security architecture</w:t>
      </w:r>
    </w:p>
    <w:p>
      <w:pPr>
        <w:spacing w:before="0" w:after="120"/>
        <w:jc w:val="both"/>
      </w:pPr>
      <w:r>
        <w:rPr>
          <w:rFonts w:ascii="Arial" w:cs="Arial" w:eastAsia="Arial" w:hAnsi="Arial"/>
          <w:sz w:val="20"/>
          <w:szCs w:val="20"/>
        </w:rPr>
        <w:t xml:space="preserve">Security is built into each layer, following recognised secure development practice and the OWASP Top 10 (item 49).</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Area</w:t>
            </w:r>
          </w:p>
        </w:tc>
        <w:tc>
          <w:tcPr>
            <w:tcW w:type="dxa" w:w="69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Measures in the offered system</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Authentication</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Username and password; passwords hashed with bcrypt (cost 12); configurable length and complexity; lockout after a configurable number of failed attempts; forced change after an administrator reset; directory (AD/LDAP) sign-in at deployment</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Sessions</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Signed tokens (RS256) valid 15 minutes, renewed through an httpOnly cookie; the access token is held in memory only; configurable idle timeout with automatic sign-out; one active session per user; every request re-checks the session, so sign-out and deactivation take effect immediately</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Authorisation</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Role-based permissions per page and action, editable in the Admin module; data scope by HQ, Sector or Battalion; enforced by the server on every request, never only in the browser; separation of duties (nobody approves their own report)</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 protection</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HTTPS/TLS for all traffic; evidence files, voice messages and photos encrypted at rest with AES-256-GCM; database storage encryption on the BGB servers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Integrity</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The filer edits only in Draft/Returned; before approval a reviewer may modify a report with a recorded reason, each changed field audited with its old and new value; finalised records cannot be altered or deleted; history, comments and audit tables append-only by database triggers; audit trail chained with SHA-256 and verifiable on demand; evidence fingerprinted (SHA-256) and re-checkable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Input and uploads</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Every request validated against a schema; database access only through parameterised queries; file type decided from the file's content, not its name (photos, video, PDF and office documents; macro-enabled documents refused); 50 MB per file and 500 MB per incident (configurable); antivirus scan hook for BGB's chosen engine (e.g. ClamAV)</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Hardening</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Security headers (Content Security Policy, frame, content-type, referrer), CORS limited to BGB addresses, rate limits (10 failed sign-ins per 15 minutes per address; 100 requests per minute per user), generic sign-in errors, dependency vulnerability audit</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Monitoring</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Separate application, HTTP and security logs; failed sign-ins, lockouts and permission denials recorded as security events; full audit trail in the application</w:t>
            </w:r>
          </w:p>
        </w:tc>
      </w:tr>
    </w:tbl>
    <w:p>
      <w:pPr>
        <w:spacing w:before="0" w:after="120"/>
      </w:pPr>
      <w:r>
        <w:rPr>
          <w:rFonts w:ascii="Arial" w:cs="Arial" w:eastAsia="Arial" w:hAnsi="Arial"/>
          <w:sz w:val="20"/>
          <w:szCs w:val="20"/>
        </w:rPr>
        <w:t xml:space="preserve"/>
      </w:r>
    </w:p>
    <w:p>
      <w:pPr>
        <w:keepNext/>
        <w:spacing w:before="120" w:after="60"/>
        <w:jc w:val="center"/>
      </w:pPr>
      <w:r>
        <w:drawing>
          <wp:inline distT="0" distB="0" distL="0" distR="0">
            <wp:extent cx="62865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86500" cy="3533775"/>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7. </w:t>
      </w:r>
      <w:r>
        <w:rPr>
          <w:rFonts w:ascii="Arial" w:cs="Arial" w:eastAsia="Arial" w:hAnsi="Arial"/>
          <w:sz w:val="18"/>
          <w:szCs w:val="18"/>
        </w:rPr>
        <w:t xml:space="preserve">Security layers: every request passes each check in order; every outcome is audited (items 4, 24–29, 49)</w:t>
      </w:r>
    </w:p>
    <w:p>
      <w:pPr>
        <w:spacing w:before="0" w:after="120"/>
        <w:jc w:val="both"/>
      </w:pPr>
      <w:r>
        <w:rPr>
          <w:rFonts w:ascii="Arial" w:cs="Arial" w:eastAsia="Arial" w:hAnsi="Arial"/>
          <w:sz w:val="20"/>
          <w:szCs w:val="20"/>
        </w:rPr>
        <w:t xml:space="preserve">Before production deployment an application security test and vulnerability assessment is carried out and the report provided; critical and high-risk findings are fixed before acceptance (item 50).</w:t>
      </w:r>
    </w:p>
    <w:p>
      <w:pPr>
        <w:pStyle w:val="Heading1"/>
        <w:keepNext/>
        <w:spacing w:before="300" w:after="120"/>
      </w:pPr>
      <w:r>
        <w:rPr>
          <w:rFonts w:ascii="Arial" w:cs="Arial" w:eastAsia="Arial" w:hAnsi="Arial"/>
          <w:b/>
          <w:bCs/>
          <w:color w:val="000000"/>
          <w:sz w:val="26"/>
          <w:szCs w:val="26"/>
        </w:rPr>
        <w:t xml:space="preserve">7.  Infrastructure requirements</w:t>
      </w:r>
    </w:p>
    <w:p>
      <w:pPr>
        <w:spacing w:before="0" w:after="120"/>
        <w:jc w:val="both"/>
      </w:pPr>
      <w:r>
        <w:rPr>
          <w:rFonts w:ascii="Arial" w:cs="Arial" w:eastAsia="Arial" w:hAnsi="Arial"/>
          <w:sz w:val="20"/>
          <w:szCs w:val="20"/>
        </w:rPr>
        <w:t xml:space="preserve">The infrastructure is dimensioned for the 500 concurrent users of item 38 with reserve capacity for growth, peak days and future modules, so that BGB does not need new hardware when use grows. Every figure below follows from a measurement or a stated assumption (7.1), and the purpose of each component, and what happens without it, is given in 7.3. A minimum configuration that meets item 38 without that reserve is shown alongside (7.2) so that BGB can compare costs. Final quantities are confirmed by the load test and agreed with BGB before procurement; virtual machines on BGB's existing virtualisation platform are suitable and normally the most economical option.</w:t>
      </w:r>
    </w:p>
    <w:p>
      <w:pPr>
        <w:pStyle w:val="Heading2"/>
        <w:keepNext/>
        <w:spacing w:before="200" w:after="100"/>
      </w:pPr>
      <w:r>
        <w:rPr>
          <w:rFonts w:ascii="Arial" w:cs="Arial" w:eastAsia="Arial" w:hAnsi="Arial"/>
          <w:b/>
          <w:bCs/>
          <w:color w:val="000000"/>
          <w:sz w:val="22"/>
          <w:szCs w:val="22"/>
        </w:rPr>
        <w:t xml:space="preserve">7.1  Workload basis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2600"/>
      </w:tblGrid>
      <w:tr>
        <w:trPr>
          <w:cantSplit/>
          <w:tblHeader/>
        </w:trPr>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Basis</w:t>
            </w:r>
          </w:p>
        </w:tc>
        <w:tc>
          <w:tcPr>
            <w:tcW w:type="dxa" w:w="47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Value</w:t>
            </w:r>
          </w:p>
        </w:tc>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Source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Concurrent active users</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500</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Item 38 (the highest figure in the specification)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User activity</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One action every 20 seconds on average; about 4 server requests per action (the dashboard makes 8, a list 2, an incident page 3–4); 2 background checks per minute (notifications, new messages)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Usage model of the application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Average load</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About 115 requests per second (500 × (4 ÷ 20 + 2 ÷ 60))</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Calculation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Peak load</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About 350 requests per second: three times the average, for shift changes and major incidents when most users open the dashboard at once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Assumption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Measured capacity</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One BIRDS application process answered more than 650 requests per second of this request mix at every load level tested, 95 % of them within 100 ms, without errors, with up to 100 simultaneous clients (demonstration data, 15-10-2026, one process on a current laptop processor)</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Measurement by the supplier</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Planning capacity</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350 requests per second per process: about half the measured value, allowing for slower server processor cores and for the larger data volume after years of use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Engineering margin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Incident volume</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20,000 incidents per year (about 55 per day across all BOPs)</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Assumption, to be confirmed by BGB</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Evidence per incident</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About 20 MB: 3 photographs (3 MB each), a video on one incident in three (30 MB), 1 document (0.5 MB)</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Typical phone and office files</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Database growth</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About 10 GB per year: audit trail 4.7 GB (60 entries per user per day, 430 bytes each), messages 3.3 GB, notifications 1.9 GB, incident records, history and evidence records under 0.3 GB</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Measured size per record × usage</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File storage growth</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About 0.5 TB per year: evidence 0.4 TB (20,000 × 20 MB) and voice messages 0.1 TB</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Calculation</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Retention</w:t>
            </w:r>
          </w:p>
        </w:tc>
        <w:tc>
          <w:tcPr>
            <w:tcW w:type="dxa" w:w="47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10 years (the default retention setting, configurable)</w:t>
            </w:r>
          </w:p>
        </w:tc>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System setting (item 44)</w:t>
            </w:r>
          </w:p>
        </w:tc>
      </w:tr>
    </w:tbl>
    <w:p>
      <w:pPr>
        <w:spacing w:before="0" w:after="120"/>
      </w:pPr>
      <w:r>
        <w:rPr>
          <w:rFonts w:ascii="Arial" w:cs="Arial" w:eastAsia="Arial" w:hAnsi="Arial"/>
          <w:sz w:val="20"/>
          <w:szCs w:val="20"/>
        </w:rPr>
        <w:t xml:space="preserve"/>
      </w:r>
    </w:p>
    <w:p>
      <w:pPr>
        <w:pStyle w:val="Heading2"/>
        <w:keepNext/>
        <w:spacing w:before="200" w:after="100"/>
      </w:pPr>
      <w:r>
        <w:rPr>
          <w:rFonts w:ascii="Arial" w:cs="Arial" w:eastAsia="Arial" w:hAnsi="Arial"/>
          <w:b/>
          <w:bCs/>
          <w:color w:val="000000"/>
          <w:sz w:val="22"/>
          <w:szCs w:val="22"/>
        </w:rPr>
        <w:t xml:space="preserve">7.2  Configuration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500"/>
        <w:gridCol w:w="700"/>
        <w:gridCol w:w="3500"/>
        <w:gridCol w:w="3206"/>
      </w:tblGrid>
      <w:tr>
        <w:trPr>
          <w:cantSplit/>
          <w:tblHeader/>
        </w:trPr>
        <w:tc>
          <w:tcPr>
            <w:tcW w:type="dxa" w:w="2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Component</w:t>
            </w:r>
          </w:p>
        </w:tc>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Qty</w:t>
            </w:r>
          </w:p>
        </w:tc>
        <w:tc>
          <w:tcPr>
            <w:tcW w:type="dxa" w:w="3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Recommended: 500 users with reserve</w:t>
            </w:r>
          </w:p>
        </w:tc>
        <w:tc>
          <w:tcPr>
            <w:tcW w:type="dxa" w:w="32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Minimum: 500 users, no reserve</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Reverse proxy / load balancer</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 vCPU, 4 GB RAM, 50 GB</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 vCPU, 4 GB RAM, 50 GB</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Application server</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8 vCPU, 16 GB RAM, 100 GB</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 vCPU, 8 GB RAM, 100 GB</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Database server (primary + standby)</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8 vCPU, 32 GB RAM, 500 GB SSD</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 vCPU, 16 GB RAM, 300 GB SSD</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File storage (NAS or object storage)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 TB usable, RAID, expandable</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1.5 TB usable, RAID, expandable</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Backup storage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 TB usable</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3 TB usable</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Supporting services (antivirus, call relay, e-mail relay)</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 vCPU, 8 GB RAM, 100 GB</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 vCPU, 6 GB RAM, 100 GB</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DR site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t>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 application server and 1 database server as above; file storage and backup storage equal to the main site</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As the minimum above</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Total, main site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40 vCPU, 112 GB RAM</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22 vCPU, 62 GB RAM</w:t>
            </w:r>
          </w:p>
        </w:tc>
      </w:tr>
      <w:tr>
        <w:trPr>
          <w:cantSplit/>
        </w:trPr>
        <w:tc>
          <w:tcPr>
            <w:tcW w:type="dxa" w:w="2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Total, DR site</w:t>
            </w:r>
          </w:p>
        </w:tc>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
            </w:r>
          </w:p>
        </w:tc>
        <w:tc>
          <w:tcPr>
            <w:tcW w:type="dxa" w:w="3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16 vCPU, 48 GB RAM</w:t>
            </w:r>
          </w:p>
        </w:tc>
        <w:tc>
          <w:tcPr>
            <w:tcW w:type="dxa" w:w="32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8 vCPU, 24 GB RAM</w:t>
            </w:r>
          </w:p>
        </w:tc>
      </w:tr>
    </w:tbl>
    <w:p>
      <w:pPr>
        <w:spacing w:before="0" w:after="120"/>
      </w:pPr>
      <w:r>
        <w:rPr>
          <w:rFonts w:ascii="Arial" w:cs="Arial" w:eastAsia="Arial" w:hAnsi="Arial"/>
          <w:sz w:val="20"/>
          <w:szCs w:val="20"/>
        </w:rPr>
        <w:t xml:space="preserve"/>
      </w:r>
    </w:p>
    <w:p>
      <w:pPr>
        <w:spacing w:before="0" w:after="120"/>
        <w:jc w:val="both"/>
      </w:pPr>
      <w:r>
        <w:rPr>
          <w:rFonts w:ascii="Arial" w:cs="Arial" w:eastAsia="Arial" w:hAnsi="Arial"/>
          <w:sz w:val="20"/>
          <w:szCs w:val="20"/>
        </w:rPr>
        <w:t xml:space="preserve">The minimum configuration meets item 38 with the same redundancy but without reserve: one application server then carries the full peak with little room for simultaneous large uploads and reports, and any growth in users needs additional servers. The recommended configuration is the one this proposal is based on.</w:t>
      </w:r>
    </w:p>
    <w:p>
      <w:pPr>
        <w:pStyle w:val="Heading2"/>
        <w:keepNext/>
        <w:spacing w:before="200" w:after="100"/>
      </w:pPr>
      <w:r>
        <w:rPr>
          <w:rFonts w:ascii="Arial" w:cs="Arial" w:eastAsia="Arial" w:hAnsi="Arial"/>
          <w:b/>
          <w:bCs/>
          <w:color w:val="000000"/>
          <w:sz w:val="22"/>
          <w:szCs w:val="22"/>
        </w:rPr>
        <w:t xml:space="preserve">7.3  Why each component is needed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300"/>
        <w:gridCol w:w="4306"/>
        <w:gridCol w:w="3300"/>
      </w:tblGrid>
      <w:tr>
        <w:trPr>
          <w:cantSplit/>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Component</w:t>
            </w:r>
          </w:p>
        </w:tc>
        <w:tc>
          <w:tcPr>
            <w:tcW w:type="dxa" w:w="43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Why it is needed and how it is sized</w:t>
            </w:r>
          </w:p>
        </w:tc>
        <w:tc>
          <w:tcPr>
            <w:tcW w:type="dxa" w:w="3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Without it</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Reverse proxy / load balancer (2)</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The single entry point: terminates HTTPS (item 27), adds security headers, spreads requests over the application servers and keeps the 500 live connections used for messages and calls. TLS for about 350 requests per second uses a fraction of 2 vCPU; smaller virtual machines are not practical. Two, sharing one virtual address, because a single entry point would be a single point of failure (item 36).</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Any fault or patch on a single proxy stops BIRDS for every user.</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Application servers (2)</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Run all of BIRDS: rules, permissions, workflow, audit, file handling. Sized so that one server alone carries the full peak with ample reserve: 8 vCPU run 8 processes, 2,800 requests per second of planning capacity against a peak of about 350. The rest covers operations outside the request mix: report and Excel generation, printing with evidence, encryption and decryption of evidence, the nightly archiving job. 16 GB: about 2.5 GB for 8 processes, plus uploads, which are checked in memory before storage (up to 10 files of 50 MB per request, so 10 simultaneous uploads can take 5 GB), plus the operating system.</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With one server, a fault or an update stops BIRDS (items 36, 40). With smaller servers, simultaneous uploads and large reports slow everyone down.</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Database servers (primary and standby)</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Hold all records, history, audit trail and settings (item 30). 32 GB so that the active data (about 10 GB a year) stays in memory and searches and reports read from memory, keeping normal transactions under 3 seconds (item 39) as data grows. 8 vCPU for report aggregations and the connections of 16 application processes. 500 GB SSD: about 100 GB of data after 10 years, with room for growth, plus index rebuilds, transaction log and maintenance space; SSD because database response time depends on disk latency. The standby receives every change continuously and takes over if the primary fails (item 36; recovery point 15 minutes).</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Without the standby, a database fault means restoring from backup: hours of downtime and possible loss of the day's records (items 36, 40).</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File storage</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Evidence files, voice messages and photos, encrypted by the application (items 10, 33). 2 TB covers about 4 years at 0.5 TB a year; expandable, so BGB buys capacity as it is used instead of for 10 years at once. RAID protects against a disk failure.</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Evidence cannot be stored centrally; a disk failure loses evidence.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Backup storage</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Automated backups (item 34) on storage separate from the live data, so that one failure cannot destroy both. Twice the live data: one full copy of the evidence (files never change, so each is copied once) and 30 days of daily database backups with the continuous transaction log for point-in-time recovery.</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No recovery from deletion, corruption, ransomware or a storage failure.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Supporting services (1)</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Antivirus engine that checks every upload (item 49; about 3 GB RAM for its signature database); relay for voice calls across network segments (Annex B, section 3); e-mail relay if BGB has none. Light services, so one virtual machine.</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Not duplicated: a fault affects upload scanning, calls or e-mail for its duration; incident recording, review and reporting continue.</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DR site</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Restores service if the main site is lost (item 35). One application server is enough because one server carries the full peak; the database is the same size as the main one so that it can take over; storage holds the replica of the files and a copy of the backups.</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Loss of the main site (fire, power, flood) stops BIRDS until it is rebuilt.</w:t>
            </w:r>
          </w:p>
        </w:tc>
      </w:tr>
    </w:tbl>
    <w:p>
      <w:pPr>
        <w:spacing w:before="0" w:after="120"/>
      </w:pPr>
      <w:r>
        <w:rPr>
          <w:rFonts w:ascii="Arial" w:cs="Arial" w:eastAsia="Arial" w:hAnsi="Arial"/>
          <w:sz w:val="20"/>
          <w:szCs w:val="20"/>
        </w:rPr>
        <w:t xml:space="preserve"/>
      </w:r>
    </w:p>
    <w:p>
      <w:pPr>
        <w:spacing w:before="0" w:after="120"/>
        <w:jc w:val="both"/>
      </w:pPr>
      <w:r>
        <w:rPr>
          <w:rFonts w:ascii="Arial" w:cs="Arial" w:eastAsia="Arial" w:hAnsi="Arial"/>
          <w:sz w:val="20"/>
          <w:szCs w:val="20"/>
        </w:rPr>
        <w:t xml:space="preserve">Network: about 20 Mbit/s for 500 users' normal use, so at least 100 Mbit/s to the data centre to keep evidence uploads and downloads quick (a 30 MB video in under 3 seconds); 1 Gbit/s between the servers; at least 20 Mbit/s between the main and DR sites for continuous replication. HTTPS (443) from users to the proxy; internal ports between proxy, application, database and storage only.</w:t>
      </w:r>
    </w:p>
    <w:p>
      <w:pPr>
        <w:spacing w:before="0" w:after="120"/>
        <w:jc w:val="both"/>
      </w:pPr>
      <w:r>
        <w:rPr>
          <w:rFonts w:ascii="Arial" w:cs="Arial" w:eastAsia="Arial" w:hAnsi="Arial"/>
          <w:sz w:val="20"/>
          <w:szCs w:val="20"/>
        </w:rPr>
        <w:t xml:space="preserve">Operating system: Ubuntu Server LTS (22.04 or 24.04) or another Linux distribution supported by BGB. Client devices: current Google Chrome, Microsoft Edge or Mozilla Firefox. Infrastructure for the value additions (voice calls, push notifications, mobile use) is listed in Annex B, section 3.</w:t>
      </w:r>
    </w:p>
    <w:p>
      <w:pPr>
        <w:spacing w:before="0" w:after="120"/>
        <w:jc w:val="both"/>
      </w:pPr>
      <w:r>
        <w:rPr>
          <w:rFonts w:ascii="Arial" w:cs="Arial" w:eastAsia="Arial" w:hAnsi="Arial"/>
          <w:sz w:val="20"/>
          <w:szCs w:val="20"/>
        </w:rPr>
        <w:t xml:space="preserve">Map display (items 8 and 18): BIRDS needs no internet and no separate map server for its maps. The application servers hold one file with the vector map of Bangladesh and the border strip (OpenStreetMap data, about 340 MB, street level), and the browser draws the map from it, with place names in English or Bangla. The demonstration runs the same way, without internet. Newer map data is installed by replacing the file (one command, on any computer with internet).</w:t>
      </w:r>
    </w:p>
    <w:p>
      <w:pPr>
        <w:pStyle w:val="Heading1"/>
        <w:keepNext/>
        <w:spacing w:before="300" w:after="120"/>
      </w:pPr>
      <w:r>
        <w:rPr>
          <w:rFonts w:ascii="Arial" w:cs="Arial" w:eastAsia="Arial" w:hAnsi="Arial"/>
          <w:b/>
          <w:bCs/>
          <w:color w:val="000000"/>
          <w:sz w:val="26"/>
          <w:szCs w:val="26"/>
        </w:rPr>
        <w:t xml:space="preserve">8.  Availability, backup and disaster recovery</w:t>
      </w:r>
    </w:p>
    <w:p>
      <w:pPr>
        <w:pStyle w:val="Heading2"/>
        <w:keepNext/>
        <w:spacing w:before="200" w:after="100"/>
      </w:pPr>
      <w:r>
        <w:rPr>
          <w:rFonts w:ascii="Arial" w:cs="Arial" w:eastAsia="Arial" w:hAnsi="Arial"/>
          <w:b/>
          <w:bCs/>
          <w:color w:val="000000"/>
          <w:sz w:val="22"/>
          <w:szCs w:val="22"/>
        </w:rPr>
        <w:t xml:space="preserve">8.1  High availability</w:t>
      </w:r>
    </w:p>
    <w:p>
      <w:pPr>
        <w:spacing w:before="0" w:after="120"/>
        <w:jc w:val="both"/>
      </w:pPr>
      <w:r>
        <w:rPr>
          <w:rFonts w:ascii="Arial" w:cs="Arial" w:eastAsia="Arial" w:hAnsi="Arial"/>
          <w:sz w:val="20"/>
          <w:szCs w:val="20"/>
        </w:rPr>
        <w:t xml:space="preserve">Two or more application servers behind the load balancer and a standby database remove single points of failure for the critical components (item 36). Because the application keeps no state in memory, a failed application server is simply taken out of rotation. The database standby is promoted if the primary fails. Planned updates are applied one server at a time. Together with monitoring and maintenance procedures this supports the 99.5 % availability target of item 40.</w:t>
      </w:r>
    </w:p>
    <w:p>
      <w:pPr>
        <w:pStyle w:val="Heading2"/>
        <w:keepNext/>
        <w:spacing w:before="200" w:after="100"/>
      </w:pPr>
      <w:r>
        <w:rPr>
          <w:rFonts w:ascii="Arial" w:cs="Arial" w:eastAsia="Arial" w:hAnsi="Arial"/>
          <w:b/>
          <w:bCs/>
          <w:color w:val="000000"/>
          <w:sz w:val="22"/>
          <w:szCs w:val="22"/>
        </w:rPr>
        <w:t xml:space="preserve">8.2  Backup</w:t>
      </w:r>
    </w:p>
    <w:p>
      <w:pPr>
        <w:spacing w:before="0" w:after="80"/>
        <w:ind w:left="400" w:hanging="400"/>
        <w:jc w:val="both"/>
      </w:pPr>
      <w:r>
        <w:rPr>
          <w:rFonts w:ascii="Arial" w:cs="Arial" w:eastAsia="Arial" w:hAnsi="Arial"/>
          <w:sz w:val="20"/>
          <w:szCs w:val="20"/>
        </w:rPr>
        <w:t xml:space="preserve">a.  </w:t>
      </w:r>
      <w:r>
        <w:rPr>
          <w:rFonts w:ascii="Arial" w:cs="Arial" w:eastAsia="Arial" w:hAnsi="Arial"/>
          <w:sz w:val="20"/>
          <w:szCs w:val="20"/>
        </w:rPr>
        <w:t xml:space="preserve">Automated, scheduled backup of the database and of the evidence files (item 34); frequency configurable in the Admin module (the setting already exists).</w:t>
      </w:r>
    </w:p>
    <w:p>
      <w:pPr>
        <w:spacing w:before="0" w:after="80"/>
        <w:ind w:left="400" w:hanging="400"/>
        <w:jc w:val="both"/>
      </w:pPr>
      <w:r>
        <w:rPr>
          <w:rFonts w:ascii="Arial" w:cs="Arial" w:eastAsia="Arial" w:hAnsi="Arial"/>
          <w:sz w:val="20"/>
          <w:szCs w:val="20"/>
        </w:rPr>
        <w:t xml:space="preserve">b.  </w:t>
      </w:r>
      <w:r>
        <w:rPr>
          <w:rFonts w:ascii="Arial" w:cs="Arial" w:eastAsia="Arial" w:hAnsi="Arial"/>
          <w:sz w:val="20"/>
          <w:szCs w:val="20"/>
        </w:rPr>
        <w:t xml:space="preserve">Continuous archiving of the database transaction log (WAL) between full backups, so the database can be restored to any point in time.</w:t>
      </w:r>
    </w:p>
    <w:p>
      <w:pPr>
        <w:spacing w:before="0" w:after="80"/>
        <w:ind w:left="400" w:hanging="400"/>
        <w:jc w:val="both"/>
      </w:pPr>
      <w:r>
        <w:rPr>
          <w:rFonts w:ascii="Arial" w:cs="Arial" w:eastAsia="Arial" w:hAnsi="Arial"/>
          <w:sz w:val="20"/>
          <w:szCs w:val="20"/>
        </w:rPr>
        <w:t xml:space="preserve">c.  </w:t>
      </w:r>
      <w:r>
        <w:rPr>
          <w:rFonts w:ascii="Arial" w:cs="Arial" w:eastAsia="Arial" w:hAnsi="Arial"/>
          <w:sz w:val="20"/>
          <w:szCs w:val="20"/>
        </w:rPr>
        <w:t xml:space="preserve">Backups encrypted and copied to separate backup storage and to the DR site; each run recorded in the audit trail.</w:t>
      </w:r>
    </w:p>
    <w:p>
      <w:pPr>
        <w:spacing w:before="0" w:after="80"/>
        <w:ind w:left="400" w:hanging="400"/>
        <w:jc w:val="both"/>
      </w:pPr>
      <w:r>
        <w:rPr>
          <w:rFonts w:ascii="Arial" w:cs="Arial" w:eastAsia="Arial" w:hAnsi="Arial"/>
          <w:sz w:val="20"/>
          <w:szCs w:val="20"/>
        </w:rPr>
        <w:t xml:space="preserve">d.  </w:t>
      </w:r>
      <w:r>
        <w:rPr>
          <w:rFonts w:ascii="Arial" w:cs="Arial" w:eastAsia="Arial" w:hAnsi="Arial"/>
          <w:sz w:val="20"/>
          <w:szCs w:val="20"/>
        </w:rPr>
        <w:t xml:space="preserve">Restore tests at regular intervals to prove that backups are usable.</w:t>
      </w:r>
    </w:p>
    <w:p>
      <w:pPr>
        <w:pStyle w:val="Heading2"/>
        <w:keepNext/>
        <w:spacing w:before="200" w:after="100"/>
      </w:pPr>
      <w:r>
        <w:rPr>
          <w:rFonts w:ascii="Arial" w:cs="Arial" w:eastAsia="Arial" w:hAnsi="Arial"/>
          <w:b/>
          <w:bCs/>
          <w:color w:val="000000"/>
          <w:sz w:val="22"/>
          <w:szCs w:val="22"/>
        </w:rPr>
        <w:t xml:space="preserve">8.3  Disaster recovery</w:t>
      </w:r>
    </w:p>
    <w:p>
      <w:pPr>
        <w:spacing w:before="0" w:after="120"/>
        <w:jc w:val="both"/>
      </w:pPr>
      <w:r>
        <w:rPr>
          <w:rFonts w:ascii="Arial" w:cs="Arial" w:eastAsia="Arial" w:hAnsi="Arial"/>
          <w:sz w:val="20"/>
          <w:szCs w:val="20"/>
        </w:rPr>
        <w:t xml:space="preserve">The database is replicated continuously to the DR site and evidence files are synchronised to DR storage (item 35). If the main site is lost, the DR database is promoted, the application is started at the DR site, and users are redirected. The step-by-step procedure is delivered in the Backup/Recovery Procedure and rehearsed with BGB.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Recovery target</w:t>
            </w:r>
          </w:p>
        </w:tc>
        <w:tc>
          <w:tcPr>
            <w:tcW w:type="dxa" w:w="69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Value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Recovery point objective (data loss at most)</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15 minutes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Recovery time objective (service restored within)</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 hours</w:t>
            </w:r>
          </w:p>
        </w:tc>
      </w:tr>
    </w:tbl>
    <w:p>
      <w:pPr>
        <w:spacing w:before="0" w:after="120"/>
      </w:pPr>
      <w:r>
        <w:rPr>
          <w:rFonts w:ascii="Arial" w:cs="Arial" w:eastAsia="Arial" w:hAnsi="Arial"/>
          <w:sz w:val="20"/>
          <w:szCs w:val="20"/>
        </w:rPr>
        <w:t xml:space="preserve"/>
      </w:r>
    </w:p>
    <w:p>
      <w:pPr>
        <w:keepNext/>
        <w:spacing w:before="120" w:after="60"/>
        <w:jc w:val="center"/>
      </w:pPr>
      <w:r>
        <w:drawing>
          <wp:inline distT="0" distB="0" distL="0" distR="0">
            <wp:extent cx="628650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86500" cy="4095750"/>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8. </w:t>
      </w:r>
      <w:r>
        <w:rPr>
          <w:rFonts w:ascii="Arial" w:cs="Arial" w:eastAsia="Arial" w:hAnsi="Arial"/>
          <w:sz w:val="18"/>
          <w:szCs w:val="18"/>
        </w:rPr>
        <w:t xml:space="preserve">Backup, replication and disaster recovery, set up during implementation (items 34, 35, 36)</w:t>
      </w:r>
    </w:p>
    <w:p>
      <w:pPr>
        <w:pStyle w:val="Heading1"/>
        <w:keepNext/>
        <w:spacing w:before="300" w:after="120"/>
      </w:pPr>
      <w:r>
        <w:rPr>
          <w:rFonts w:ascii="Arial" w:cs="Arial" w:eastAsia="Arial" w:hAnsi="Arial"/>
          <w:b/>
          <w:bCs/>
          <w:color w:val="000000"/>
          <w:sz w:val="26"/>
          <w:szCs w:val="26"/>
        </w:rPr>
        <w:t xml:space="preserve">9.  Performance and scalability</w:t>
      </w:r>
    </w:p>
    <w:p>
      <w:pPr>
        <w:spacing w:before="0" w:after="120"/>
        <w:jc w:val="both"/>
      </w:pPr>
      <w:r>
        <w:rPr>
          <w:rFonts w:ascii="Arial" w:cs="Arial" w:eastAsia="Arial" w:hAnsi="Arial"/>
          <w:sz w:val="20"/>
          <w:szCs w:val="20"/>
        </w:rPr>
        <w:t xml:space="preserve">Application servers can be added behind the load balancer, the database has indexes for every common search, every list is paged, and files are kept outside the database, so users, incidents, attachments, units and history can grow without redesign (item 37). Before acceptance a load test is run at 100, 250 and 500 concurrent users with realistic incident, search and report traffic, on the installed BGB infrastructure. Acceptance criterion: normal transactions respond within 3 seconds at 500 concurrent users, excluding large file transfers and complex reports (items 38, 39). The load-test report is provided.</w:t>
      </w:r>
    </w:p>
    <w:p>
      <w:pPr>
        <w:pStyle w:val="Heading1"/>
        <w:keepNext/>
        <w:spacing w:before="300" w:after="120"/>
      </w:pPr>
      <w:r>
        <w:rPr>
          <w:rFonts w:ascii="Arial" w:cs="Arial" w:eastAsia="Arial" w:hAnsi="Arial"/>
          <w:b/>
          <w:bCs/>
          <w:color w:val="000000"/>
          <w:sz w:val="26"/>
          <w:szCs w:val="26"/>
        </w:rPr>
        <w:t xml:space="preserve">10.  Integration and future expansion</w:t>
      </w:r>
    </w:p>
    <w:p>
      <w:pPr>
        <w:spacing w:before="0" w:after="80"/>
        <w:ind w:left="400" w:hanging="400"/>
        <w:jc w:val="both"/>
      </w:pPr>
      <w:r>
        <w:rPr>
          <w:rFonts w:ascii="Arial" w:cs="Arial" w:eastAsia="Arial" w:hAnsi="Arial"/>
          <w:sz w:val="20"/>
          <w:szCs w:val="20"/>
        </w:rPr>
        <w:t xml:space="preserve">a.  </w:t>
      </w:r>
      <w:r>
        <w:rPr>
          <w:rFonts w:ascii="Arial" w:cs="Arial" w:eastAsia="Arial" w:hAnsi="Arial"/>
          <w:sz w:val="20"/>
          <w:szCs w:val="20"/>
        </w:rPr>
        <w:t xml:space="preserve">REST API (/api/v1) secured with the same tokens and permission checks as the user interface, and documented in OpenAPI 3.1 with an interactive console (item 31).</w:t>
      </w:r>
    </w:p>
    <w:p>
      <w:pPr>
        <w:spacing w:before="0" w:after="80"/>
        <w:ind w:left="400" w:hanging="400"/>
        <w:jc w:val="both"/>
      </w:pPr>
      <w:r>
        <w:rPr>
          <w:rFonts w:ascii="Arial" w:cs="Arial" w:eastAsia="Arial" w:hAnsi="Arial"/>
          <w:sz w:val="20"/>
          <w:szCs w:val="20"/>
        </w:rPr>
        <w:t xml:space="preserve">b.  </w:t>
      </w:r>
      <w:r>
        <w:rPr>
          <w:rFonts w:ascii="Arial" w:cs="Arial" w:eastAsia="Arial" w:hAnsi="Arial"/>
          <w:sz w:val="20"/>
          <w:szCs w:val="20"/>
        </w:rPr>
        <w:t xml:space="preserve">Directory sign-in: users sign in with their BGB directory account over LDAPS; directory groups are mapped to BIRDS roles and scopes; accounts are created on first sign-in; local accounts can be kept as a fallback if BGB wishes (item 32).</w:t>
      </w:r>
    </w:p>
    <w:p>
      <w:pPr>
        <w:spacing w:before="0" w:after="80"/>
        <w:ind w:left="400" w:hanging="400"/>
        <w:jc w:val="both"/>
      </w:pPr>
      <w:r>
        <w:rPr>
          <w:rFonts w:ascii="Arial" w:cs="Arial" w:eastAsia="Arial" w:hAnsi="Arial"/>
          <w:sz w:val="20"/>
          <w:szCs w:val="20"/>
        </w:rPr>
        <w:t xml:space="preserve">c.  </w:t>
      </w:r>
      <w:r>
        <w:rPr>
          <w:rFonts w:ascii="Arial" w:cs="Arial" w:eastAsia="Arial" w:hAnsi="Arial"/>
          <w:sz w:val="20"/>
          <w:szCs w:val="20"/>
        </w:rPr>
        <w:t xml:space="preserve">Future systems (item 58): mobile applications, surveillance systems, digital evidence systems and other BGB systems connect through the documented API; the system already includes realtime messaging, voice calls and push notifications and is installable on phones, showing this extensibility.</w:t>
      </w:r>
    </w:p>
    <w:p>
      <w:pPr>
        <w:pStyle w:val="Heading1"/>
        <w:keepNext/>
        <w:spacing w:before="300" w:after="120"/>
      </w:pPr>
      <w:r>
        <w:rPr>
          <w:rFonts w:ascii="Arial" w:cs="Arial" w:eastAsia="Arial" w:hAnsi="Arial"/>
          <w:b/>
          <w:bCs/>
          <w:color w:val="000000"/>
          <w:sz w:val="26"/>
          <w:szCs w:val="26"/>
        </w:rPr>
        <w:t xml:space="preserve">11.  Implementation methodology and work plan</w:t>
      </w:r>
    </w:p>
    <w:p>
      <w:pPr>
        <w:spacing w:before="0" w:after="120"/>
        <w:jc w:val="both"/>
      </w:pPr>
      <w:r>
        <w:rPr>
          <w:rFonts w:ascii="Arial" w:cs="Arial" w:eastAsia="Arial" w:hAnsi="Arial"/>
          <w:sz w:val="20"/>
          <w:szCs w:val="20"/>
        </w:rPr>
        <w:t xml:space="preserve">Implementation follows the phases below. Durations are indicative and will be fixed in the work plan agreed at project start.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700"/>
        <w:gridCol w:w="3300"/>
        <w:gridCol w:w="4106"/>
        <w:gridCol w:w="1800"/>
      </w:tblGrid>
      <w:tr>
        <w:trPr>
          <w:cantSplit/>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w:t>
            </w:r>
          </w:p>
        </w:tc>
        <w:tc>
          <w:tcPr>
            <w:tcW w:type="dxa" w:w="3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Phase</w:t>
            </w:r>
          </w:p>
        </w:tc>
        <w:tc>
          <w:tcPr>
            <w:tcW w:type="dxa" w:w="41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Main activities</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Weeks</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Mobilisation and requirement confirmation</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Kick-off, confirm workflow, roles, hierarchy, categories, report formats and notification rules with BGB</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1–2</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Configuration and customisation</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Configure hierarchy, categories, roles and policies; customise forms, reports and workflow to BGB requirements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2–5</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3</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Infrastructure and installation</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Install servers, database replication, storage, proxy and TLS at the main and DR sites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4–6</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Integration</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Directory (AD/LDAP), SMTP relay, antivirus engine, current offline map data</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5–6</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5</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 migration (if applicable)</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Import existing incident records and users after cleansing and validation</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5–7</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6</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Testing</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System testing, security test and vulnerability assessment, load test, backup/restore and DR rehearsal</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6–8</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7</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User acceptance test</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Run the approved UAT test cases with BGB; fix findings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8–9</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8</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Training</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Administrator, operator and end-user training</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9–10</w:t>
            </w:r>
          </w:p>
        </w:tc>
      </w:tr>
      <w:tr>
        <w:trPr>
          <w:cantSplit/>
        </w:trP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9</w:t>
            </w:r>
          </w:p>
        </w:tc>
        <w:tc>
          <w:tcPr>
            <w:tcW w:type="dxa" w:w="33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Go-live and commissioning</w:t>
            </w:r>
          </w:p>
        </w:tc>
        <w:tc>
          <w:tcPr>
            <w:tcW w:type="dxa" w:w="41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Production deployment, hypercare support, handover of source code and documents</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10</w:t>
            </w:r>
          </w:p>
        </w:tc>
      </w:tr>
    </w:tbl>
    <w:p>
      <w:pPr>
        <w:spacing w:before="0" w:after="120"/>
      </w:pPr>
      <w:r>
        <w:rPr>
          <w:rFonts w:ascii="Arial" w:cs="Arial" w:eastAsia="Arial" w:hAnsi="Arial"/>
          <w:sz w:val="20"/>
          <w:szCs w:val="20"/>
        </w:rPr>
        <w:t xml:space="preserve"/>
      </w:r>
    </w:p>
    <w:p>
      <w:pPr>
        <w:keepNext/>
        <w:spacing w:before="120" w:after="60"/>
        <w:jc w:val="center"/>
      </w:pPr>
      <w:r>
        <w:drawing>
          <wp:inline distT="0" distB="0" distL="0" distR="0">
            <wp:extent cx="62865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286500" cy="3067050"/>
                    </a:xfrm>
                    <a:prstGeom prst="rect">
                      <a:avLst/>
                    </a:prstGeom>
                  </pic:spPr>
                </pic:pic>
              </a:graphicData>
            </a:graphic>
          </wp:inline>
        </w:drawing>
      </w:r>
    </w:p>
    <w:p>
      <w:pPr>
        <w:spacing w:before="0" w:after="200"/>
        <w:jc w:val="center"/>
      </w:pPr>
      <w:r>
        <w:rPr>
          <w:rFonts w:ascii="Arial" w:cs="Arial" w:eastAsia="Arial" w:hAnsi="Arial"/>
          <w:b/>
          <w:bCs/>
          <w:sz w:val="18"/>
          <w:szCs w:val="18"/>
        </w:rPr>
        <w:t xml:space="preserve">Figure 9. </w:t>
      </w:r>
      <w:r>
        <w:rPr>
          <w:rFonts w:ascii="Arial" w:cs="Arial" w:eastAsia="Arial" w:hAnsi="Arial"/>
          <w:sz w:val="18"/>
          <w:szCs w:val="18"/>
        </w:rPr>
        <w:t xml:space="preserve">Indicative work plan (item 56)</w:t>
      </w:r>
    </w:p>
    <w:p>
      <w:pPr>
        <w:pStyle w:val="Heading1"/>
        <w:keepNext/>
        <w:spacing w:before="300" w:after="120"/>
      </w:pPr>
      <w:r>
        <w:rPr>
          <w:rFonts w:ascii="Arial" w:cs="Arial" w:eastAsia="Arial" w:hAnsi="Arial"/>
          <w:b/>
          <w:bCs/>
          <w:color w:val="000000"/>
          <w:sz w:val="26"/>
          <w:szCs w:val="26"/>
        </w:rPr>
        <w:t xml:space="preserve">12.  Testing and quality assurance</w:t>
      </w:r>
    </w:p>
    <w:p>
      <w:pPr>
        <w:spacing w:before="0" w:after="80"/>
        <w:ind w:left="400" w:hanging="400"/>
        <w:jc w:val="both"/>
      </w:pPr>
      <w:r>
        <w:rPr>
          <w:rFonts w:ascii="Arial" w:cs="Arial" w:eastAsia="Arial" w:hAnsi="Arial"/>
          <w:sz w:val="20"/>
          <w:szCs w:val="20"/>
        </w:rPr>
        <w:t xml:space="preserve">a.  </w:t>
      </w:r>
      <w:r>
        <w:rPr>
          <w:rFonts w:ascii="Arial" w:cs="Arial" w:eastAsia="Arial" w:hAnsi="Arial"/>
          <w:sz w:val="20"/>
          <w:szCs w:val="20"/>
        </w:rPr>
        <w:t xml:space="preserve">Automated tests: the server has an automated test suite (171 tests at the time of this proposal) covering authentication, permissions, workflow, evidence, audit, reports and messaging, plus a check that the API documentation matches the code; the main user journeys are tested in Chrome, Edge and Firefox and on phone, tablet and desktop screen sizes.</w:t>
      </w:r>
    </w:p>
    <w:p>
      <w:pPr>
        <w:spacing w:before="0" w:after="80"/>
        <w:ind w:left="400" w:hanging="400"/>
        <w:jc w:val="both"/>
      </w:pPr>
      <w:r>
        <w:rPr>
          <w:rFonts w:ascii="Arial" w:cs="Arial" w:eastAsia="Arial" w:hAnsi="Arial"/>
          <w:sz w:val="20"/>
          <w:szCs w:val="20"/>
        </w:rPr>
        <w:t xml:space="preserve">b.  </w:t>
      </w:r>
      <w:r>
        <w:rPr>
          <w:rFonts w:ascii="Arial" w:cs="Arial" w:eastAsia="Arial" w:hAnsi="Arial"/>
          <w:sz w:val="20"/>
          <w:szCs w:val="20"/>
        </w:rPr>
        <w:t xml:space="preserve">Security: secure code review, dependency vulnerability audit, OWASP Top 10 assessment and vulnerability scan before production (items 49, 50).</w:t>
      </w:r>
    </w:p>
    <w:p>
      <w:pPr>
        <w:spacing w:before="0" w:after="80"/>
        <w:ind w:left="400" w:hanging="400"/>
        <w:jc w:val="both"/>
      </w:pPr>
      <w:r>
        <w:rPr>
          <w:rFonts w:ascii="Arial" w:cs="Arial" w:eastAsia="Arial" w:hAnsi="Arial"/>
          <w:sz w:val="20"/>
          <w:szCs w:val="20"/>
        </w:rPr>
        <w:t xml:space="preserve">c.  </w:t>
      </w:r>
      <w:r>
        <w:rPr>
          <w:rFonts w:ascii="Arial" w:cs="Arial" w:eastAsia="Arial" w:hAnsi="Arial"/>
          <w:sz w:val="20"/>
          <w:szCs w:val="20"/>
        </w:rPr>
        <w:t xml:space="preserve">Performance: load test at 100, 250 and 500 concurrent users (items 38, 39).</w:t>
      </w:r>
    </w:p>
    <w:p>
      <w:pPr>
        <w:spacing w:before="0" w:after="80"/>
        <w:ind w:left="400" w:hanging="400"/>
        <w:jc w:val="both"/>
      </w:pPr>
      <w:r>
        <w:rPr>
          <w:rFonts w:ascii="Arial" w:cs="Arial" w:eastAsia="Arial" w:hAnsi="Arial"/>
          <w:sz w:val="20"/>
          <w:szCs w:val="20"/>
        </w:rPr>
        <w:t xml:space="preserve">d.  </w:t>
      </w:r>
      <w:r>
        <w:rPr>
          <w:rFonts w:ascii="Arial" w:cs="Arial" w:eastAsia="Arial" w:hAnsi="Arial"/>
          <w:sz w:val="20"/>
          <w:szCs w:val="20"/>
        </w:rPr>
        <w:t xml:space="preserve">Acceptance: functional acceptance test (UAT) against the approved requirements and test cases; final acceptance on its successful completion (item 57).</w:t>
      </w:r>
    </w:p>
    <w:p>
      <w:pPr>
        <w:pStyle w:val="Heading1"/>
        <w:keepNext/>
        <w:spacing w:before="300" w:after="120"/>
      </w:pPr>
      <w:r>
        <w:rPr>
          <w:rFonts w:ascii="Arial" w:cs="Arial" w:eastAsia="Arial" w:hAnsi="Arial"/>
          <w:b/>
          <w:bCs/>
          <w:color w:val="000000"/>
          <w:sz w:val="26"/>
          <w:szCs w:val="26"/>
        </w:rPr>
        <w:t xml:space="preserve">13.  Training</w:t>
      </w:r>
    </w:p>
    <w:p>
      <w:pPr>
        <w:spacing w:before="0" w:after="120"/>
        <w:jc w:val="both"/>
      </w:pPr>
      <w:r>
        <w:rPr>
          <w:rFonts w:ascii="Arial" w:cs="Arial" w:eastAsia="Arial" w:hAnsi="Arial"/>
          <w:sz w:val="20"/>
          <w:szCs w:val="20"/>
        </w:rPr>
        <w:t xml:space="preserve">Hands-on training is given on the installed system with training material in English and Bangla (item 53).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806"/>
      </w:tblGrid>
      <w:tr>
        <w:trPr>
          <w:cantSplit/>
          <w:tblHeader/>
        </w:trPr>
        <w:tc>
          <w:tcPr>
            <w:tcW w:type="dxa" w:w="2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Audience</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Duration</w:t>
            </w:r>
          </w:p>
        </w:tc>
        <w:tc>
          <w:tcPr>
            <w:tcW w:type="dxa" w:w="58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Content</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System administrators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 days</w:t>
            </w:r>
          </w:p>
        </w:tc>
        <w:tc>
          <w:tcPr>
            <w:tcW w:type="dxa" w:w="5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Installation overview, users and roles, permissions, hierarchy and categories, system settings, backup and restore, logs and monitoring, troubleshooting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Designated operators (BOP / Battalion)</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 day</w:t>
            </w:r>
          </w:p>
        </w:tc>
        <w:tc>
          <w:tcPr>
            <w:tcW w:type="dxa" w:w="5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Incident entry, evidence, GPS location, drafts and submission, responding to returns, search and tracking</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Supervisory officers (Sector / Verifier / HQ)</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 day</w:t>
            </w:r>
          </w:p>
        </w:tc>
        <w:tc>
          <w:tcPr>
            <w:tcW w:type="dxa" w:w="5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Review, return, verify, approve, reject, dashboard, GIS map, analytics, reports and export</w:t>
            </w:r>
          </w:p>
        </w:tc>
      </w:tr>
      <w:tr>
        <w:trPr>
          <w:cantSplit/>
        </w:trPr>
        <w:tc>
          <w:tcPr>
            <w:tcW w:type="dxa" w:w="26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Auditors</w:t>
            </w:r>
          </w:p>
        </w:tc>
        <w:tc>
          <w:tcPr>
            <w:tcW w:type="dxa" w:w="15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½ day</w:t>
            </w:r>
          </w:p>
        </w:tc>
        <w:tc>
          <w:tcPr>
            <w:tcW w:type="dxa" w:w="58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Audit trail search, chain verification, exports</w:t>
            </w:r>
          </w:p>
        </w:tc>
      </w:tr>
    </w:tbl>
    <w:p>
      <w:pPr>
        <w:spacing w:before="0" w:after="120"/>
      </w:pPr>
      <w:r>
        <w:rPr>
          <w:rFonts w:ascii="Arial" w:cs="Arial" w:eastAsia="Arial" w:hAnsi="Arial"/>
          <w:sz w:val="20"/>
          <w:szCs w:val="20"/>
        </w:rPr>
        <w:t xml:space="preserve"/>
      </w:r>
    </w:p>
    <w:p>
      <w:pPr>
        <w:pStyle w:val="Heading1"/>
        <w:keepNext/>
        <w:spacing w:before="300" w:after="120"/>
      </w:pPr>
      <w:r>
        <w:rPr>
          <w:rFonts w:ascii="Arial" w:cs="Arial" w:eastAsia="Arial" w:hAnsi="Arial"/>
          <w:b/>
          <w:bCs/>
          <w:color w:val="000000"/>
          <w:sz w:val="26"/>
          <w:szCs w:val="26"/>
        </w:rPr>
        <w:t xml:space="preserve">14.  Documentation</w:t>
      </w:r>
    </w:p>
    <w:p>
      <w:pPr>
        <w:spacing w:before="0" w:after="120"/>
        <w:jc w:val="both"/>
      </w:pPr>
      <w:r>
        <w:rPr>
          <w:rFonts w:ascii="Arial" w:cs="Arial" w:eastAsia="Arial" w:hAnsi="Arial"/>
          <w:sz w:val="20"/>
          <w:szCs w:val="20"/>
        </w:rPr>
        <w:t xml:space="preserve">The following documents are delivered in English (item 52), in addition to the source code, database schema and configuration (item 51):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blHeader/>
        </w:trPr>
        <w:tc>
          <w:tcPr>
            <w:tcW w:type="dxa" w:w="30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Document</w:t>
            </w:r>
          </w:p>
        </w:tc>
        <w:tc>
          <w:tcPr>
            <w:tcW w:type="dxa" w:w="69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Contents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System Administration Manual</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Users and roles, permissions, hierarchy, categories, all configuration settings, logs, monitoring, account lifecycle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User Manual</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Sign-in, dashboard, filing incidents, evidence, workflow actions, search, GIS, reports and export, notifications, password change</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Installation / Deployment Guide</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Prerequisites, server setup, database and replication, storage, proxy and TLS, environment settings, updates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API Documentation</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OpenAPI 3.1 description of every endpoint (already available in the demo at /api/docs)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Database Documentation</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Entity-relationship diagram, table and column dictionary, integrity rules</w:t>
            </w:r>
          </w:p>
        </w:tc>
      </w:tr>
      <w:tr>
        <w:trPr>
          <w:cantSplit/>
        </w:trP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Backup / Recovery Procedure</w:t>
            </w:r>
          </w:p>
        </w:tc>
        <w:tc>
          <w:tcPr>
            <w:tcW w:type="dxa" w:w="69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Backup schedule, restore, point-in-time recovery, DR failover, recovery targets, test checklist</w:t>
            </w:r>
          </w:p>
        </w:tc>
      </w:tr>
    </w:tbl>
    <w:p>
      <w:pPr>
        <w:spacing w:before="0" w:after="120"/>
      </w:pPr>
      <w:r>
        <w:rPr>
          <w:rFonts w:ascii="Arial" w:cs="Arial" w:eastAsia="Arial" w:hAnsi="Arial"/>
          <w:sz w:val="20"/>
          <w:szCs w:val="20"/>
        </w:rPr>
        <w:t xml:space="preserve"/>
      </w:r>
    </w:p>
    <w:p>
      <w:pPr>
        <w:pStyle w:val="Heading1"/>
        <w:keepNext/>
        <w:spacing w:before="300" w:after="120"/>
      </w:pPr>
      <w:r>
        <w:rPr>
          <w:rFonts w:ascii="Arial" w:cs="Arial" w:eastAsia="Arial" w:hAnsi="Arial"/>
          <w:b/>
          <w:bCs/>
          <w:color w:val="000000"/>
          <w:sz w:val="26"/>
          <w:szCs w:val="26"/>
        </w:rPr>
        <w:t xml:space="preserve">15.  Warranty and support</w:t>
      </w:r>
    </w:p>
    <w:p>
      <w:pPr>
        <w:spacing w:before="0" w:after="120"/>
        <w:jc w:val="both"/>
      </w:pPr>
      <w:r>
        <w:rPr>
          <w:rFonts w:ascii="Arial" w:cs="Arial" w:eastAsia="Arial" w:hAnsi="Arial"/>
          <w:sz w:val="20"/>
          <w:szCs w:val="20"/>
        </w:rPr>
        <w:t xml:space="preserve">One year of warranty and technical support from acceptance (item 54), covering bug fixing, security patches, configuration support and troubleshooting. Proposed response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00"/>
        <w:gridCol w:w="4306"/>
        <w:gridCol w:w="3200"/>
      </w:tblGrid>
      <w:tr>
        <w:trPr>
          <w:cantSplit/>
          <w:tblHeader/>
        </w:trPr>
        <w:tc>
          <w:tcPr>
            <w:tcW w:type="dxa" w:w="24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Priority</w:t>
            </w:r>
          </w:p>
        </w:tc>
        <w:tc>
          <w:tcPr>
            <w:tcW w:type="dxa" w:w="4306"/>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Example</w:t>
            </w:r>
          </w:p>
        </w:tc>
        <w:tc>
          <w:tcPr>
            <w:tcW w:type="dxa" w:w="32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Response / resolution target</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Critical</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System unavailable or data at risk</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 hours / 8 hours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High</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 main function unusable for many users</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4 hours / 2 working days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Medium</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A function impaired; workaround exists</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1 working day / 5 working days</w:t>
            </w:r>
          </w:p>
        </w:tc>
      </w:tr>
      <w:tr>
        <w:trPr>
          <w:cantSplit/>
        </w:trPr>
        <w:tc>
          <w:tcPr>
            <w:tcW w:type="dxa" w:w="24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Low</w:t>
            </w:r>
          </w:p>
        </w:tc>
        <w:tc>
          <w:tcPr>
            <w:tcW w:type="dxa" w:w="4306"/>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Question, cosmetic issue</w:t>
            </w:r>
          </w:p>
        </w:tc>
        <w:tc>
          <w:tcPr>
            <w:tcW w:type="dxa" w:w="3200"/>
            <w:tcBorders>
              <w:top w:val="single" w:color="000000" w:sz="4"/>
              <w:left w:val="single" w:color="000000" w:sz="4"/>
              <w:bottom w:val="single" w:color="000000" w:sz="4"/>
              <w:right w:val="single" w:color="000000" w:sz="4"/>
            </w:tcBorders>
            <w:tcMar>
              <w:top w:type="dxa" w:w="60"/>
              <w:left w:type="dxa" w:w="100"/>
              <w:bottom w:type="dxa" w:w="60"/>
              <w:right w:type="dxa" w:w="100"/>
            </w:tcMar>
            <w:vAlign w:val="top"/>
          </w:tcPr>
          <w:p>
            <w:pPr>
              <w:spacing w:before="0" w:after="0"/>
            </w:pPr>
            <w:r>
              <w:rPr>
                <w:rFonts w:ascii="Arial" w:cs="Arial" w:eastAsia="Arial" w:hAnsi="Arial"/>
                <w:sz w:val="20"/>
                <w:szCs w:val="20"/>
              </w:rPr>
              <w:t xml:space="preserve">2 working days / next release</w:t>
            </w:r>
          </w:p>
        </w:tc>
      </w:tr>
    </w:tbl>
    <w:p>
      <w:pPr>
        <w:spacing w:before="0" w:after="120"/>
      </w:pPr>
      <w:r>
        <w:rPr>
          <w:rFonts w:ascii="Arial" w:cs="Arial" w:eastAsia="Arial" w:hAnsi="Arial"/>
          <w:sz w:val="20"/>
          <w:szCs w:val="20"/>
        </w:rPr>
        <w:t xml:space="preserve"/>
      </w:r>
    </w:p>
    <w:p>
      <w:pPr>
        <w:spacing w:before="0" w:after="120"/>
        <w:jc w:val="both"/>
      </w:pPr>
      <w:r>
        <w:rPr>
          <w:rFonts w:ascii="Arial" w:cs="Arial" w:eastAsia="Arial" w:hAnsi="Arial"/>
          <w:sz w:val="20"/>
          <w:szCs w:val="20"/>
        </w:rPr>
        <w:t xml:space="preserve">Support is provided by telephone, e-mail and on-site visits, from Sunday to Thursday, 9:00 to 17:00 Bangladesh time; critical incidents are accepted at any time.</w:t>
      </w:r>
    </w:p>
    <w:p>
      <w:pPr>
        <w:pStyle w:val="Heading1"/>
        <w:keepNext/>
        <w:spacing w:before="300" w:after="120"/>
      </w:pPr>
      <w:r>
        <w:rPr>
          <w:rFonts w:ascii="Arial" w:cs="Arial" w:eastAsia="Arial" w:hAnsi="Arial"/>
          <w:b/>
          <w:bCs/>
          <w:color w:val="000000"/>
          <w:sz w:val="26"/>
          <w:szCs w:val="26"/>
        </w:rPr>
        <w:t xml:space="preserve">16.  BGB responsibilities and assumptions</w:t>
      </w:r>
    </w:p>
    <w:p>
      <w:pPr>
        <w:spacing w:before="0" w:after="80"/>
        <w:ind w:left="400" w:hanging="400"/>
        <w:jc w:val="both"/>
      </w:pPr>
      <w:r>
        <w:rPr>
          <w:rFonts w:ascii="Arial" w:cs="Arial" w:eastAsia="Arial" w:hAnsi="Arial"/>
          <w:sz w:val="20"/>
          <w:szCs w:val="20"/>
        </w:rPr>
        <w:t xml:space="preserve">a.  </w:t>
      </w:r>
      <w:r>
        <w:rPr>
          <w:rFonts w:ascii="Arial" w:cs="Arial" w:eastAsia="Arial" w:hAnsi="Arial"/>
          <w:sz w:val="20"/>
          <w:szCs w:val="20"/>
        </w:rPr>
        <w:t xml:space="preserve">BGB provides the servers (physical or virtual), storage, network, TLS certificate and DR site described in section 7, and secure access for the supplier's engineers during implementation and support.</w:t>
      </w:r>
    </w:p>
    <w:p>
      <w:pPr>
        <w:spacing w:before="0" w:after="80"/>
        <w:ind w:left="400" w:hanging="400"/>
        <w:jc w:val="both"/>
      </w:pPr>
      <w:r>
        <w:rPr>
          <w:rFonts w:ascii="Arial" w:cs="Arial" w:eastAsia="Arial" w:hAnsi="Arial"/>
          <w:sz w:val="20"/>
          <w:szCs w:val="20"/>
        </w:rPr>
        <w:t xml:space="preserve">b.  </w:t>
      </w:r>
      <w:r>
        <w:rPr>
          <w:rFonts w:ascii="Arial" w:cs="Arial" w:eastAsia="Arial" w:hAnsi="Arial"/>
          <w:sz w:val="20"/>
          <w:szCs w:val="20"/>
        </w:rPr>
        <w:t xml:space="preserve">BGB provides directory (AD/LDAP) connection details and a service account, an SMTP relay, and names the antivirus product to be integrated.</w:t>
      </w:r>
    </w:p>
    <w:p>
      <w:pPr>
        <w:spacing w:before="0" w:after="80"/>
        <w:ind w:left="400" w:hanging="400"/>
        <w:jc w:val="both"/>
      </w:pPr>
      <w:r>
        <w:rPr>
          <w:rFonts w:ascii="Arial" w:cs="Arial" w:eastAsia="Arial" w:hAnsi="Arial"/>
          <w:sz w:val="20"/>
          <w:szCs w:val="20"/>
        </w:rPr>
        <w:t xml:space="preserve">c.  </w:t>
      </w:r>
      <w:r>
        <w:rPr>
          <w:rFonts w:ascii="Arial" w:cs="Arial" w:eastAsia="Arial" w:hAnsi="Arial"/>
          <w:sz w:val="20"/>
          <w:szCs w:val="20"/>
        </w:rPr>
        <w:t xml:space="preserve">BGB nominates officers to confirm requirements, take part in UAT and attend training.</w:t>
      </w:r>
    </w:p>
    <w:p>
      <w:pPr>
        <w:spacing w:before="0" w:after="80"/>
        <w:ind w:left="400" w:hanging="400"/>
        <w:jc w:val="both"/>
      </w:pPr>
      <w:r>
        <w:rPr>
          <w:rFonts w:ascii="Arial" w:cs="Arial" w:eastAsia="Arial" w:hAnsi="Arial"/>
          <w:sz w:val="20"/>
          <w:szCs w:val="20"/>
        </w:rPr>
        <w:t xml:space="preserve">d.  </w:t>
      </w:r>
      <w:r>
        <w:rPr>
          <w:rFonts w:ascii="Arial" w:cs="Arial" w:eastAsia="Arial" w:hAnsi="Arial"/>
          <w:sz w:val="20"/>
          <w:szCs w:val="20"/>
        </w:rPr>
        <w:t xml:space="preserve">Data migration covers existing records supplied by BGB in an agreed format.</w:t>
      </w:r>
    </w:p>
    <w:p>
      <w:pPr>
        <w:spacing w:before="0" w:after="80"/>
        <w:ind w:left="400" w:hanging="400"/>
        <w:jc w:val="both"/>
      </w:pPr>
      <w:r>
        <w:rPr>
          <w:rFonts w:ascii="Arial" w:cs="Arial" w:eastAsia="Arial" w:hAnsi="Arial"/>
          <w:sz w:val="20"/>
          <w:szCs w:val="20"/>
        </w:rPr>
        <w:t xml:space="preserve">e.  </w:t>
      </w:r>
      <w:r>
        <w:rPr>
          <w:rFonts w:ascii="Arial" w:cs="Arial" w:eastAsia="Arial" w:hAnsi="Arial"/>
          <w:sz w:val="20"/>
          <w:szCs w:val="20"/>
        </w:rPr>
        <w:t xml:space="preserve">Infrastructure for the value additions is listed in Annex B, section 3.</w:t>
      </w:r>
    </w:p>
    <w:p>
      <w:pPr>
        <w:pStyle w:val="Heading1"/>
        <w:keepNext/>
        <w:spacing w:before="300" w:after="120"/>
      </w:pPr>
      <w:r>
        <w:rPr>
          <w:rFonts w:ascii="Arial" w:cs="Arial" w:eastAsia="Arial" w:hAnsi="Arial"/>
          <w:b/>
          <w:bCs/>
          <w:color w:val="000000"/>
          <w:sz w:val="26"/>
          <w:szCs w:val="26"/>
        </w:rPr>
        <w:t xml:space="preserve">17.  Value additions</w:t>
      </w:r>
    </w:p>
    <w:p>
      <w:pPr>
        <w:spacing w:before="0" w:after="120"/>
        <w:jc w:val="both"/>
      </w:pPr>
      <w:r>
        <w:rPr>
          <w:rFonts w:ascii="Arial" w:cs="Arial" w:eastAsia="Arial" w:hAnsi="Arial"/>
          <w:sz w:val="20"/>
          <w:szCs w:val="20"/>
        </w:rPr>
        <w:t xml:space="preserve">In addition to the specification, the offered system includes secure messaging, voice messages and calls, push notifications, a progressive web app installable on phones and tablets from the browser, evidence integrity checks, a hash-chained audit trail, formal printouts with reference numbers, a work queue, duplicate detection and a full Bangla interface, among others. They are listed in Annex B, are included in the quoted price and do not form a condition of this offer.</w:t>
      </w:r>
    </w:p>
    <w:p>
      <w:pPr>
        <w:spacing w:before="0" w:after="240"/>
      </w:pPr>
      <w:r>
        <w:rPr>
          <w:rFonts w:ascii="Arial" w:cs="Arial" w:eastAsia="Arial" w:hAnsi="Arial"/>
          <w:sz w:val="20"/>
          <w:szCs w:val="20"/>
        </w:rPr>
        <w:t xml:space="preserv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00"/>
        <w:gridCol w:w="6906"/>
      </w:tblGrid>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Name of authorised signatory:</w:t>
            </w:r>
          </w:p>
        </w:tc>
        <w:tc>
          <w:tcPr>
            <w:tcW w:type="dxa" w:w="6906"/>
            <w:tcBorders>
              <w:top w:val="none" w:color="FFFFFF" w:sz="0"/>
              <w:left w:val="none" w:color="FFFFFF" w:sz="0"/>
              <w:bottom w:val="dotted" w:color="000000" w:sz="4"/>
              <w:right w:val="none" w:color="FFFFFF" w:sz="0"/>
            </w:tcBorders>
            <w:tcMar>
              <w:top w:type="dxa" w:w="200"/>
              <w:left w:type="dxa" w:w="100"/>
              <w:bottom w:type="dxa" w:w="40"/>
              <w:right w:type="dxa" w:w="100"/>
            </w:tcMar>
          </w:tcPr>
          <w:p>
            <w:pPr>
              <w:spacing w:before="0" w:after="0"/>
            </w:pPr>
            <w:r>
              <w:rPr>
                <w:rFonts w:ascii="Arial" w:cs="Arial" w:eastAsia="Arial" w:hAnsi="Arial"/>
                <w:sz w:val="20"/>
                <w:szCs w:val="20"/>
              </w:rPr>
              <w:t xml:space="preserve"/>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Designation:</w:t>
            </w:r>
          </w:p>
        </w:tc>
        <w:tc>
          <w:tcPr>
            <w:tcW w:type="dxa" w:w="6906"/>
            <w:tcBorders>
              <w:top w:val="none" w:color="FFFFFF" w:sz="0"/>
              <w:left w:val="none" w:color="FFFFFF" w:sz="0"/>
              <w:bottom w:val="dotted" w:color="000000" w:sz="4"/>
              <w:right w:val="none" w:color="FFFFFF" w:sz="0"/>
            </w:tcBorders>
            <w:tcMar>
              <w:top w:type="dxa" w:w="200"/>
              <w:left w:type="dxa" w:w="100"/>
              <w:bottom w:type="dxa" w:w="40"/>
              <w:right w:type="dxa" w:w="100"/>
            </w:tcMar>
          </w:tcPr>
          <w:p>
            <w:pPr>
              <w:spacing w:before="0" w:after="0"/>
            </w:pPr>
            <w:r>
              <w:rPr>
                <w:rFonts w:ascii="Arial" w:cs="Arial" w:eastAsia="Arial" w:hAnsi="Arial"/>
                <w:sz w:val="20"/>
                <w:szCs w:val="20"/>
              </w:rPr>
              <w:t xml:space="preserve"/>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Signature and seal:</w:t>
            </w:r>
          </w:p>
        </w:tc>
        <w:tc>
          <w:tcPr>
            <w:tcW w:type="dxa" w:w="6906"/>
            <w:tcBorders>
              <w:top w:val="none" w:color="FFFFFF" w:sz="0"/>
              <w:left w:val="none" w:color="FFFFFF" w:sz="0"/>
              <w:bottom w:val="dotted" w:color="000000" w:sz="4"/>
              <w:right w:val="none" w:color="FFFFFF" w:sz="0"/>
            </w:tcBorders>
            <w:tcMar>
              <w:top w:type="dxa" w:w="200"/>
              <w:left w:type="dxa" w:w="100"/>
              <w:bottom w:type="dxa" w:w="40"/>
              <w:right w:type="dxa" w:w="100"/>
            </w:tcMar>
          </w:tcPr>
          <w:p>
            <w:pPr>
              <w:spacing w:before="0" w:after="0"/>
            </w:pPr>
            <w:r>
              <w:rPr>
                <w:rFonts w:ascii="Arial" w:cs="Arial" w:eastAsia="Arial" w:hAnsi="Arial"/>
                <w:sz w:val="20"/>
                <w:szCs w:val="20"/>
              </w:rPr>
              <w:t xml:space="preserve"/>
            </w:r>
          </w:p>
        </w:tc>
      </w:tr>
      <w:tr>
        <w:trPr>
          <w:cantSplit/>
        </w:trPr>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before="0" w:after="0"/>
            </w:pPr>
            <w:r>
              <w:rPr>
                <w:rFonts w:ascii="Arial" w:cs="Arial" w:eastAsia="Arial" w:hAnsi="Arial"/>
                <w:b/>
                <w:bCs/>
                <w:sz w:val="20"/>
                <w:szCs w:val="20"/>
              </w:rPr>
              <w:t xml:space="preserve">Date:</w:t>
            </w:r>
          </w:p>
        </w:tc>
        <w:tc>
          <w:tcPr>
            <w:tcW w:type="dxa" w:w="6906"/>
            <w:tcBorders>
              <w:top w:val="none" w:color="FFFFFF" w:sz="0"/>
              <w:left w:val="none" w:color="FFFFFF" w:sz="0"/>
              <w:bottom w:val="dotted" w:color="000000" w:sz="4"/>
              <w:right w:val="none" w:color="FFFFFF" w:sz="0"/>
            </w:tcBorders>
            <w:tcMar>
              <w:top w:type="dxa" w:w="200"/>
              <w:left w:type="dxa" w:w="100"/>
              <w:bottom w:type="dxa" w:w="40"/>
              <w:right w:type="dxa" w:w="100"/>
            </w:tcMar>
          </w:tcPr>
          <w:p>
            <w:pPr>
              <w:spacing w:before="0" w:after="0"/>
            </w:pPr>
            <w:r>
              <w:rPr>
                <w:rFonts w:ascii="Arial" w:cs="Arial" w:eastAsia="Arial" w:hAnsi="Arial"/>
                <w:sz w:val="20"/>
                <w:szCs w:val="20"/>
              </w:rPr>
              <w:t xml:space="preserve">18/10/2026</w:t>
            </w:r>
          </w:p>
        </w:tc>
      </w:tr>
    </w:tbl>
    <w:sectPr>
      <w:headerReference w:type="default" r:id="rId6"/>
      <w:footerReference w:type="default" r:id="rId7"/>
      <w:pgSz w:w="11906" w:h="16838" w:orient="portrait"/>
      <w:pgMar w:top="2880" w:right="1000" w:bottom="2448" w:left="100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50"/>
      </w:tabs>
      <w:spacing w:after="20"/>
      <w:ind w:left="-640"/>
    </w:pPr>
    <w:r>
      <w:drawing>
        <wp:anchor distT="0" distB="0" distL="0" distR="0" simplePos="0" allowOverlap="1" behindDoc="1" locked="0" layoutInCell="1" relativeHeight="1426845">
          <wp:simplePos x="0" y="0"/>
          <wp:positionH relativeFrom="page">
            <wp:posOffset>30480</wp:posOffset>
          </wp:positionH>
          <wp:positionV relativeFrom="paragraph">
            <wp:posOffset>-822960</wp:posOffset>
          </wp:positionV>
          <wp:extent cx="7543800" cy="142684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43800" cy="1426845"/>
                  </a:xfrm>
                  <a:prstGeom prst="rect">
                    <a:avLst/>
                  </a:prstGeom>
                </pic:spPr>
              </pic:pic>
            </a:graphicData>
          </a:graphic>
        </wp:anchor>
      </w:drawing>
    </w:r>
    <w:r>
      <w:rPr>
        <w:rFonts w:ascii="Calibri" w:cs="Calibri" w:eastAsia="Calibri" w:hAnsi="Calibri"/>
        <w:b/>
        <w:bCs/>
        <w:color w:val="000000"/>
        <w:sz w:val="20"/>
        <w:szCs w:val="20"/>
      </w:rPr>
      <w:t xml:space="preserve">Address :</w:t>
    </w:r>
    <w:r>
      <w:rPr>
        <w:rFonts w:ascii="Calibri" w:cs="Calibri" w:eastAsia="Calibri" w:hAnsi="Calibri"/>
        <w:b/>
        <w:bCs/>
        <w:color w:val="000000"/>
        <w:sz w:val="20"/>
        <w:szCs w:val="20"/>
      </w:rPr>
      <w:t xml:space="preserve"> House 5, Road 2, Block C, Banasree, Rampura, Dhaka 1219</w:t>
    </w:r>
    <w:r>
      <w:rPr>
        <w:rFonts w:ascii="Calibri" w:cs="Calibri" w:eastAsia="Calibri" w:hAnsi="Calibri"/>
        <w:sz w:val="18"/>
        <w:szCs w:val="18"/>
      </w:rPr>
      <w:t xml:space="preserve">	</w:t>
    </w:r>
    <w:r>
      <w:rPr>
        <w:rFonts w:ascii="Calibri" w:cs="Calibri" w:eastAsia="Calibri" w:hAnsi="Calibri"/>
        <w:color w:val="000000"/>
        <w:sz w:val="18"/>
        <w:szCs w:val="18"/>
      </w:rPr>
      <w:t xml:space="preserve">BIRDS Phase II — Technical Proposal</w:t>
    </w:r>
  </w:p>
  <w:p>
    <w:pPr>
      <w:tabs>
        <w:tab w:val="right" w:pos="9050"/>
      </w:tabs>
      <w:spacing w:after="20"/>
      <w:ind w:left="-640"/>
    </w:pPr>
    <w:r>
      <w:rPr>
        <w:rFonts w:ascii="Calibri" w:cs="Calibri" w:eastAsia="Calibri" w:hAnsi="Calibri"/>
        <w:b/>
        <w:bCs/>
        <w:color w:val="000000"/>
        <w:sz w:val="20"/>
        <w:szCs w:val="20"/>
      </w:rPr>
      <w:t xml:space="preserve">Phone    :</w:t>
    </w:r>
    <w:r>
      <w:rPr>
        <w:rFonts w:ascii="Calibri" w:cs="Calibri" w:eastAsia="Calibri" w:hAnsi="Calibri"/>
        <w:b/>
        <w:bCs/>
        <w:color w:val="000000"/>
        <w:sz w:val="20"/>
        <w:szCs w:val="20"/>
      </w:rPr>
      <w:t xml:space="preserve"> 01755253505, 01730357123, 01701072702</w:t>
    </w:r>
    <w:r>
      <w:rPr>
        <w:rFonts w:ascii="Calibri" w:cs="Calibri" w:eastAsia="Calibri" w:hAnsi="Calibri"/>
        <w:sz w:val="18"/>
        <w:szCs w:val="18"/>
      </w:rPr>
      <w:t xml:space="preserve">	</w:t>
    </w:r>
    <w:r>
      <w:rPr>
        <w:rFonts w:ascii="Calibri" w:cs="Calibri" w:eastAsia="Calibri" w:hAnsi="Calibri"/>
        <w:color w:val="000000"/>
        <w:sz w:val="18"/>
        <w:szCs w:val="18"/>
      </w:rPr>
      <w:t xml:space="preserve">e-GP tender tracking no. 1347267</w:t>
    </w:r>
  </w:p>
  <w:p>
    <w:pPr>
      <w:tabs>
        <w:tab w:val="right" w:pos="9050"/>
      </w:tabs>
      <w:spacing w:after="20"/>
      <w:ind w:left="-640"/>
    </w:pPr>
    <w:r>
      <w:rPr>
        <w:rFonts w:ascii="Calibri" w:cs="Calibri" w:eastAsia="Calibri" w:hAnsi="Calibri"/>
        <w:b/>
        <w:bCs/>
        <w:color w:val="000000"/>
        <w:sz w:val="20"/>
        <w:szCs w:val="20"/>
      </w:rPr>
      <w:t xml:space="preserve">E-mail   :</w:t>
    </w:r>
    <w:r>
      <w:rPr>
        <w:rFonts w:ascii="Calibri" w:cs="Calibri" w:eastAsia="Calibri" w:hAnsi="Calibri"/>
        <w:b/>
        <w:bCs/>
        <w:color w:val="000000"/>
        <w:sz w:val="20"/>
        <w:szCs w:val="20"/>
      </w:rPr>
      <w:t xml:space="preserve"> graceinternational98@gmail.com</w:t>
    </w:r>
    <w:r>
      <w:rPr>
        <w:rFonts w:ascii="Calibri" w:cs="Calibri" w:eastAsia="Calibri" w:hAnsi="Calibri"/>
        <w:sz w:val="18"/>
        <w:szCs w:val="18"/>
      </w:rPr>
      <w:t xml:space="preserve">	</w:t>
    </w:r>
    <w:r>
      <w:rPr>
        <w:rFonts w:ascii="Calibri" w:cs="Calibri" w:eastAsia="Calibri" w:hAnsi="Calibri"/>
        <w:color w:val="000000"/>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color w:val="000000"/>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ind w:left="-280"/>
    </w:pPr>
    <w:r>
      <w:drawing>
        <wp:anchor distT="0" distB="0" distL="0" distR="0" simplePos="0" allowOverlap="1" behindDoc="1" locked="0" layoutInCell="1" relativeHeight="1621790">
          <wp:simplePos x="0" y="0"/>
          <wp:positionH relativeFrom="page">
            <wp:posOffset>29845</wp:posOffset>
          </wp:positionH>
          <wp:positionV relativeFrom="paragraph">
            <wp:posOffset>-419100</wp:posOffset>
          </wp:positionV>
          <wp:extent cx="7517765" cy="162179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17765" cy="1621790"/>
                  </a:xfrm>
                  <a:prstGeom prst="rect">
                    <a:avLst/>
                  </a:prstGeom>
                </pic:spPr>
              </pic:pic>
            </a:graphicData>
          </a:graphic>
        </wp:anchor>
      </w:drawing>
    </w:r>
    <w:r>
      <w:rPr>
        <w:rFonts w:ascii="Calibri" w:cs="Calibri" w:eastAsia="Calibri" w:hAnsi="Calibri"/>
        <w:b/>
        <w:bCs/>
        <w:color w:val="000000"/>
        <w:sz w:val="76"/>
        <w:szCs w:val="76"/>
      </w:rPr>
      <w:t xml:space="preserve">Grace International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83c9f87051b934faa953a41021efa2f401c26926.png"/><Relationship Id="rId9" Type="http://schemas.openxmlformats.org/officeDocument/2006/relationships/image" Target="media/12bfedb9451f6ff3c78737a8ebc84aef98b279e3.png"/><Relationship Id="rId10" Type="http://schemas.openxmlformats.org/officeDocument/2006/relationships/image" Target="media/dc01f2f6e7bc13fa2a251ffa3b60e50b06dde827.png"/><Relationship Id="rId11" Type="http://schemas.openxmlformats.org/officeDocument/2006/relationships/image" Target="media/d42728da1a0e2efb777295ba198ceaf9f3fdc492.png"/><Relationship Id="rId12" Type="http://schemas.openxmlformats.org/officeDocument/2006/relationships/image" Target="media/119a25e8c25077a826483a1279063d2733283184.png"/><Relationship Id="rId13" Type="http://schemas.openxmlformats.org/officeDocument/2006/relationships/image" Target="media/3f0f52047d9c3822b1f63d481ac7bb830f512cc8.png"/><Relationship Id="rId14" Type="http://schemas.openxmlformats.org/officeDocument/2006/relationships/image" Target="media/1cb71e9082ed56de79831f400df5a4d206fc53ee.png"/><Relationship Id="rId15" Type="http://schemas.openxmlformats.org/officeDocument/2006/relationships/image" Target="media/5d420e0ba43ece4579f4f1a856e0ad6e95ce29e3.png"/><Relationship Id="rId16" Type="http://schemas.openxmlformats.org/officeDocument/2006/relationships/image" Target="media/b1bbec17bc05d5792b2f9b9e2c774519f6d9b3ad.png"/><Relationship Id="rId1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e1d41c430c408ba92800bc3da6444e58814cf0f5.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c07ba6b571a3212b76673827251b16991efd45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BIRDS Phase II</dc:title>
  <dc:creator>Grace International</dc:creator>
  <cp:lastModifiedBy>Un-named</cp:lastModifiedBy>
  <cp:revision>1</cp:revision>
  <dcterms:created xsi:type="dcterms:W3CDTF">2026-10-15T16:32:01.637Z</dcterms:created>
  <dcterms:modified xsi:type="dcterms:W3CDTF">2026-10-15T16:32:01.637Z</dcterms:modified>
</cp:coreProperties>
</file>

<file path=docProps/custom.xml><?xml version="1.0" encoding="utf-8"?>
<Properties xmlns="http://schemas.openxmlformats.org/officeDocument/2006/custom-properties" xmlns:vt="http://schemas.openxmlformats.org/officeDocument/2006/docPropsVTypes"/>
</file>