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bCs/>
          <w:sz w:val="18"/>
          <w:szCs w:val="18"/>
        </w:rPr>
        <w:t xml:space="preserve">Tender: </w:t>
      </w:r>
      <w:r>
        <w:rPr>
          <w:rFonts w:ascii="Arial" w:cs="Arial" w:eastAsia="Arial" w:hAnsi="Arial"/>
          <w:sz w:val="18"/>
          <w:szCs w:val="18"/>
        </w:rPr>
        <w:t xml:space="preserve">Development of Centralized Access Control Integration System — B. BIRDS (Border Incident Reporting &amp; Documentation System) - Phase II</w:t>
      </w:r>
    </w:p>
    <w:p>
      <w:pPr>
        <w:spacing w:before="0" w:after="240"/>
      </w:pPr>
      <w:r>
        <w:rPr>
          <w:rFonts w:ascii="Arial" w:cs="Arial" w:eastAsia="Arial" w:hAnsi="Arial"/>
          <w:b/>
          <w:bCs/>
          <w:sz w:val="18"/>
          <w:szCs w:val="18"/>
        </w:rPr>
        <w:t xml:space="preserve">e-GP tender tracking no.: </w:t>
      </w:r>
      <w:r>
        <w:rPr>
          <w:rFonts w:ascii="Arial" w:cs="Arial" w:eastAsia="Arial" w:hAnsi="Arial"/>
          <w:sz w:val="18"/>
          <w:szCs w:val="18"/>
        </w:rPr>
        <w:t xml:space="preserve">1347267</w:t>
      </w:r>
    </w:p>
    <w:p>
      <w:pPr>
        <w:spacing w:before="0" w:after="60"/>
        <w:jc w:val="center"/>
      </w:pPr>
      <w:r>
        <w:rPr>
          <w:rFonts w:ascii="Arial" w:cs="Arial" w:eastAsia="Arial" w:hAnsi="Arial"/>
          <w:b/>
          <w:bCs/>
          <w:sz w:val="24"/>
          <w:szCs w:val="24"/>
        </w:rPr>
        <w:t xml:space="preserve">ANNEX B TO COMPLIANCE STATEMENT</w:t>
      </w:r>
    </w:p>
    <w:p>
      <w:pPr>
        <w:spacing w:before="0" w:after="240"/>
        <w:jc w:val="center"/>
      </w:pPr>
      <w:r>
        <w:rPr>
          <w:rFonts w:ascii="Arial" w:cs="Arial" w:eastAsia="Arial" w:hAnsi="Arial"/>
          <w:b/>
          <w:bCs/>
          <w:sz w:val="22"/>
          <w:szCs w:val="22"/>
          <w:u w:val="single"/>
        </w:rPr>
        <w:t xml:space="preserve">Value Additions — features offered beyond the Technical Specification of BIRDS Phase II</w:t>
      </w:r>
    </w:p>
    <w:p>
      <w:pPr>
        <w:spacing w:before="0" w:after="120"/>
        <w:jc w:val="both"/>
      </w:pPr>
      <w:r>
        <w:rPr>
          <w:rFonts w:ascii="Arial" w:cs="Arial" w:eastAsia="Arial" w:hAnsi="Arial"/>
          <w:sz w:val="20"/>
          <w:szCs w:val="20"/>
        </w:rPr>
        <w:t xml:space="preserve">In addition to full compliance with the 58 items of the Technical Specification (Compliance Statement and Annex A), the offered system includes the features below, which go beyond what the specification requires. Some of them extend a specified item beyond its minimum; the column "Related spec item" shows which. They are already working in the application demo.</w:t>
      </w:r>
    </w:p>
    <w:p>
      <w:pPr>
        <w:pStyle w:val="Heading2"/>
        <w:keepNext/>
        <w:spacing w:before="240" w:after="120"/>
      </w:pPr>
      <w:r>
        <w:rPr>
          <w:rFonts w:ascii="Arial" w:cs="Arial" w:eastAsia="Arial" w:hAnsi="Arial"/>
          <w:b/>
          <w:bCs/>
          <w:color w:val="000000"/>
          <w:sz w:val="24"/>
          <w:szCs w:val="24"/>
        </w:rPr>
        <w:t xml:space="preserve">1.  Terms</w:t>
      </w:r>
    </w:p>
    <w:p>
      <w:pPr>
        <w:spacing w:before="0" w:after="80"/>
        <w:ind w:left="400" w:hanging="400"/>
        <w:jc w:val="both"/>
      </w:pPr>
      <w:r>
        <w:rPr>
          <w:rFonts w:ascii="Arial" w:cs="Arial" w:eastAsia="Arial" w:hAnsi="Arial"/>
          <w:sz w:val="20"/>
          <w:szCs w:val="20"/>
        </w:rPr>
        <w:t xml:space="preserve">a.  </w:t>
      </w:r>
      <w:r>
        <w:rPr>
          <w:rFonts w:ascii="Arial" w:cs="Arial" w:eastAsia="Arial" w:hAnsi="Arial"/>
          <w:sz w:val="20"/>
          <w:szCs w:val="20"/>
        </w:rPr>
        <w:t xml:space="preserve">The software for all features in this annex is included in the quoted price at no additional cost to BGB, including its installation, configuration, training, documentation and warranty support.</w:t>
      </w:r>
    </w:p>
    <w:p>
      <w:pPr>
        <w:spacing w:before="0" w:after="80"/>
        <w:ind w:left="400" w:hanging="400"/>
        <w:jc w:val="both"/>
      </w:pPr>
      <w:r>
        <w:rPr>
          <w:rFonts w:ascii="Arial" w:cs="Arial" w:eastAsia="Arial" w:hAnsi="Arial"/>
          <w:sz w:val="20"/>
          <w:szCs w:val="20"/>
        </w:rPr>
        <w:t xml:space="preserve">b.  </w:t>
      </w:r>
      <w:r>
        <w:rPr>
          <w:rFonts w:ascii="Arial" w:cs="Arial" w:eastAsia="Arial" w:hAnsi="Arial"/>
          <w:sz w:val="20"/>
          <w:szCs w:val="20"/>
        </w:rPr>
        <w:t xml:space="preserve">They are offered in addition to, and not in place of, any required item. Compliance with each Technical Specification item is stated separately in the Compliance Statement.</w:t>
      </w:r>
    </w:p>
    <w:p>
      <w:pPr>
        <w:spacing w:before="0" w:after="80"/>
        <w:ind w:left="400" w:hanging="400"/>
        <w:jc w:val="both"/>
      </w:pPr>
      <w:r>
        <w:rPr>
          <w:rFonts w:ascii="Arial" w:cs="Arial" w:eastAsia="Arial" w:hAnsi="Arial"/>
          <w:sz w:val="20"/>
          <w:szCs w:val="20"/>
        </w:rPr>
        <w:t xml:space="preserve">c.  </w:t>
      </w:r>
      <w:r>
        <w:rPr>
          <w:rFonts w:ascii="Arial" w:cs="Arial" w:eastAsia="Arial" w:hAnsi="Arial"/>
          <w:sz w:val="20"/>
          <w:szCs w:val="20"/>
        </w:rPr>
        <w:t xml:space="preserve">They do not form a condition or deviation of this offer. Where a feature in this annex is also part of how a specified item is met, as described in Annex A (for example encryption at rest for items 26 and 27, the hash-chained audit log for item 24, evidence fingerprints and photo and document metadata for item 11, the Bangla interface for item 43, the installable app for item 41), it goes beyond that item's minimum requirement and remains part of the compliant system. Features that serve no specified item (for example messaging and calls, which are a permission in the permission matrix) can be withheld from users through the Admin module or removed at BGB's request.</w:t>
      </w:r>
    </w:p>
    <w:p>
      <w:pPr>
        <w:spacing w:before="0" w:after="80"/>
        <w:ind w:left="400" w:hanging="400"/>
        <w:jc w:val="both"/>
      </w:pPr>
      <w:r>
        <w:rPr>
          <w:rFonts w:ascii="Arial" w:cs="Arial" w:eastAsia="Arial" w:hAnsi="Arial"/>
          <w:sz w:val="20"/>
          <w:szCs w:val="20"/>
        </w:rPr>
        <w:t xml:space="preserve">d.  </w:t>
      </w:r>
      <w:r>
        <w:rPr>
          <w:rFonts w:ascii="Arial" w:cs="Arial" w:eastAsia="Arial" w:hAnsi="Arial"/>
          <w:sz w:val="20"/>
          <w:szCs w:val="20"/>
        </w:rPr>
        <w:t xml:space="preserve">Some value additions need infrastructure or network access provided by BGB, listed in section 3. None of the 58 specified items depends on it; where a provision is not made, only the feature concerned is limited as stated, and the specified items are still met as described in Annex A.</w:t>
      </w:r>
    </w:p>
    <w:p>
      <w:pPr>
        <w:pStyle w:val="Heading2"/>
        <w:keepNext/>
        <w:spacing w:before="240" w:after="120"/>
      </w:pPr>
      <w:r>
        <w:rPr>
          <w:rFonts w:ascii="Arial" w:cs="Arial" w:eastAsia="Arial" w:hAnsi="Arial"/>
          <w:b/>
          <w:bCs/>
          <w:color w:val="000000"/>
          <w:sz w:val="24"/>
          <w:szCs w:val="24"/>
        </w:rPr>
        <w:t xml:space="preserve">2.  Value additions (32)</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6038"/>
        <w:gridCol w:w="1500"/>
        <w:gridCol w:w="2600"/>
      </w:tblGrid>
      <w:tr>
        <w:trPr>
          <w:cantSplit/>
          <w:tblHeader/>
        </w:trPr>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Area</w:t>
            </w:r>
          </w:p>
        </w:tc>
        <w:tc>
          <w:tcPr>
            <w:tcW w:type="dxa" w:w="2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Feature</w:t>
            </w:r>
          </w:p>
        </w:tc>
        <w:tc>
          <w:tcPr>
            <w:tcW w:type="dxa" w:w="60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Benefit to BGB</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Related spec item</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Where to see it in the demo</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Secure communications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Direct and group messaging</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Officers exchange operational messages inside BIRDS instead of public messaging apps; every conversation is a permanent record on BGB servers.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Messages (any account).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Secure communications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Voice messages</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One-tap voice notes for officers in the field; audio stored encrypted with an integrity fingerprint.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Messages › microphone button.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Secure communications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One-to-one voice calls with call log</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Browser-to-browser voice calls between BIRDS users; each call is logged (who, when, duration, outcome) and audited; call audio is never stored.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#58, #24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Messages › Call; Call log.</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Secure communications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Group administration</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Group admins approve join requests, assign admin roles, remove members, rename groups and set a group photo; each change is audited.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 #24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Messages › Group settings.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Mobile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Progressive web app (PWA): install from the browser</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BIRDS installs on Android, iPhone/iPad, Windows and Mac directly from the browser (no app store, no separate mobile app); it opens full screen from the home screen like a native app, updates itself with the server, and shows a clear notice when the device is offline.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#41, #58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User menu › Install app (Chrome/Edge); Safari › Share › Add to Home Screen.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Mobile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Push notifications</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Calls and messages reach the phone even when BIRDS is closed; notifications show names only, never message text, and stop as soon as the user signs out.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#23, #58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Profile › Notifications on this device.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Mobile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Ringing call notification</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An incoming call keeps ringing on the phone with Answer and Decline buttons, like a phone call.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Call a user whose phone has notifications 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Evidence integrity</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SHA-256 fingerprint and integrity check</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Each evidence file is fingerprinted on upload; anyone with access can re-check that the stored file is unchanged (chain of custody).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#10, #11, #25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 Evidence › Verify integrity.</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Evidence integrity</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Encryption at rest for all files</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Evidence, voice messages and photos are encrypted on the server (AES-256-GCM); a tampered file is refused and the attempt audited.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#26, #27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Technical proposal (security).</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Evidence integrity</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Photo EXIF, GPS and document properties shown</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Date/time taken, camera and GPS position of photographs, and the author and created/modified dates of office documents, are displayed next to the evidence and in printouts.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 Evidence.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Audit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Hash-chained audit log with verification</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Each audit entry is chained to the previous one; one click verifies that no entry was altered or removed.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Audit trail › Verify chain (auditor).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Work management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"Needs my action" work queue</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Each officer sees the incidents waiting for their action on the dashboard and as a filter.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#17, #14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Dashboard; Incidents › Needs my action.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Work management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Overdue flags</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Incidents waiting longer than a configurable number of days in one step are flagged in lists, on the incident and on the dashboard.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#13, #47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Incidents › Overdue filter; Admin › Workflow.</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Work management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Possible-duplicate warning</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While filing, the form warns about incidents reported nearby on the same day, reducing double reporting.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 #25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New incident (batt_op).</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Work management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Related incidents</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Each incident lists incidents at the same BOP or within 5 km in the previous and following 30 days.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#8, #16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page › Related incidents.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Work management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Comments on incidents</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Reviewers and filing officers discuss an incident on record; comments are append-only and notify participants.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#12, #23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page › Comments.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Work management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Discard unsubmitted drafts</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 filing officer can discard a draft that was never submitted; anything filed stays on record.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 #25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page (own draft) › Discard.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Reports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Formal printouts</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Printed reports and single incidents follow a formal layout: crest and letterhead, classification marking on every page, document reference number, numbered paragraphs, signature blocks (prefilled from the record history), distribution and page numbers, in English or Bangla.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#21, #22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Reports › Print / PDF; Incident › Print / PDF.</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Reports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Incident annex with evidence</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 report can include every incident in full on its own page, with photographs reproduced and a still frame for each video.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#21, #22, #10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Reports › Include full details of each incident › Print / PDF.</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Reports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Audited printing</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Every printout gets a unique reference number recorded in the audit trail, so any paper copy can be traced.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Audit trail › PRINT_REPORT / PRINT_INCIDENT entries.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GIS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Heat map and marker clustering</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Concentrations of incidents along the border are visible at a glance; markers coloured by severity.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GIS map › layers.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GIS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Map limited to Bangladesh</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The map stays on Bangladesh and its border strip; areas outside are shaded.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GIS map.</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GIS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Location markers with incident counts</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One marker per BOP showing how many incidents happened there, sized by the number and coloured by the most severe; the busiest place stays readable where markers overlap.</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#18, #19</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GIS map › Points.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GIS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Zoom in on a point, show all, back to the map</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Clicking a point zooms in on it with zoom and close buttons; "Show all N incidents" opens the incidents of that BOP in the register, and "Back to the map" returns to the map exactly as it was left (filters, view, open popup).</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#8, #16, #18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GIS map › click a point › Show all.</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Analytics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Hotspots and time patterns</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The riskiest BOPs (severity-weighted), the busiest hours of the day, the share of night-time incidents and the weekday pattern, each split into high/critical and other incidents.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#19</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Analytics › When incidents happen; Hotspots.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Analytics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Click-through from every chart</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Any bar, trend point, hotspot or sector opens the matching incidents in the register, with the same period and units.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#16, #19, #20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Analytics › click a bar or point.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Administration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System status overview</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API, database, e-mail delivery and sign-in method shown at a glance, with a section menu for every setting.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#46, #48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 › Security &amp; system.</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Usability</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Full Bangla interface</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Every screen, message and printout is available in Bangla, beyond the specification's "capable of supporting Bangla".</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EN / Bangla language switch in the header.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Usability</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Global search</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Find any incident by reference number or title from any page (shortcut "/").</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#15, #16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Search box in the header.</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Usability</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Own sessions and sign-in history</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Each user sees their active sessions and recent sign-in events and can sign out other sessions.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Profile.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Integration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Interactive API documentation</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OpenAPI 3.1 description of every endpoint with an interactive console, for BGB systems that will connect to BIRDS.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#31, #52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/api/docs.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Operations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E-mail notifications through an outbox</w:t>
            </w:r>
          </w:p>
        </w:tc>
        <w:tc>
          <w:tcPr>
            <w:tcW w:type="dxa" w:w="60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Workflow e-mails are queued and retried, so a mail-server outage does not lose notifications.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 › Security &amp; system › E-mail notifications.</w:t>
            </w:r>
          </w:p>
        </w:tc>
      </w:tr>
    </w:tbl>
    <w:p>
      <w:pPr>
        <w:pStyle w:val="Heading2"/>
        <w:keepNext/>
        <w:spacing w:before="240" w:after="120"/>
      </w:pPr>
      <w:r>
        <w:rPr>
          <w:rFonts w:ascii="Arial" w:cs="Arial" w:eastAsia="Arial" w:hAnsi="Arial"/>
          <w:b/>
          <w:bCs/>
          <w:color w:val="000000"/>
          <w:sz w:val="24"/>
          <w:szCs w:val="24"/>
        </w:rPr>
        <w:t xml:space="preserve">3.  Infrastructure required for the value additions (provided by BGB)</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7338"/>
        <w:gridCol w:w="4500"/>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Value addition</w:t>
            </w:r>
          </w:p>
        </w:tc>
        <w:tc>
          <w:tcPr>
            <w:tcW w:type="dxa" w:w="733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Infrastructure / network provision by BGB</w:t>
            </w:r>
          </w:p>
        </w:tc>
        <w:tc>
          <w:tcPr>
            <w:tcW w:type="dxa" w:w="4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If not provided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Voice calls</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 STUN/TURN relay server (e.g. coturn, open source) on a BGB server that all BIRDS users can reach, with UDP/TCP 3478 and TLS 5349 open between clients and that server; network bandwidth of roughly 50–100 kbit/s per active call. The supplier installs and configures the relay software.</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Calls connect only between users on the same network segment; users behind different firewalls or NAT cannot reach each other.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Push notifications and ringing call notifications while BIRDS is closed</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Outbound HTTPS (port 443) from the BIRDS application server to the browser push services (Google, Mozilla, Apple), and internet/data connectivity on the receiving phones or computers.</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Notifications for calls and messages appear only while BIRDS is open; all other functions are unaffected.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Use on phones and tablets in the field (PWA, messaging, calls, push)</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Secure mobile access from authorised devices to the BIRDS server (for example VPN or a private mobile network/APN), and BGB-authorised phones/tablets with a current browser (Android 8+/Chrome, iOS 16.4+/Safari).</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BIRDS is used from devices on the BGB intranet only.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Progressive web app installation</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An HTTPS certificate trusted by the devices: a public certificate, or BGB's internal certificate authority installed on every device (browsers install a PWA only from a trusted HTTPS address).</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BIRDS works in the browser but cannot be installed to the home screen.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Voice messages and group photos</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Additional capacity on the central file storage and its backups, sized at deployment from the expected number of users and messages.</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Realtime messaging and calls</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WebSocket connections allowed through BGB's reverse proxy and firewall to the BIRDS address (configuration only; the supplier provides the settings).</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Messages and calls do not arrive instantly; calls cannot be placed.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E-mail notifications</w:t>
            </w:r>
          </w:p>
        </w:tc>
        <w:tc>
          <w:tcPr>
            <w:tcW w:type="dxa" w:w="733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jc w:val="both"/>
            </w:pPr>
            <w:r>
              <w:rPr>
                <w:rFonts w:ascii="Arial" w:cs="Arial" w:eastAsia="Arial" w:hAnsi="Arial"/>
                <w:sz w:val="20"/>
                <w:szCs w:val="20"/>
              </w:rPr>
              <w:t xml:space="preserve">An SMTP relay or mail account on BGB's mail system that BIRDS may send from (e-mail is one of the notification channels described under item 23; item 23 is met by the in-app notifications without it).</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Notifications are shown in the application and by push only.</w:t>
            </w:r>
          </w:p>
        </w:tc>
      </w:tr>
    </w:tbl>
    <w:p>
      <w:pPr>
        <w:spacing w:before="0" w:after="120"/>
      </w:pPr>
      <w:r>
        <w:rPr>
          <w:rFonts w:ascii="Arial" w:cs="Arial" w:eastAsia="Arial" w:hAnsi="Arial"/>
          <w:sz w:val="20"/>
          <w:szCs w:val="20"/>
        </w:rPr>
        <w:t xml:space="preserve"/>
      </w:r>
    </w:p>
    <w:p>
      <w:pPr>
        <w:spacing w:before="0" w:after="120"/>
        <w:jc w:val="both"/>
      </w:pPr>
      <w:r>
        <w:rPr>
          <w:rFonts w:ascii="Arial" w:cs="Arial" w:eastAsia="Arial" w:hAnsi="Arial"/>
          <w:sz w:val="20"/>
          <w:szCs w:val="20"/>
        </w:rPr>
        <w:t xml:space="preserve">The supplier states the exact server sizes, ports and certificate details in the Installation/Deployment Guide and agrees them with BGB before deployment.</w:t>
      </w:r>
    </w:p>
    <w:p>
      <w:pPr>
        <w:spacing w:before="0" w:after="0"/>
      </w:pPr>
      <w:r>
        <w:rPr>
          <w:rFonts w:ascii="Arial" w:cs="Arial" w:eastAsia="Arial" w:hAnsi="Arial"/>
          <w:sz w:val="20"/>
          <w:szCs w:val="20"/>
        </w:rPr>
        <w:t xml:space="preserve">Demo address and accounts: see Annex A, section 1.</w:t>
      </w:r>
    </w:p>
    <w:sectPr>
      <w:headerReference w:type="default" r:id="rId6"/>
      <w:footerReference w:type="default" r:id="rId7"/>
      <w:pgSz w:w="16838" w:h="11906" w:orient="landscape"/>
      <w:pgMar w:top="2880" w:right="1000" w:bottom="2448" w:left="10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000"/>
      </w:tabs>
      <w:spacing w:after="20"/>
      <w:ind w:left="-640"/>
    </w:pPr>
    <w:r>
      <w:drawing>
        <wp:anchor distT="0" distB="0" distL="0" distR="0" simplePos="0" allowOverlap="1" behindDoc="1" locked="0" layoutInCell="1" relativeHeight="1426845">
          <wp:simplePos x="0" y="0"/>
          <wp:positionH relativeFrom="page">
            <wp:posOffset>43106</wp:posOffset>
          </wp:positionH>
          <wp:positionV relativeFrom="paragraph">
            <wp:posOffset>-822960</wp:posOffset>
          </wp:positionV>
          <wp:extent cx="10668781" cy="142684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781" cy="1426845"/>
                  </a:xfrm>
                  <a:prstGeom prst="rect">
                    <a:avLst/>
                  </a:prstGeom>
                </pic:spPr>
              </pic:pic>
            </a:graphicData>
          </a:graphic>
        </wp:anchor>
      </w:drawing>
    </w:r>
    <w:r>
      <w:rPr>
        <w:rFonts w:ascii="Calibri" w:cs="Calibri" w:eastAsia="Calibri" w:hAnsi="Calibri"/>
        <w:b/>
        <w:bCs/>
        <w:color w:val="000000"/>
        <w:sz w:val="20"/>
        <w:szCs w:val="20"/>
      </w:rPr>
      <w:t xml:space="preserve">Address :</w:t>
    </w:r>
    <w:r>
      <w:rPr>
        <w:rFonts w:ascii="Calibri" w:cs="Calibri" w:eastAsia="Calibri" w:hAnsi="Calibri"/>
        <w:b/>
        <w:bCs/>
        <w:color w:val="000000"/>
        <w:sz w:val="20"/>
        <w:szCs w:val="20"/>
      </w:rPr>
      <w:t xml:space="preserve"> House 5, Road 2, Block C, Banasree, Rampura, Dhaka 1219</w:t>
    </w:r>
    <w:r>
      <w:rPr>
        <w:rFonts w:ascii="Calibri" w:cs="Calibri" w:eastAsia="Calibri" w:hAnsi="Calibri"/>
        <w:sz w:val="18"/>
        <w:szCs w:val="18"/>
      </w:rPr>
      <w:t xml:space="preserve">	</w:t>
    </w:r>
    <w:r>
      <w:rPr>
        <w:rFonts w:ascii="Calibri" w:cs="Calibri" w:eastAsia="Calibri" w:hAnsi="Calibri"/>
        <w:color w:val="000000"/>
        <w:sz w:val="18"/>
        <w:szCs w:val="18"/>
      </w:rPr>
      <w:t xml:space="preserve">BIRDS Phase II — Annex B to Compliance Statement</w:t>
    </w:r>
  </w:p>
  <w:p>
    <w:pPr>
      <w:tabs>
        <w:tab w:val="right" w:pos="14000"/>
      </w:tabs>
      <w:spacing w:after="20"/>
      <w:ind w:left="-640"/>
    </w:pPr>
    <w:r>
      <w:rPr>
        <w:rFonts w:ascii="Calibri" w:cs="Calibri" w:eastAsia="Calibri" w:hAnsi="Calibri"/>
        <w:b/>
        <w:bCs/>
        <w:color w:val="000000"/>
        <w:sz w:val="20"/>
        <w:szCs w:val="20"/>
      </w:rPr>
      <w:t xml:space="preserve">Phone    :</w:t>
    </w:r>
    <w:r>
      <w:rPr>
        <w:rFonts w:ascii="Calibri" w:cs="Calibri" w:eastAsia="Calibri" w:hAnsi="Calibri"/>
        <w:b/>
        <w:bCs/>
        <w:color w:val="000000"/>
        <w:sz w:val="20"/>
        <w:szCs w:val="20"/>
      </w:rPr>
      <w:t xml:space="preserve"> 01755253505, 01730357123, 01701072702</w:t>
    </w:r>
    <w:r>
      <w:rPr>
        <w:rFonts w:ascii="Calibri" w:cs="Calibri" w:eastAsia="Calibri" w:hAnsi="Calibri"/>
        <w:sz w:val="18"/>
        <w:szCs w:val="18"/>
      </w:rPr>
      <w:t xml:space="preserve">	</w:t>
    </w:r>
    <w:r>
      <w:rPr>
        <w:rFonts w:ascii="Calibri" w:cs="Calibri" w:eastAsia="Calibri" w:hAnsi="Calibri"/>
        <w:color w:val="000000"/>
        <w:sz w:val="18"/>
        <w:szCs w:val="18"/>
      </w:rPr>
      <w:t xml:space="preserve">e-GP tender tracking no. 1347267</w:t>
    </w:r>
  </w:p>
  <w:p>
    <w:pPr>
      <w:tabs>
        <w:tab w:val="right" w:pos="14000"/>
      </w:tabs>
      <w:spacing w:after="20"/>
      <w:ind w:left="-640"/>
    </w:pPr>
    <w:r>
      <w:rPr>
        <w:rFonts w:ascii="Calibri" w:cs="Calibri" w:eastAsia="Calibri" w:hAnsi="Calibri"/>
        <w:b/>
        <w:bCs/>
        <w:color w:val="000000"/>
        <w:sz w:val="20"/>
        <w:szCs w:val="20"/>
      </w:rPr>
      <w:t xml:space="preserve">E-mail   :</w:t>
    </w:r>
    <w:r>
      <w:rPr>
        <w:rFonts w:ascii="Calibri" w:cs="Calibri" w:eastAsia="Calibri" w:hAnsi="Calibri"/>
        <w:b/>
        <w:bCs/>
        <w:color w:val="000000"/>
        <w:sz w:val="20"/>
        <w:szCs w:val="20"/>
      </w:rPr>
      <w:t xml:space="preserve"> graceinternational98@gmail.com</w:t>
    </w:r>
    <w:r>
      <w:rPr>
        <w:rFonts w:ascii="Calibri" w:cs="Calibri" w:eastAsia="Calibri" w:hAnsi="Calibri"/>
        <w:sz w:val="18"/>
        <w:szCs w:val="18"/>
      </w:rPr>
      <w:t xml:space="preserve">	</w:t>
    </w:r>
    <w:r>
      <w:rPr>
        <w:rFonts w:ascii="Calibri" w:cs="Calibri" w:eastAsia="Calibri" w:hAnsi="Calibri"/>
        <w:color w:val="000000"/>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color w:val="000000"/>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ind w:left="-280"/>
    </w:pPr>
    <w:r>
      <w:drawing>
        <wp:anchor distT="0" distB="0" distL="0" distR="0" simplePos="0" allowOverlap="1" behindDoc="1" locked="0" layoutInCell="1" relativeHeight="1621790">
          <wp:simplePos x="0" y="0"/>
          <wp:positionH relativeFrom="page">
            <wp:posOffset>42208</wp:posOffset>
          </wp:positionH>
          <wp:positionV relativeFrom="paragraph">
            <wp:posOffset>-419100</wp:posOffset>
          </wp:positionV>
          <wp:extent cx="10631961" cy="162179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31961" cy="1621790"/>
                  </a:xfrm>
                  <a:prstGeom prst="rect">
                    <a:avLst/>
                  </a:prstGeom>
                </pic:spPr>
              </pic:pic>
            </a:graphicData>
          </a:graphic>
        </wp:anchor>
      </w:drawing>
    </w:r>
    <w:r>
      <w:rPr>
        <w:rFonts w:ascii="Calibri" w:cs="Calibri" w:eastAsia="Calibri" w:hAnsi="Calibri"/>
        <w:b/>
        <w:bCs/>
        <w:color w:val="000000"/>
        <w:sz w:val="76"/>
        <w:szCs w:val="76"/>
      </w:rPr>
      <w:t xml:space="preserve">Grace International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4e43a05346b1abcef53aa78d91593b3494accaa9.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f076795419ae2647a98a94a532a2ff7b853f1f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B — Value Additions — BIRDS Phase II</dc:title>
  <dc:creator>Grace International</dc:creator>
  <cp:lastModifiedBy>Un-named</cp:lastModifiedBy>
  <cp:revision>1</cp:revision>
  <dcterms:created xsi:type="dcterms:W3CDTF">2026-10-15T08:53:40.221Z</dcterms:created>
  <dcterms:modified xsi:type="dcterms:W3CDTF">2026-10-15T08:53:40.221Z</dcterms:modified>
</cp:coreProperties>
</file>

<file path=docProps/custom.xml><?xml version="1.0" encoding="utf-8"?>
<Properties xmlns="http://schemas.openxmlformats.org/officeDocument/2006/custom-properties" xmlns:vt="http://schemas.openxmlformats.org/officeDocument/2006/docPropsVTypes"/>
</file>