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3: Adversary Emulation Lab Report</w:t>
      </w:r>
    </w:p>
    <w:p>
      <w:pPr>
        <w:pStyle w:val="Heading2"/>
      </w:pPr>
      <w:r>
        <w:t>Step 1: Installation</w:t>
      </w:r>
    </w:p>
    <w:p>
      <w:r>
        <w:t>Caldera and dependencies were installed successfully.</w:t>
      </w:r>
    </w:p>
    <w:p>
      <w:r>
        <w:drawing>
          <wp:inline xmlns:a="http://schemas.openxmlformats.org/drawingml/2006/main" xmlns:pic="http://schemas.openxmlformats.org/drawingml/2006/picture">
            <wp:extent cx="5486400" cy="1136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23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>
      <w:pPr>
        <w:pStyle w:val="Heading2"/>
      </w:pPr>
      <w:r>
        <w:t>Step 2: Server Start</w:t>
      </w:r>
    </w:p>
    <w:p>
      <w:r>
        <w:t>Caldera server started with plugins loaded.</w:t>
      </w:r>
    </w:p>
    <w:p>
      <w:r>
        <w:drawing>
          <wp:inline xmlns:a="http://schemas.openxmlformats.org/drawingml/2006/main" xmlns:pic="http://schemas.openxmlformats.org/drawingml/2006/picture">
            <wp:extent cx="5486400" cy="3454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243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>
      <w:pPr>
        <w:pStyle w:val="Heading2"/>
      </w:pPr>
      <w:r>
        <w:t>Step 3: Login</w:t>
      </w:r>
    </w:p>
    <w:p>
      <w:r>
        <w:t>Accessed Caldera login interface.</w:t>
      </w:r>
    </w:p>
    <w:p>
      <w:r>
        <w:drawing>
          <wp:inline xmlns:a="http://schemas.openxmlformats.org/drawingml/2006/main" xmlns:pic="http://schemas.openxmlformats.org/drawingml/2006/picture">
            <wp:extent cx="5486400" cy="2395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11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>
      <w:pPr>
        <w:pStyle w:val="Heading2"/>
      </w:pPr>
      <w:r>
        <w:t>Step 4: Dashboard</w:t>
      </w:r>
    </w:p>
    <w:p>
      <w:r>
        <w:t>Dashboard shows agents and operations.</w:t>
      </w:r>
    </w:p>
    <w:p>
      <w:r>
        <w:drawing>
          <wp:inline xmlns:a="http://schemas.openxmlformats.org/drawingml/2006/main" xmlns:pic="http://schemas.openxmlformats.org/drawingml/2006/picture">
            <wp:extent cx="5486400" cy="30356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12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>
      <w:pPr>
        <w:pStyle w:val="Heading2"/>
      </w:pPr>
      <w:r>
        <w:t>Step 5: Operation Setup</w:t>
      </w:r>
    </w:p>
    <w:p>
      <w:r>
        <w:t>Created APT29 Simulation operation.</w:t>
      </w:r>
    </w:p>
    <w:p>
      <w:r>
        <w:drawing>
          <wp:inline xmlns:a="http://schemas.openxmlformats.org/drawingml/2006/main" xmlns:pic="http://schemas.openxmlformats.org/drawingml/2006/picture">
            <wp:extent cx="5486400" cy="32860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18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</w:t>
      </w:r>
    </w:p>
    <w:p>
      <w:pPr>
        <w:pStyle w:val="Heading2"/>
      </w:pPr>
      <w:r>
        <w:t>Step 6: Operation Details</w:t>
      </w:r>
    </w:p>
    <w:p>
      <w:r>
        <w:t>Configured operation parameters.</w:t>
      </w:r>
    </w:p>
    <w:p>
      <w:r>
        <w:drawing>
          <wp:inline xmlns:a="http://schemas.openxmlformats.org/drawingml/2006/main" xmlns:pic="http://schemas.openxmlformats.org/drawingml/2006/picture">
            <wp:extent cx="5486400" cy="36713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20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</w:t>
      </w:r>
    </w:p>
    <w:p>
      <w:pPr>
        <w:pStyle w:val="Heading2"/>
      </w:pPr>
      <w:r>
        <w:t>Step 7: Execution</w:t>
      </w:r>
    </w:p>
    <w:p>
      <w:r>
        <w:t>Operation executed successfully.</w:t>
      </w:r>
    </w:p>
    <w:p>
      <w:r>
        <w:drawing>
          <wp:inline xmlns:a="http://schemas.openxmlformats.org/drawingml/2006/main" xmlns:pic="http://schemas.openxmlformats.org/drawingml/2006/picture">
            <wp:extent cx="5486400" cy="36507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22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</w:t>
      </w:r>
    </w:p>
    <w:p>
      <w:pPr>
        <w:pStyle w:val="Heading2"/>
      </w:pPr>
      <w:r>
        <w:t>Step 8: Logs</w:t>
      </w:r>
    </w:p>
    <w:p>
      <w:r>
        <w:t>Observed logs and simulated attack steps.</w:t>
      </w:r>
    </w:p>
    <w:p>
      <w:r>
        <w:drawing>
          <wp:inline xmlns:a="http://schemas.openxmlformats.org/drawingml/2006/main" xmlns:pic="http://schemas.openxmlformats.org/drawingml/2006/picture">
            <wp:extent cx="5486400" cy="4537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09 1624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</w:t>
      </w:r>
    </w:p>
    <w:p>
      <w:pPr>
        <w:pStyle w:val="Heading2"/>
      </w:pPr>
      <w:r>
        <w:t>Findings</w:t>
      </w:r>
    </w:p>
    <w:p>
      <w:r>
        <w:t>Execution (T1059), Persistence (T1547), Discovery (T1082) simulated using Caldera.</w:t>
      </w:r>
    </w:p>
    <w:p>
      <w:pPr>
        <w:pStyle w:val="Heading2"/>
      </w:pPr>
      <w:r>
        <w:t>Summary</w:t>
      </w:r>
    </w:p>
    <w:p>
      <w:r>
        <w:t>MITRE Caldera was used to simulate adversary techniques demonstrating attack lifecycle and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