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7437D" w14:textId="77777777" w:rsidR="008950C9" w:rsidRDefault="008950C9" w:rsidP="008950C9">
      <w:pPr>
        <w:pStyle w:val="font-claude-response-body"/>
      </w:pPr>
      <w:proofErr w:type="spellStart"/>
      <w:r>
        <w:rPr>
          <w:rStyle w:val="Strong"/>
        </w:rPr>
        <w:t>IntelliAI</w:t>
      </w:r>
      <w:proofErr w:type="spellEnd"/>
      <w:r>
        <w:rPr>
          <w:rStyle w:val="Strong"/>
        </w:rPr>
        <w:t xml:space="preserve"> 2.0 — 2-Minute Demo Voiceover</w:t>
      </w:r>
    </w:p>
    <w:p w14:paraId="3284FC82" w14:textId="77777777" w:rsidR="008950C9" w:rsidRDefault="008950C9" w:rsidP="008950C9">
      <w:pPr>
        <w:pStyle w:val="font-claude-response-body"/>
      </w:pPr>
      <w:r>
        <w:rPr>
          <w:rStyle w:val="Strong"/>
        </w:rPr>
        <w:t>BEAT 0 — Architecture (0:00–0:12)</w:t>
      </w:r>
      <w:r>
        <w:t xml:space="preserve"> </w:t>
      </w:r>
      <w:r>
        <w:rPr>
          <w:rStyle w:val="Emphasis"/>
        </w:rPr>
        <w:t>Do:</w:t>
      </w:r>
      <w:r>
        <w:t xml:space="preserve"> Full-screen Figure 1. </w:t>
      </w:r>
      <w:r>
        <w:rPr>
          <w:rStyle w:val="Emphasis"/>
        </w:rPr>
        <w:t>Say:</w:t>
      </w:r>
      <w:r>
        <w:t xml:space="preserve"> "Moving applications between IBM MQ queue managers is risky, manual work. </w:t>
      </w:r>
      <w:proofErr w:type="spellStart"/>
      <w:r>
        <w:t>IntelliAI</w:t>
      </w:r>
      <w:proofErr w:type="spellEnd"/>
      <w:r>
        <w:t xml:space="preserve"> 2.0 turns it into a governed, repeatable process. One control layer talks to MQ — humans approve the decisions, AI agents do the analysis, and deterministic engines do the execution."</w:t>
      </w:r>
    </w:p>
    <w:p w14:paraId="32D7E8DC" w14:textId="77777777" w:rsidR="008950C9" w:rsidRDefault="008950C9" w:rsidP="008950C9">
      <w:pPr>
        <w:pStyle w:val="font-claude-response-body"/>
      </w:pPr>
      <w:r>
        <w:rPr>
          <w:rStyle w:val="Strong"/>
        </w:rPr>
        <w:t>BEAT 1 — Source topology (0:12–0:26)</w:t>
      </w:r>
      <w:r>
        <w:t xml:space="preserve"> </w:t>
      </w:r>
      <w:r>
        <w:rPr>
          <w:rStyle w:val="Emphasis"/>
        </w:rPr>
        <w:t>Do:</w:t>
      </w:r>
      <w:r>
        <w:t xml:space="preserve"> </w:t>
      </w:r>
      <w:r>
        <w:rPr>
          <w:rStyle w:val="HTMLCode"/>
        </w:rPr>
        <w:t>/topology/1</w:t>
      </w:r>
      <w:r>
        <w:t xml:space="preserve">, Provisioning Topology. </w:t>
      </w:r>
      <w:r>
        <w:rPr>
          <w:rStyle w:val="Emphasis"/>
        </w:rPr>
        <w:t>Say:</w:t>
      </w:r>
      <w:r>
        <w:t xml:space="preserve"> "This is the live system. We're looking at the source estate — nine queue managers shared across forty-five application flows, running on real IBM MQ 9.4.5 on OpenShift. This view is read-only; it simply shows what's deployed."</w:t>
      </w:r>
    </w:p>
    <w:p w14:paraId="200D0D66" w14:textId="77777777" w:rsidR="008950C9" w:rsidRDefault="008950C9" w:rsidP="008950C9">
      <w:pPr>
        <w:pStyle w:val="font-claude-response-body"/>
      </w:pPr>
      <w:r>
        <w:rPr>
          <w:rStyle w:val="Strong"/>
        </w:rPr>
        <w:t>BEAT 2 — Topology Viz: source vs target (0:26–0:42)</w:t>
      </w:r>
      <w:r>
        <w:t xml:space="preserve"> </w:t>
      </w:r>
      <w:r>
        <w:rPr>
          <w:rStyle w:val="Emphasis"/>
        </w:rPr>
        <w:t>Do:</w:t>
      </w:r>
      <w:r>
        <w:t xml:space="preserve"> </w:t>
      </w:r>
      <w:r>
        <w:rPr>
          <w:rStyle w:val="HTMLCode"/>
        </w:rPr>
        <w:t>/viz</w:t>
      </w:r>
      <w:r>
        <w:t xml:space="preserve">, Tab 1. </w:t>
      </w:r>
      <w:r>
        <w:rPr>
          <w:rStyle w:val="Emphasis"/>
        </w:rPr>
        <w:t>Say:</w:t>
      </w:r>
      <w:r>
        <w:t xml:space="preserve"> "The Topology Visualization puts the before and after side by side. On the left, nine shared queue managers. On the right, the target: seven dedicated ones, with each application owning exactly one — no more shared tenancy."</w:t>
      </w:r>
    </w:p>
    <w:p w14:paraId="2FC7D4DA" w14:textId="77777777" w:rsidR="008950C9" w:rsidRDefault="008950C9" w:rsidP="008950C9">
      <w:pPr>
        <w:pStyle w:val="font-claude-response-body"/>
      </w:pPr>
      <w:r>
        <w:rPr>
          <w:rStyle w:val="Strong"/>
        </w:rPr>
        <w:t>BEAT 3 — Topology Viz: choreography + data flow (0:42–0:58)</w:t>
      </w:r>
      <w:r>
        <w:t xml:space="preserve"> </w:t>
      </w:r>
      <w:r>
        <w:rPr>
          <w:rStyle w:val="Emphasis"/>
        </w:rPr>
        <w:t>Do:</w:t>
      </w:r>
      <w:r>
        <w:t xml:space="preserve"> </w:t>
      </w:r>
      <w:r>
        <w:rPr>
          <w:rStyle w:val="HTMLCode"/>
        </w:rPr>
        <w:t>/viz</w:t>
      </w:r>
      <w:r>
        <w:t xml:space="preserve">, Tab 2, then Tab 3. </w:t>
      </w:r>
      <w:r>
        <w:rPr>
          <w:rStyle w:val="Emphasis"/>
        </w:rPr>
        <w:t>Say:</w:t>
      </w:r>
      <w:r>
        <w:t xml:space="preserve"> "The choreography view walks through the migration itself — a twelve-state machine that takes one app safely from source to target. And the data flow view shows a message routing through the bridge channel, with drain time predicted by Little's Law and every event causally ordered with Lamport clocks."</w:t>
      </w:r>
    </w:p>
    <w:p w14:paraId="203D7E06" w14:textId="77777777" w:rsidR="008950C9" w:rsidRDefault="008950C9" w:rsidP="008950C9">
      <w:pPr>
        <w:pStyle w:val="font-claude-response-body"/>
      </w:pPr>
      <w:r>
        <w:rPr>
          <w:rStyle w:val="Strong"/>
        </w:rPr>
        <w:t>BEAT 4 — Migrations + approval gate (0:58–1:22)</w:t>
      </w:r>
      <w:r>
        <w:t xml:space="preserve"> — </w:t>
      </w:r>
      <w:r>
        <w:rPr>
          <w:rStyle w:val="Emphasis"/>
        </w:rPr>
        <w:t>headline</w:t>
      </w:r>
      <w:r>
        <w:t xml:space="preserve"> </w:t>
      </w:r>
      <w:r>
        <w:rPr>
          <w:rStyle w:val="Emphasis"/>
        </w:rPr>
        <w:t>Do:</w:t>
      </w:r>
      <w:r>
        <w:t xml:space="preserve"> </w:t>
      </w:r>
      <w:r>
        <w:rPr>
          <w:rStyle w:val="HTMLCode"/>
        </w:rPr>
        <w:t>/migrations</w:t>
      </w:r>
      <w:r>
        <w:t xml:space="preserve">, all 7 </w:t>
      </w:r>
      <w:r>
        <w:rPr>
          <w:rStyle w:val="HTMLCode"/>
        </w:rPr>
        <w:t>COMPLETED</w:t>
      </w:r>
      <w:r>
        <w:t xml:space="preserve">; open one; show the gate panel. </w:t>
      </w:r>
      <w:r>
        <w:rPr>
          <w:rStyle w:val="Emphasis"/>
        </w:rPr>
        <w:t>Say:</w:t>
      </w:r>
      <w:r>
        <w:t xml:space="preserve"> "Here are our seven applications — all of them migrated. But every single one had to pass through this first: a human approval gate. Before anything touches MQ, the operator is shown the migration plan, a risk brief from the </w:t>
      </w:r>
      <w:proofErr w:type="gramStart"/>
      <w:r>
        <w:t>Pre-Flight</w:t>
      </w:r>
      <w:proofErr w:type="gramEnd"/>
      <w:r>
        <w:t xml:space="preserve"> auditor, and a go-or-no-go score calculated from a Markov reliability model. The migration only proceeds when a person clicks Approve."</w:t>
      </w:r>
    </w:p>
    <w:p w14:paraId="721862F3" w14:textId="77777777" w:rsidR="008950C9" w:rsidRDefault="008950C9" w:rsidP="008950C9">
      <w:pPr>
        <w:pStyle w:val="font-claude-response-body"/>
      </w:pPr>
      <w:r>
        <w:rPr>
          <w:rStyle w:val="Strong"/>
        </w:rPr>
        <w:t>BEAT 5 — Blast radius (1:22–1:35)</w:t>
      </w:r>
      <w:r>
        <w:t xml:space="preserve"> </w:t>
      </w:r>
      <w:r>
        <w:rPr>
          <w:rStyle w:val="Emphasis"/>
        </w:rPr>
        <w:t>Do:</w:t>
      </w:r>
      <w:r>
        <w:t xml:space="preserve"> Blast-radius panel on </w:t>
      </w:r>
      <w:r>
        <w:rPr>
          <w:rStyle w:val="HTMLCode"/>
        </w:rPr>
        <w:t>/migrations</w:t>
      </w:r>
      <w:r>
        <w:t xml:space="preserve">. </w:t>
      </w:r>
      <w:r>
        <w:rPr>
          <w:rStyle w:val="Emphasis"/>
        </w:rPr>
        <w:t>Say:</w:t>
      </w:r>
      <w:r>
        <w:t xml:space="preserve"> "The gate also shows the blast radius. Because these queue managers are shared, the system proves — before execution — that only the migrating application's queues are affected. The other apps sharing that queue manager are left completely untouched."</w:t>
      </w:r>
    </w:p>
    <w:p w14:paraId="2C98FC04" w14:textId="77777777" w:rsidR="008950C9" w:rsidRDefault="008950C9" w:rsidP="008950C9">
      <w:pPr>
        <w:pStyle w:val="font-claude-response-body"/>
      </w:pPr>
      <w:r>
        <w:rPr>
          <w:rStyle w:val="Strong"/>
        </w:rPr>
        <w:t>BEAT 6 — Migrated estate (1:35–1:46)</w:t>
      </w:r>
      <w:r>
        <w:t xml:space="preserve"> </w:t>
      </w:r>
      <w:r>
        <w:rPr>
          <w:rStyle w:val="Emphasis"/>
        </w:rPr>
        <w:t>Do:</w:t>
      </w:r>
      <w:r>
        <w:t xml:space="preserve"> </w:t>
      </w:r>
      <w:r>
        <w:rPr>
          <w:rStyle w:val="HTMLCode"/>
        </w:rPr>
        <w:t>/topology/2</w:t>
      </w:r>
      <w:r>
        <w:t xml:space="preserve">. </w:t>
      </w:r>
      <w:r>
        <w:rPr>
          <w:rStyle w:val="Emphasis"/>
        </w:rPr>
        <w:t>Say:</w:t>
      </w:r>
      <w:r>
        <w:t xml:space="preserve"> "And here's the result. All seven applications, now running on their own dedicated queue managers — exactly the target topology we set out to reach."</w:t>
      </w:r>
    </w:p>
    <w:p w14:paraId="0408E320" w14:textId="77777777" w:rsidR="008950C9" w:rsidRDefault="008950C9" w:rsidP="008950C9">
      <w:pPr>
        <w:pStyle w:val="font-claude-response-body"/>
      </w:pPr>
      <w:r>
        <w:rPr>
          <w:rStyle w:val="Strong"/>
        </w:rPr>
        <w:t>BEAT 7 — RCA (1:46–1:55)</w:t>
      </w:r>
      <w:r>
        <w:t xml:space="preserve"> </w:t>
      </w:r>
      <w:r>
        <w:rPr>
          <w:rStyle w:val="Emphasis"/>
        </w:rPr>
        <w:t>Do: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rca</w:t>
      </w:r>
      <w:proofErr w:type="spellEnd"/>
      <w:r>
        <w:t xml:space="preserve">, show a diagnosis. </w:t>
      </w:r>
      <w:r>
        <w:rPr>
          <w:rStyle w:val="Emphasis"/>
        </w:rPr>
        <w:t>Say:</w:t>
      </w:r>
      <w:r>
        <w:t xml:space="preserve"> "If anything ever does go wrong, the RCA Assistant reads the full audit trail, finds the failure, and tells you the exact MQ reason code behind it."</w:t>
      </w:r>
    </w:p>
    <w:p w14:paraId="63FDE28B" w14:textId="77777777" w:rsidR="008950C9" w:rsidRDefault="008950C9" w:rsidP="008950C9">
      <w:pPr>
        <w:pStyle w:val="font-claude-response-body"/>
      </w:pPr>
      <w:r>
        <w:rPr>
          <w:rStyle w:val="Strong"/>
        </w:rPr>
        <w:t>BEAT 8 — Close (1:55–2:00)</w:t>
      </w:r>
      <w:r>
        <w:t xml:space="preserve"> </w:t>
      </w:r>
      <w:r>
        <w:rPr>
          <w:rStyle w:val="Emphasis"/>
        </w:rPr>
        <w:t>Say:</w:t>
      </w:r>
      <w:r>
        <w:t xml:space="preserve"> "Mathematically grounded, human-governed, and fully audited — that's </w:t>
      </w:r>
      <w:proofErr w:type="spellStart"/>
      <w:r>
        <w:t>IntelliAI</w:t>
      </w:r>
      <w:proofErr w:type="spellEnd"/>
      <w:r>
        <w:t xml:space="preserve"> 2.0."</w:t>
      </w:r>
    </w:p>
    <w:p w14:paraId="0E4C7F5C" w14:textId="77777777" w:rsidR="008950C9" w:rsidRDefault="008950C9"/>
    <w:sectPr w:rsidR="00895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C9"/>
    <w:rsid w:val="008950C9"/>
    <w:rsid w:val="00BC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49C2E"/>
  <w15:chartTrackingRefBased/>
  <w15:docId w15:val="{E8DACBC5-C65F-4339-A42E-6D1EBC82C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0C9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95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50C9"/>
    <w:rPr>
      <w:b/>
      <w:bCs/>
    </w:rPr>
  </w:style>
  <w:style w:type="character" w:styleId="Emphasis">
    <w:name w:val="Emphasis"/>
    <w:basedOn w:val="DefaultParagraphFont"/>
    <w:uiPriority w:val="20"/>
    <w:qFormat/>
    <w:rsid w:val="008950C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950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Bhattacharjee</dc:creator>
  <cp:keywords/>
  <dc:description/>
  <cp:lastModifiedBy>subham Bhattacharjee</cp:lastModifiedBy>
  <cp:revision>1</cp:revision>
  <dcterms:created xsi:type="dcterms:W3CDTF">2026-05-19T15:39:00Z</dcterms:created>
  <dcterms:modified xsi:type="dcterms:W3CDTF">2026-05-19T15:39:00Z</dcterms:modified>
</cp:coreProperties>
</file>