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99DF" w14:textId="77777777" w:rsidR="00F02562" w:rsidRDefault="00000000">
      <w:pPr>
        <w:pBdr>
          <w:top w:val="single" w:sz="4" w:space="6" w:color="CCCCCC"/>
        </w:pBdr>
        <w:spacing w:before="200" w:after="120"/>
      </w:pPr>
      <w:r>
        <w:rPr>
          <w:b/>
          <w:bCs/>
          <w:sz w:val="24"/>
          <w:szCs w:val="24"/>
        </w:rPr>
        <w:t>What this document covers</w:t>
      </w:r>
    </w:p>
    <w:p w14:paraId="4729C552" w14:textId="77777777" w:rsidR="00F02562" w:rsidRDefault="00000000">
      <w:pPr>
        <w:spacing w:after="120"/>
      </w:pPr>
      <w:r>
        <w:t>Seven architecture diagrams and two live screenshots of the running system. Diagrams 1–3 and 6–7 reflect the changes shipped in the 12-hour extension — the human approval gate, the five-agent advisory layer, and the statistical validation modules. Diagrams 4 and 5 (transparent rewiring and per-app isolation) are unchanged from the prior revision and remain accurate.</w:t>
      </w:r>
    </w:p>
    <w:p w14:paraId="2883B54E" w14:textId="77777777" w:rsidR="00F02562" w:rsidRDefault="00000000">
      <w:pPr>
        <w:spacing w:after="120"/>
      </w:pPr>
      <w:r>
        <w:t xml:space="preserve">Every component shown is present in the codebase. The five agents — Migration Planner, Pre-Flight Risk Auditor, RCA Assistant, Compliance Narrator, and Operator Assistant — each correspond to a module under </w:t>
      </w:r>
      <w:proofErr w:type="spellStart"/>
      <w:r>
        <w:t>bcl</w:t>
      </w:r>
      <w:proofErr w:type="spellEnd"/>
      <w:r>
        <w:t xml:space="preserve">/agents/ and an entry in the </w:t>
      </w:r>
      <w:proofErr w:type="spellStart"/>
      <w:r>
        <w:t>AgentName</w:t>
      </w:r>
      <w:proofErr w:type="spellEnd"/>
      <w:r>
        <w:t xml:space="preserve"> </w:t>
      </w:r>
      <w:proofErr w:type="spellStart"/>
      <w:r>
        <w:t>enum</w:t>
      </w:r>
      <w:proofErr w:type="spellEnd"/>
      <w:r>
        <w:t>.</w:t>
      </w:r>
    </w:p>
    <w:p w14:paraId="5FCF34FF" w14:textId="77777777" w:rsidR="00F02562" w:rsidRDefault="00000000">
      <w:r>
        <w:br w:type="page"/>
      </w:r>
    </w:p>
    <w:p w14:paraId="2B30F54D" w14:textId="77777777" w:rsidR="00F02562" w:rsidRDefault="00000000">
      <w:pPr>
        <w:pStyle w:val="Heading1"/>
      </w:pPr>
      <w:r>
        <w:lastRenderedPageBreak/>
        <w:t>1. System architecture</w:t>
      </w:r>
    </w:p>
    <w:p w14:paraId="103F5C93" w14:textId="77777777" w:rsidR="00F02562" w:rsidRDefault="00000000">
      <w:pPr>
        <w:spacing w:after="120"/>
      </w:pPr>
      <w:r>
        <w:t xml:space="preserve">The control plane in four layers: a Next.js UI, the </w:t>
      </w:r>
      <w:proofErr w:type="spellStart"/>
      <w:r>
        <w:t>FastAPI</w:t>
      </w:r>
      <w:proofErr w:type="spellEnd"/>
      <w:r>
        <w:t xml:space="preserve"> Business Control Layer (BCL), and the OpenShift namespace running real IBM MQ 9.4.5. The BCL is the only component that talks to MQ, and every destructive action passes the human approval gate.</w:t>
      </w:r>
    </w:p>
    <w:p w14:paraId="69CF1F75" w14:textId="77777777" w:rsidR="00F02562" w:rsidRDefault="00000000">
      <w:pPr>
        <w:spacing w:after="120"/>
      </w:pPr>
      <w:r>
        <w:t>Inside the BCL, work is divided across three kinds of component. Deterministic engines execute state changes. AI agents — LLM-backed, advisory — inform decisions but never change state. Analysis modules supply the math: blast-radius, Markov reliability, the go/no-go decision score, and the statistical tests added in the extension.</w:t>
      </w:r>
    </w:p>
    <w:p w14:paraId="49F6C437" w14:textId="77777777" w:rsidR="00F02562" w:rsidRDefault="00000000">
      <w:pPr>
        <w:spacing w:before="120" w:after="80"/>
        <w:jc w:val="center"/>
      </w:pPr>
      <w:r>
        <w:rPr>
          <w:noProof/>
        </w:rPr>
        <w:drawing>
          <wp:inline distT="0" distB="0" distL="0" distR="0" wp14:anchorId="79AB8593" wp14:editId="44304B58">
            <wp:extent cx="5905500" cy="450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505325"/>
                    </a:xfrm>
                    <a:prstGeom prst="rect">
                      <a:avLst/>
                    </a:prstGeom>
                  </pic:spPr>
                </pic:pic>
              </a:graphicData>
            </a:graphic>
          </wp:inline>
        </w:drawing>
      </w:r>
    </w:p>
    <w:p w14:paraId="1AD23D5C" w14:textId="77777777" w:rsidR="00F02562" w:rsidRDefault="00000000">
      <w:pPr>
        <w:spacing w:after="240"/>
        <w:jc w:val="center"/>
      </w:pPr>
      <w:r>
        <w:rPr>
          <w:i/>
          <w:iCs/>
          <w:color w:val="666666"/>
          <w:sz w:val="19"/>
          <w:szCs w:val="19"/>
        </w:rPr>
        <w:t>Figure 1 — BCL system architecture. UI → BCL → OpenShift, with the three-component split inside the BCL.</w:t>
      </w:r>
    </w:p>
    <w:p w14:paraId="0E88C1ED" w14:textId="77777777" w:rsidR="00F02562" w:rsidRDefault="00000000">
      <w:r>
        <w:br w:type="page"/>
      </w:r>
    </w:p>
    <w:p w14:paraId="2F8449DC" w14:textId="77777777" w:rsidR="00F02562" w:rsidRDefault="00000000">
      <w:pPr>
        <w:pStyle w:val="Heading1"/>
      </w:pPr>
      <w:r>
        <w:lastRenderedPageBreak/>
        <w:t>2. Migration state machine</w:t>
      </w:r>
    </w:p>
    <w:p w14:paraId="01124F92" w14:textId="77777777" w:rsidR="00F02562" w:rsidRDefault="00000000">
      <w:pPr>
        <w:spacing w:after="120"/>
      </w:pPr>
      <w:r>
        <w:t xml:space="preserve">The per-app migration lifecycle. The change from the prior revision is the AWAITING_APPROVAL state, inserted between PLANNED and PROVISIONING_TARGET_QM. This is the human approval gate: the migration parks here with the plan, the </w:t>
      </w:r>
      <w:proofErr w:type="gramStart"/>
      <w:r>
        <w:t>Pre-Flight</w:t>
      </w:r>
      <w:proofErr w:type="gramEnd"/>
      <w:r>
        <w:t xml:space="preserve"> risk brief, and the go/no-go score, and proceeds only on an explicit operator decision.</w:t>
      </w:r>
    </w:p>
    <w:p w14:paraId="368354EE" w14:textId="77777777" w:rsidR="00F02562" w:rsidRDefault="00000000">
      <w:pPr>
        <w:spacing w:after="120"/>
      </w:pPr>
      <w:r>
        <w:t>Three decisions are possible at the gate. Approve resumes the forward path. Abort routes through the rollback engine for a clean exit. Revise re-plans with an operator note folded into the planner input — the note never reaches the state machine or the MQSC. Any *_FAILED step feeds the rollback path; ROLLBACK_FAILED is terminal and needs manual recovery.</w:t>
      </w:r>
    </w:p>
    <w:p w14:paraId="675DED7A" w14:textId="77777777" w:rsidR="00F02562" w:rsidRDefault="00000000">
      <w:pPr>
        <w:spacing w:before="120" w:after="80"/>
        <w:jc w:val="center"/>
      </w:pPr>
      <w:r>
        <w:rPr>
          <w:noProof/>
        </w:rPr>
        <w:drawing>
          <wp:inline distT="0" distB="0" distL="0" distR="0" wp14:anchorId="0BC73B06" wp14:editId="753016AA">
            <wp:extent cx="5334000" cy="5543550"/>
            <wp:effectExtent l="0" t="0" r="0" b="0"/>
            <wp:docPr id="1806007847" name="Picture 180600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5543550"/>
                    </a:xfrm>
                    <a:prstGeom prst="rect">
                      <a:avLst/>
                    </a:prstGeom>
                  </pic:spPr>
                </pic:pic>
              </a:graphicData>
            </a:graphic>
          </wp:inline>
        </w:drawing>
      </w:r>
    </w:p>
    <w:p w14:paraId="196C3D69" w14:textId="77777777" w:rsidR="00F02562" w:rsidRDefault="00000000">
      <w:pPr>
        <w:spacing w:after="240"/>
        <w:jc w:val="center"/>
      </w:pPr>
      <w:r>
        <w:rPr>
          <w:i/>
          <w:iCs/>
          <w:color w:val="666666"/>
          <w:sz w:val="19"/>
          <w:szCs w:val="19"/>
        </w:rPr>
        <w:t>Figure 2 — Migration state machine. The AWAITING_APPROVAL gate (marked NEW) is mandatory and cannot be skipped.</w:t>
      </w:r>
    </w:p>
    <w:p w14:paraId="687CA1AF" w14:textId="77777777" w:rsidR="00F02562" w:rsidRDefault="00000000">
      <w:r>
        <w:br w:type="page"/>
      </w:r>
    </w:p>
    <w:p w14:paraId="1053ADCA" w14:textId="77777777" w:rsidR="00F02562" w:rsidRDefault="00000000">
      <w:pPr>
        <w:pStyle w:val="Heading1"/>
      </w:pPr>
      <w:r>
        <w:lastRenderedPageBreak/>
        <w:t>3. Migration data flow</w:t>
      </w:r>
    </w:p>
    <w:p w14:paraId="753ED17B" w14:textId="77777777" w:rsidR="00F02562" w:rsidRDefault="00000000">
      <w:pPr>
        <w:spacing w:after="120"/>
      </w:pPr>
      <w:r>
        <w:t>How a migration moves through the system end to end. The operator clicks Migrate; the BCL runs guardrails and creates a record. The Migration Planner and the Pre-Flight Risk Auditor run, the go/no-go decision score is computed from the Markov reliability model, and the migration parks at AWAITING_APPROVAL.</w:t>
      </w:r>
    </w:p>
    <w:p w14:paraId="05F7573F" w14:textId="77777777" w:rsidR="00F02562" w:rsidRDefault="00000000">
      <w:pPr>
        <w:spacing w:after="120"/>
      </w:pPr>
      <w:r>
        <w:t>On Approve, the migration engine drives the state machine and applies MQSC on OpenShift. On Abort, the rollback engine exits cleanly. On Revise, the plan is regenerated. Every step — and every gate decision — is written to the Lamport-clocked audit log, which the RCA Assistant, the Operator Assistant, and the Compliance Narrator all read.</w:t>
      </w:r>
    </w:p>
    <w:p w14:paraId="7CDAAD3A" w14:textId="77777777" w:rsidR="00F02562" w:rsidRDefault="00000000">
      <w:pPr>
        <w:spacing w:before="120" w:after="80"/>
        <w:jc w:val="center"/>
      </w:pPr>
      <w:r>
        <w:rPr>
          <w:noProof/>
        </w:rPr>
        <w:drawing>
          <wp:inline distT="0" distB="0" distL="0" distR="0" wp14:anchorId="50E26E85" wp14:editId="19B6BA69">
            <wp:extent cx="5334000" cy="4524375"/>
            <wp:effectExtent l="0" t="0" r="0" b="0"/>
            <wp:docPr id="1986152444" name="Picture 1986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524375"/>
                    </a:xfrm>
                    <a:prstGeom prst="rect">
                      <a:avLst/>
                    </a:prstGeom>
                  </pic:spPr>
                </pic:pic>
              </a:graphicData>
            </a:graphic>
          </wp:inline>
        </w:drawing>
      </w:r>
    </w:p>
    <w:p w14:paraId="6C3483C0" w14:textId="77777777" w:rsidR="00F02562" w:rsidRDefault="00000000">
      <w:pPr>
        <w:spacing w:after="240"/>
        <w:jc w:val="center"/>
      </w:pPr>
      <w:r>
        <w:rPr>
          <w:i/>
          <w:iCs/>
          <w:color w:val="666666"/>
          <w:sz w:val="19"/>
          <w:szCs w:val="19"/>
        </w:rPr>
        <w:t>Figure 3 — Migration data flow, with the approval gate between planning and execution.</w:t>
      </w:r>
    </w:p>
    <w:p w14:paraId="35AF5C5B" w14:textId="77777777" w:rsidR="00F02562" w:rsidRDefault="00000000">
      <w:r>
        <w:br w:type="page"/>
      </w:r>
    </w:p>
    <w:p w14:paraId="2376CF6D" w14:textId="77777777" w:rsidR="00F02562" w:rsidRDefault="00000000">
      <w:pPr>
        <w:pStyle w:val="Heading1"/>
      </w:pPr>
      <w:r>
        <w:lastRenderedPageBreak/>
        <w:t>4. Transparent rewiring</w:t>
      </w:r>
    </w:p>
    <w:p w14:paraId="20003D33" w14:textId="77777777" w:rsidR="00F02562" w:rsidRDefault="00000000">
      <w:pPr>
        <w:spacing w:after="120"/>
      </w:pPr>
      <w:r>
        <w:t xml:space="preserve">How an application is moved without reconfiguring it. The producer keeps </w:t>
      </w:r>
      <w:proofErr w:type="spellStart"/>
      <w:r>
        <w:t>PUTting</w:t>
      </w:r>
      <w:proofErr w:type="spellEnd"/>
      <w:r>
        <w:t xml:space="preserve"> to the same queue name. On the source queue manager, the app's QLOCAL is replaced by a QREMOTE alias whose RNAME and RQMNAME point at the dedicated target QM; an XMITQ and an SDR/RCVR channel pair bridge source to target.</w:t>
      </w:r>
    </w:p>
    <w:p w14:paraId="443894A2" w14:textId="77777777" w:rsidR="00F02562" w:rsidRDefault="00000000">
      <w:pPr>
        <w:spacing w:after="120"/>
      </w:pPr>
      <w:r>
        <w:t>Messages arrive at the target with the same queue name the producer always used. The cutover is invisible to the application — no connection string changes, no restart. This diagram is unchanged from the prior revision and remains accurate.</w:t>
      </w:r>
    </w:p>
    <w:p w14:paraId="49AAF327" w14:textId="77777777" w:rsidR="00F02562" w:rsidRDefault="00000000">
      <w:pPr>
        <w:spacing w:before="120" w:after="80"/>
        <w:jc w:val="center"/>
      </w:pPr>
      <w:r>
        <w:rPr>
          <w:noProof/>
        </w:rPr>
        <w:drawing>
          <wp:inline distT="0" distB="0" distL="0" distR="0" wp14:anchorId="121A1CAC" wp14:editId="0ECAB3C0">
            <wp:extent cx="4953000" cy="4667250"/>
            <wp:effectExtent l="0" t="0" r="0" b="0"/>
            <wp:docPr id="1864564136" name="Picture 186456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667250"/>
                    </a:xfrm>
                    <a:prstGeom prst="rect">
                      <a:avLst/>
                    </a:prstGeom>
                  </pic:spPr>
                </pic:pic>
              </a:graphicData>
            </a:graphic>
          </wp:inline>
        </w:drawing>
      </w:r>
    </w:p>
    <w:p w14:paraId="3E3EF303" w14:textId="77777777" w:rsidR="00F02562" w:rsidRDefault="00000000">
      <w:pPr>
        <w:spacing w:after="240"/>
        <w:jc w:val="center"/>
      </w:pPr>
      <w:r>
        <w:rPr>
          <w:i/>
          <w:iCs/>
          <w:color w:val="666666"/>
          <w:sz w:val="19"/>
          <w:szCs w:val="19"/>
        </w:rPr>
        <w:t>Figure 4 — Transparent rewiring via QREMOTE alias and XMITQ bridge.</w:t>
      </w:r>
    </w:p>
    <w:p w14:paraId="0FFD9DBF" w14:textId="77777777" w:rsidR="00F02562" w:rsidRDefault="00000000">
      <w:r>
        <w:br w:type="page"/>
      </w:r>
    </w:p>
    <w:p w14:paraId="0F997232" w14:textId="77777777" w:rsidR="00F02562" w:rsidRDefault="00000000">
      <w:pPr>
        <w:pStyle w:val="Heading1"/>
      </w:pPr>
      <w:r>
        <w:lastRenderedPageBreak/>
        <w:t>5. Per-app isolation — the blast-radius proof</w:t>
      </w:r>
    </w:p>
    <w:p w14:paraId="0CBE986C" w14:textId="77777777" w:rsidR="00F02562" w:rsidRDefault="00000000">
      <w:pPr>
        <w:spacing w:after="120"/>
      </w:pPr>
      <w:r>
        <w:t>Source queue managers are shared: several apps' queues co-reside on one QM. When one app migrates, only that app's queues are rewired. The blast-radius analysis enumerates every MQSC command the migration will run before it runs, and verifies that zero commands touch a co-tenant's queues.</w:t>
      </w:r>
    </w:p>
    <w:p w14:paraId="06EA19D1" w14:textId="77777777" w:rsidR="00F02562" w:rsidRDefault="00000000">
      <w:pPr>
        <w:spacing w:after="120"/>
      </w:pPr>
      <w:r>
        <w:t>Co-tenant apps are provably undisturbed. Per-app rollback is local in the same way — reverting one app walks only that app's audit entries. This diagram is unchanged from the prior revision and remains accurate.</w:t>
      </w:r>
    </w:p>
    <w:p w14:paraId="5DED0B57" w14:textId="77777777" w:rsidR="00F02562" w:rsidRDefault="00000000">
      <w:pPr>
        <w:spacing w:before="120" w:after="80"/>
        <w:jc w:val="center"/>
      </w:pPr>
      <w:r>
        <w:rPr>
          <w:noProof/>
        </w:rPr>
        <w:drawing>
          <wp:inline distT="0" distB="0" distL="0" distR="0" wp14:anchorId="115E883F" wp14:editId="729D94E7">
            <wp:extent cx="4953000" cy="4457700"/>
            <wp:effectExtent l="0" t="0" r="0" b="0"/>
            <wp:docPr id="827294040" name="Picture 82729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457700"/>
                    </a:xfrm>
                    <a:prstGeom prst="rect">
                      <a:avLst/>
                    </a:prstGeom>
                  </pic:spPr>
                </pic:pic>
              </a:graphicData>
            </a:graphic>
          </wp:inline>
        </w:drawing>
      </w:r>
    </w:p>
    <w:p w14:paraId="69D8ED15" w14:textId="77777777" w:rsidR="00F02562" w:rsidRDefault="00000000">
      <w:pPr>
        <w:spacing w:after="240"/>
        <w:jc w:val="center"/>
      </w:pPr>
      <w:r>
        <w:rPr>
          <w:i/>
          <w:iCs/>
          <w:color w:val="666666"/>
          <w:sz w:val="19"/>
          <w:szCs w:val="19"/>
        </w:rPr>
        <w:t>Figure 5 — Blast-radius analysis: migrating app A leaves co-tenants B and C provably untouched.</w:t>
      </w:r>
    </w:p>
    <w:p w14:paraId="420C2EB9" w14:textId="77777777" w:rsidR="00F02562" w:rsidRDefault="00000000">
      <w:r>
        <w:br w:type="page"/>
      </w:r>
    </w:p>
    <w:p w14:paraId="68693EDB" w14:textId="77777777" w:rsidR="00F02562" w:rsidRDefault="00000000">
      <w:pPr>
        <w:pStyle w:val="Heading1"/>
      </w:pPr>
      <w:r>
        <w:lastRenderedPageBreak/>
        <w:t>6. The human approval gate</w:t>
      </w:r>
    </w:p>
    <w:p w14:paraId="289D349F" w14:textId="77777777" w:rsidR="00F02562" w:rsidRDefault="00000000">
      <w:pPr>
        <w:spacing w:after="120"/>
      </w:pPr>
      <w:r>
        <w:t xml:space="preserve">New in the 12-hour extension. No destructive MQ operation runs until an operator decides. The gate assembles a package — the plan narrative, the </w:t>
      </w:r>
      <w:proofErr w:type="gramStart"/>
      <w:r>
        <w:t>Pre-Flight</w:t>
      </w:r>
      <w:proofErr w:type="gramEnd"/>
      <w:r>
        <w:t xml:space="preserve"> risk brief, and the go/no-go decision score — and presents all three together.</w:t>
      </w:r>
    </w:p>
    <w:p w14:paraId="31F8822B" w14:textId="77777777" w:rsidR="00F02562" w:rsidRDefault="00000000">
      <w:pPr>
        <w:spacing w:after="120"/>
      </w:pPr>
      <w:r>
        <w:t>The operator chooses Approve, Revise, or Abort. Every decision writes a Lamport-clocked audit entry recording the operator identity and, for Revise, the free-text note. The gate is accountable, not merely present.</w:t>
      </w:r>
    </w:p>
    <w:p w14:paraId="25A66D43" w14:textId="77777777" w:rsidR="00F02562" w:rsidRDefault="00000000">
      <w:pPr>
        <w:spacing w:before="120" w:after="80"/>
        <w:jc w:val="center"/>
      </w:pPr>
      <w:r>
        <w:rPr>
          <w:noProof/>
        </w:rPr>
        <w:drawing>
          <wp:inline distT="0" distB="0" distL="0" distR="0" wp14:anchorId="22664EB7" wp14:editId="49E6926E">
            <wp:extent cx="5905500" cy="4076700"/>
            <wp:effectExtent l="0" t="0" r="0" b="0"/>
            <wp:docPr id="1273170918" name="Picture 127317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76700"/>
                    </a:xfrm>
                    <a:prstGeom prst="rect">
                      <a:avLst/>
                    </a:prstGeom>
                  </pic:spPr>
                </pic:pic>
              </a:graphicData>
            </a:graphic>
          </wp:inline>
        </w:drawing>
      </w:r>
    </w:p>
    <w:p w14:paraId="7CBA5B4F" w14:textId="77777777" w:rsidR="00F02562" w:rsidRDefault="00000000">
      <w:pPr>
        <w:spacing w:after="240"/>
        <w:jc w:val="center"/>
      </w:pPr>
      <w:r>
        <w:rPr>
          <w:i/>
          <w:iCs/>
          <w:color w:val="666666"/>
          <w:sz w:val="19"/>
          <w:szCs w:val="19"/>
        </w:rPr>
        <w:t>Figure 6 — The approval gate: package contents, the three decisions, and their outcomes.</w:t>
      </w:r>
    </w:p>
    <w:p w14:paraId="144DD9D7" w14:textId="77777777" w:rsidR="00F02562" w:rsidRDefault="00000000">
      <w:r>
        <w:br w:type="page"/>
      </w:r>
    </w:p>
    <w:p w14:paraId="09AAD591" w14:textId="77777777" w:rsidR="00F02562" w:rsidRDefault="00000000">
      <w:pPr>
        <w:pStyle w:val="Heading1"/>
      </w:pPr>
      <w:r>
        <w:lastRenderedPageBreak/>
        <w:t>7. The three-layer governance spine</w:t>
      </w:r>
    </w:p>
    <w:p w14:paraId="79CFC196" w14:textId="77777777" w:rsidR="00F02562" w:rsidRDefault="00000000">
      <w:pPr>
        <w:spacing w:after="120"/>
      </w:pPr>
      <w:r>
        <w:t>The principle that holds the design together. Humans approve and are accountable. AI agents advise but cannot act — their output is advisory text and structured findings, never a state change. Deterministic engines execute and enforce; they are the only layer that changes state, and no LLM sits in any state transition.</w:t>
      </w:r>
    </w:p>
    <w:p w14:paraId="32429440" w14:textId="77777777" w:rsidR="00F02562" w:rsidRDefault="00000000">
      <w:pPr>
        <w:spacing w:after="120"/>
      </w:pPr>
      <w:r>
        <w:t>If the LLM is unreachable, the agent layer falls back to deterministic output. The human and engine layers are unaffected. A failure in the advisory layer degrades the advice — it can never cause an unsafe state change.</w:t>
      </w:r>
    </w:p>
    <w:p w14:paraId="3F3E1F5C" w14:textId="77777777" w:rsidR="00F02562" w:rsidRDefault="00000000">
      <w:pPr>
        <w:spacing w:before="120" w:after="80"/>
        <w:jc w:val="center"/>
      </w:pPr>
      <w:r>
        <w:rPr>
          <w:noProof/>
        </w:rPr>
        <w:drawing>
          <wp:inline distT="0" distB="0" distL="0" distR="0" wp14:anchorId="2D8C5889" wp14:editId="7C2D39B0">
            <wp:extent cx="5905500" cy="3867150"/>
            <wp:effectExtent l="0" t="0" r="0" b="0"/>
            <wp:docPr id="98089037" name="Picture 9808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867150"/>
                    </a:xfrm>
                    <a:prstGeom prst="rect">
                      <a:avLst/>
                    </a:prstGeom>
                  </pic:spPr>
                </pic:pic>
              </a:graphicData>
            </a:graphic>
          </wp:inline>
        </w:drawing>
      </w:r>
    </w:p>
    <w:p w14:paraId="4D45EA88" w14:textId="77777777" w:rsidR="00F02562" w:rsidRDefault="00000000">
      <w:pPr>
        <w:spacing w:after="240"/>
        <w:jc w:val="center"/>
      </w:pPr>
      <w:r>
        <w:rPr>
          <w:i/>
          <w:iCs/>
          <w:color w:val="666666"/>
          <w:sz w:val="19"/>
          <w:szCs w:val="19"/>
        </w:rPr>
        <w:t>Figure 7 — The three-layer governance spine: humans approve, agents advise, engines execute.</w:t>
      </w:r>
    </w:p>
    <w:p w14:paraId="0E4342A5" w14:textId="77777777" w:rsidR="00F02562" w:rsidRDefault="00000000">
      <w:r>
        <w:br w:type="page"/>
      </w:r>
    </w:p>
    <w:sectPr w:rsidR="00F025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A7CAD"/>
    <w:multiLevelType w:val="hybridMultilevel"/>
    <w:tmpl w:val="8CC878D4"/>
    <w:lvl w:ilvl="0" w:tplc="C0B45266">
      <w:start w:val="1"/>
      <w:numFmt w:val="bullet"/>
      <w:lvlText w:val="●"/>
      <w:lvlJc w:val="left"/>
      <w:pPr>
        <w:ind w:left="720" w:hanging="360"/>
      </w:pPr>
    </w:lvl>
    <w:lvl w:ilvl="1" w:tplc="9C06F9FC">
      <w:start w:val="1"/>
      <w:numFmt w:val="bullet"/>
      <w:lvlText w:val="○"/>
      <w:lvlJc w:val="left"/>
      <w:pPr>
        <w:ind w:left="1440" w:hanging="360"/>
      </w:pPr>
    </w:lvl>
    <w:lvl w:ilvl="2" w:tplc="E0C0A9A0">
      <w:start w:val="1"/>
      <w:numFmt w:val="bullet"/>
      <w:lvlText w:val="■"/>
      <w:lvlJc w:val="left"/>
      <w:pPr>
        <w:ind w:left="2160" w:hanging="360"/>
      </w:pPr>
    </w:lvl>
    <w:lvl w:ilvl="3" w:tplc="E7D2E3EE">
      <w:start w:val="1"/>
      <w:numFmt w:val="bullet"/>
      <w:lvlText w:val="●"/>
      <w:lvlJc w:val="left"/>
      <w:pPr>
        <w:ind w:left="2880" w:hanging="360"/>
      </w:pPr>
    </w:lvl>
    <w:lvl w:ilvl="4" w:tplc="DB028984">
      <w:start w:val="1"/>
      <w:numFmt w:val="bullet"/>
      <w:lvlText w:val="○"/>
      <w:lvlJc w:val="left"/>
      <w:pPr>
        <w:ind w:left="3600" w:hanging="360"/>
      </w:pPr>
    </w:lvl>
    <w:lvl w:ilvl="5" w:tplc="ED3486AC">
      <w:start w:val="1"/>
      <w:numFmt w:val="bullet"/>
      <w:lvlText w:val="■"/>
      <w:lvlJc w:val="left"/>
      <w:pPr>
        <w:ind w:left="4320" w:hanging="360"/>
      </w:pPr>
    </w:lvl>
    <w:lvl w:ilvl="6" w:tplc="F168E4D6">
      <w:start w:val="1"/>
      <w:numFmt w:val="bullet"/>
      <w:lvlText w:val="●"/>
      <w:lvlJc w:val="left"/>
      <w:pPr>
        <w:ind w:left="5040" w:hanging="360"/>
      </w:pPr>
    </w:lvl>
    <w:lvl w:ilvl="7" w:tplc="80DE6CBA">
      <w:start w:val="1"/>
      <w:numFmt w:val="bullet"/>
      <w:lvlText w:val="●"/>
      <w:lvlJc w:val="left"/>
      <w:pPr>
        <w:ind w:left="5760" w:hanging="360"/>
      </w:pPr>
    </w:lvl>
    <w:lvl w:ilvl="8" w:tplc="87A8AF8C">
      <w:start w:val="1"/>
      <w:numFmt w:val="bullet"/>
      <w:lvlText w:val="●"/>
      <w:lvlJc w:val="left"/>
      <w:pPr>
        <w:ind w:left="6480" w:hanging="360"/>
      </w:pPr>
    </w:lvl>
  </w:abstractNum>
  <w:num w:numId="1" w16cid:durableId="195507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562"/>
    <w:rsid w:val="001B12D8"/>
    <w:rsid w:val="00DC417D"/>
    <w:rsid w:val="00E012E5"/>
    <w:rsid w:val="00F02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9C91"/>
  <w15:docId w15:val="{EDD0ECBE-6D5F-4AFF-A81E-FC05737A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B66"/>
      <w:sz w:val="30"/>
      <w:szCs w:val="30"/>
    </w:rPr>
  </w:style>
  <w:style w:type="paragraph" w:styleId="Heading2">
    <w:name w:val="heading 2"/>
    <w:uiPriority w:val="9"/>
    <w:unhideWhenUsed/>
    <w:qFormat/>
    <w:pPr>
      <w:spacing w:before="200" w:after="140"/>
      <w:outlineLvl w:val="1"/>
    </w:pPr>
    <w:rPr>
      <w:b/>
      <w:bCs/>
      <w:color w:val="3355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subham Bhattacharjee</cp:lastModifiedBy>
  <cp:revision>3</cp:revision>
  <dcterms:created xsi:type="dcterms:W3CDTF">2026-05-19T13:06:00Z</dcterms:created>
  <dcterms:modified xsi:type="dcterms:W3CDTF">2026-05-19T13:13:00Z</dcterms:modified>
</cp:coreProperties>
</file>