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984A" w14:textId="7ED422E2" w:rsidR="006F4D01" w:rsidRDefault="00000000">
      <w:pPr>
        <w:spacing w:after="40"/>
      </w:pPr>
      <w:r>
        <w:rPr>
          <w:b/>
          <w:bCs/>
          <w:sz w:val="38"/>
          <w:szCs w:val="38"/>
        </w:rPr>
        <w:t>IntelliAI — Demo Walkthrough Script</w:t>
      </w:r>
      <w:r w:rsidR="003A435C">
        <w:rPr>
          <w:b/>
          <w:bCs/>
          <w:sz w:val="38"/>
          <w:szCs w:val="38"/>
        </w:rPr>
        <w:t xml:space="preserve">   </w:t>
      </w:r>
    </w:p>
    <w:p w14:paraId="55372546" w14:textId="77777777" w:rsidR="006F4D01" w:rsidRDefault="00000000">
      <w:pPr>
        <w:spacing w:after="40"/>
      </w:pPr>
      <w:r>
        <w:rPr>
          <w:color w:val="555555"/>
          <w:sz w:val="21"/>
          <w:szCs w:val="21"/>
        </w:rPr>
        <w:t>MQ-TITAN Phase 2 · IBM MQ Hackathon 2026 · Wells Fargo</w:t>
      </w:r>
    </w:p>
    <w:p w14:paraId="3F9DD8D4" w14:textId="77777777" w:rsidR="006F4D01" w:rsidRDefault="00000000">
      <w:pPr>
        <w:pBdr>
          <w:bottom w:val="single" w:sz="6" w:space="4" w:color="2E5AAC"/>
        </w:pBdr>
        <w:spacing w:after="240"/>
      </w:pPr>
      <w:r>
        <w:rPr>
          <w:color w:val="555555"/>
          <w:sz w:val="20"/>
          <w:szCs w:val="20"/>
        </w:rPr>
        <w:t>Target recording time: 2 minutes  ·  Solution-first — problem cut, judges already know it</w:t>
      </w:r>
    </w:p>
    <w:p w14:paraId="25941429" w14:textId="77777777" w:rsidR="006F4D01" w:rsidRDefault="00000000">
      <w:pPr>
        <w:spacing w:after="160"/>
      </w:pPr>
      <w:r>
        <w:rPr>
          <w:i/>
          <w:iCs/>
          <w:sz w:val="21"/>
          <w:szCs w:val="21"/>
        </w:rPr>
        <w:t>Each block is one screen. Bold time marker is your cumulative target; SCREEN line tells you where to navigate; indented text is the exact voiceover — it is timed. The first 25 seconds are tight: open on the running system, not on slides.</w:t>
      </w:r>
    </w:p>
    <w:p w14:paraId="3CD625E3" w14:textId="77777777" w:rsidR="006F4D01" w:rsidRDefault="00000000">
      <w:pPr>
        <w:spacing w:before="240" w:after="60"/>
      </w:pPr>
      <w:r>
        <w:rPr>
          <w:b/>
          <w:bCs/>
          <w:color w:val="2E5AAC"/>
        </w:rPr>
        <w:t>0:00 – 0:15  —  What IntelliAI is</w:t>
      </w:r>
    </w:p>
    <w:p w14:paraId="7E7849C1" w14:textId="77777777" w:rsidR="006F4D01" w:rsidRDefault="00000000">
      <w:pPr>
        <w:spacing w:after="120"/>
      </w:pPr>
      <w:r>
        <w:rPr>
          <w:b/>
          <w:bCs/>
          <w:color w:val="555555"/>
          <w:sz w:val="18"/>
          <w:szCs w:val="18"/>
        </w:rPr>
        <w:t xml:space="preserve">SCREEN:  </w:t>
      </w:r>
      <w:r>
        <w:rPr>
          <w:i/>
          <w:iCs/>
          <w:color w:val="555555"/>
          <w:sz w:val="18"/>
          <w:szCs w:val="18"/>
        </w:rPr>
        <w:t>Architecture / topology view — the running system, not a slide</w:t>
      </w:r>
    </w:p>
    <w:p w14:paraId="67B27E93" w14:textId="77777777" w:rsidR="006F4D01" w:rsidRDefault="00000000">
      <w:pPr>
        <w:spacing w:after="120"/>
        <w:ind w:left="360"/>
      </w:pPr>
      <w:r>
        <w:t>IntelliAI gives every application its own dedicated queue manager — migrating it off a shared one, live, with no message lost and no reconfiguration. It’s a control plane. Every MQ operation goes through one layer, the Business Control Layer. The BCL is the only thing that talks to MQ, so every change is validated, sequenced, and audit-logged with a Lamport clock. Migration runs on an explicit state machine, one app at a time.</w:t>
      </w:r>
    </w:p>
    <w:p w14:paraId="45AECB35" w14:textId="77777777" w:rsidR="006F4D01" w:rsidRDefault="00000000">
      <w:pPr>
        <w:spacing w:before="240" w:after="60"/>
      </w:pPr>
      <w:r>
        <w:rPr>
          <w:b/>
          <w:bCs/>
          <w:color w:val="2E5AAC"/>
        </w:rPr>
        <w:t>0:15 – 0:30  —  Topology + OpenShift footprint</w:t>
      </w:r>
    </w:p>
    <w:p w14:paraId="5DB6891E" w14:textId="77777777" w:rsidR="006F4D01" w:rsidRDefault="00000000">
      <w:pPr>
        <w:spacing w:after="120"/>
      </w:pPr>
      <w:r>
        <w:rPr>
          <w:b/>
          <w:bCs/>
          <w:color w:val="555555"/>
          <w:sz w:val="18"/>
          <w:szCs w:val="18"/>
        </w:rPr>
        <w:t xml:space="preserve">SCREEN:  </w:t>
      </w:r>
      <w:r>
        <w:rPr>
          <w:i/>
          <w:iCs/>
          <w:color w:val="555555"/>
          <w:sz w:val="18"/>
          <w:szCs w:val="18"/>
        </w:rPr>
        <w:t>Topology Viz tab — source vs. target</w:t>
      </w:r>
    </w:p>
    <w:p w14:paraId="3EB72E12" w14:textId="77777777" w:rsidR="006F4D01" w:rsidRDefault="00000000">
      <w:pPr>
        <w:spacing w:after="120"/>
        <w:ind w:left="360"/>
      </w:pPr>
      <w:r>
        <w:t>We upload the source and target definition files, and IntelliAI provisions everything as real OpenShift objects — queue manager pods, ClusterIP services, transmission queues, and sender/receiver channel pairs. Left is the shared-QM source estate; right is the dedicated-QM target. This isn’t simulated — these are live IBM MQ 9.4.5 pods.</w:t>
      </w:r>
    </w:p>
    <w:p w14:paraId="146F5124" w14:textId="77777777" w:rsidR="006F4D01" w:rsidRDefault="00000000">
      <w:pPr>
        <w:spacing w:before="240" w:after="60"/>
      </w:pPr>
      <w:r>
        <w:rPr>
          <w:b/>
          <w:bCs/>
          <w:color w:val="2E5AAC"/>
        </w:rPr>
        <w:t>0:30 – 1:00  —  Run a migration</w:t>
      </w:r>
    </w:p>
    <w:p w14:paraId="0D889B70" w14:textId="77777777" w:rsidR="006F4D01" w:rsidRDefault="00000000">
      <w:pPr>
        <w:spacing w:after="120"/>
      </w:pPr>
      <w:r>
        <w:rPr>
          <w:b/>
          <w:bCs/>
          <w:color w:val="555555"/>
          <w:sz w:val="18"/>
          <w:szCs w:val="18"/>
        </w:rPr>
        <w:t xml:space="preserve">SCREEN:  </w:t>
      </w:r>
      <w:r>
        <w:rPr>
          <w:i/>
          <w:iCs/>
          <w:color w:val="555555"/>
          <w:sz w:val="18"/>
          <w:szCs w:val="18"/>
        </w:rPr>
        <w:t>Migrations tab — start a migration, state machine animates</w:t>
      </w:r>
    </w:p>
    <w:p w14:paraId="4CBFC47F" w14:textId="77777777" w:rsidR="006F4D01" w:rsidRDefault="00000000">
      <w:pPr>
        <w:spacing w:after="120"/>
        <w:ind w:left="360"/>
      </w:pPr>
      <w:r>
        <w:t>I start a migration for one app. First we provision its dedicated target queue manager. Then we build the bridge — a transmission queue and sender/receiver channel pair between source and target. Then the key step: we redefine the app’s local queue as a remote queue alias. The producer keeps connecting to the exact same queue — it never reconnects — but MQ now routes every message across the bridge to the new queue manager. The cutover is invisible to the application. The state machine you’re watching maps one-to-one to a TLA-plus specification — the migration coordinator is formally model-checked.</w:t>
      </w:r>
    </w:p>
    <w:p w14:paraId="73E20770" w14:textId="77777777" w:rsidR="006F4D01" w:rsidRDefault="00000000">
      <w:pPr>
        <w:spacing w:before="240" w:after="60"/>
      </w:pPr>
      <w:r>
        <w:rPr>
          <w:b/>
          <w:bCs/>
          <w:color w:val="2E5AAC"/>
        </w:rPr>
        <w:t>1:00 – 1:15  —  Why it’s safe: drain proof + blast radius</w:t>
      </w:r>
    </w:p>
    <w:p w14:paraId="41444295" w14:textId="77777777" w:rsidR="006F4D01" w:rsidRDefault="00000000">
      <w:pPr>
        <w:spacing w:after="120"/>
      </w:pPr>
      <w:r>
        <w:rPr>
          <w:b/>
          <w:bCs/>
          <w:color w:val="555555"/>
          <w:sz w:val="18"/>
          <w:szCs w:val="18"/>
        </w:rPr>
        <w:t xml:space="preserve">SCREEN:  </w:t>
      </w:r>
      <w:r>
        <w:rPr>
          <w:i/>
          <w:iCs/>
          <w:color w:val="555555"/>
          <w:sz w:val="18"/>
          <w:szCs w:val="18"/>
        </w:rPr>
        <w:t>Migrations / Blast Radius analysis panel</w:t>
      </w:r>
    </w:p>
    <w:p w14:paraId="72BB215F" w14:textId="77777777" w:rsidR="006F4D01" w:rsidRDefault="00000000">
      <w:pPr>
        <w:spacing w:after="120"/>
        <w:ind w:left="360"/>
      </w:pPr>
      <w:r>
        <w:t>Two things make this safe. We drain the old queue and poll its depth to zero — proof no message was left behind. And the blast-radius analysis runs before migration even starts: it confirms zero MQSC commands touch a co-tenant queue manager. Because we rewire per-queue, the other apps on that shared QM are provably never disturbed. The drain time is predicted with Little’s Law — the formula is shown right in the UI, no black box.</w:t>
      </w:r>
    </w:p>
    <w:p w14:paraId="0FFC3226" w14:textId="77777777" w:rsidR="006F4D01" w:rsidRDefault="00000000">
      <w:pPr>
        <w:spacing w:before="240" w:after="60"/>
      </w:pPr>
      <w:r>
        <w:rPr>
          <w:b/>
          <w:bCs/>
          <w:color w:val="2E5AAC"/>
        </w:rPr>
        <w:t>1:15 – 1:30  —  Failure handling: RCA</w:t>
      </w:r>
    </w:p>
    <w:p w14:paraId="591CA05D" w14:textId="77777777" w:rsidR="006F4D01" w:rsidRDefault="00000000">
      <w:pPr>
        <w:spacing w:after="120"/>
      </w:pPr>
      <w:r>
        <w:rPr>
          <w:b/>
          <w:bCs/>
          <w:color w:val="555555"/>
          <w:sz w:val="18"/>
          <w:szCs w:val="18"/>
        </w:rPr>
        <w:t xml:space="preserve">SCREEN:  </w:t>
      </w:r>
      <w:r>
        <w:rPr>
          <w:i/>
          <w:iCs/>
          <w:color w:val="555555"/>
          <w:sz w:val="18"/>
          <w:szCs w:val="18"/>
        </w:rPr>
        <w:t>Root Cause Analysis screen</w:t>
      </w:r>
    </w:p>
    <w:p w14:paraId="3A40F158" w14:textId="77777777" w:rsidR="006F4D01" w:rsidRDefault="00000000">
      <w:pPr>
        <w:spacing w:after="120"/>
        <w:ind w:left="360"/>
      </w:pPr>
      <w:r>
        <w:t>If a step fails, the engine rolls that one app back automatically. The RCA Assistant — backed by an LLM with a deterministic fallback so it never goes dark — reads the Lamport-ordered audit trail, finds the failure event, names the exact MQ reason code, and produces a structured diagnosis. The operator fixes the cause and re-runs.</w:t>
      </w:r>
    </w:p>
    <w:p w14:paraId="68778379" w14:textId="77777777" w:rsidR="006F4D01" w:rsidRDefault="00000000">
      <w:pPr>
        <w:spacing w:before="240" w:after="60"/>
      </w:pPr>
      <w:r>
        <w:rPr>
          <w:b/>
          <w:bCs/>
          <w:color w:val="2E5AAC"/>
        </w:rPr>
        <w:t>1:30 – 1:45  —  Verify it works: test message + operator assistant</w:t>
      </w:r>
    </w:p>
    <w:p w14:paraId="4BFBB63D" w14:textId="77777777" w:rsidR="006F4D01" w:rsidRDefault="00000000">
      <w:pPr>
        <w:spacing w:after="120"/>
      </w:pPr>
      <w:r>
        <w:rPr>
          <w:b/>
          <w:bCs/>
          <w:color w:val="555555"/>
          <w:sz w:val="18"/>
          <w:szCs w:val="18"/>
        </w:rPr>
        <w:lastRenderedPageBreak/>
        <w:t xml:space="preserve">SCREEN:  </w:t>
      </w:r>
      <w:r>
        <w:rPr>
          <w:i/>
          <w:iCs/>
          <w:color w:val="555555"/>
          <w:sz w:val="18"/>
          <w:szCs w:val="18"/>
        </w:rPr>
        <w:t>Data Flow tab, then Operator Assistant chat</w:t>
      </w:r>
    </w:p>
    <w:p w14:paraId="128B109D" w14:textId="77777777" w:rsidR="006F4D01" w:rsidRDefault="00000000">
      <w:pPr>
        <w:spacing w:after="120"/>
        <w:ind w:left="360"/>
      </w:pPr>
      <w:r>
        <w:t>To prove the flow, Data Flow sends a real message end-to-end — producer to consumer across the new path — put, poll, get, all green. And the Operator Assistant chat lets you interrogate any migration in plain English: ask what happened to an app, why a step failed, what’s on the audit trail — it answers from the record.</w:t>
      </w:r>
    </w:p>
    <w:p w14:paraId="7C091153" w14:textId="77777777" w:rsidR="006F4D01" w:rsidRDefault="00000000">
      <w:pPr>
        <w:spacing w:before="240" w:after="60"/>
      </w:pPr>
      <w:r>
        <w:rPr>
          <w:b/>
          <w:bCs/>
          <w:color w:val="2E5AAC"/>
        </w:rPr>
        <w:t>1:45 – 2:00  —  Evidence + close</w:t>
      </w:r>
    </w:p>
    <w:p w14:paraId="02EAA97F" w14:textId="77777777" w:rsidR="006F4D01" w:rsidRDefault="00000000">
      <w:pPr>
        <w:spacing w:after="120"/>
      </w:pPr>
      <w:r>
        <w:rPr>
          <w:b/>
          <w:bCs/>
          <w:color w:val="555555"/>
          <w:sz w:val="18"/>
          <w:szCs w:val="18"/>
        </w:rPr>
        <w:t xml:space="preserve">SCREEN:  </w:t>
      </w:r>
      <w:r>
        <w:rPr>
          <w:i/>
          <w:iCs/>
          <w:color w:val="555555"/>
          <w:sz w:val="18"/>
          <w:szCs w:val="18"/>
        </w:rPr>
        <w:t>Evidence Export, then Migration Choreography</w:t>
      </w:r>
    </w:p>
    <w:p w14:paraId="7F7528DA" w14:textId="77777777" w:rsidR="006F4D01" w:rsidRDefault="00000000">
      <w:pPr>
        <w:spacing w:after="120"/>
        <w:ind w:left="360"/>
      </w:pPr>
      <w:r>
        <w:t>Every migration produces an evidence bundle — the generated MQSC scripts, the full Lamport-ordered audit log, the drain proof — downloadable for audit. Migration Choreography animates every step taken per app. No message lost, no app reconfigured, no co-tenant disturbed — formally verified, and every step on the record.</w:t>
      </w:r>
    </w:p>
    <w:p w14:paraId="4CAD2A7C" w14:textId="77777777" w:rsidR="006F4D01" w:rsidRDefault="00000000">
      <w:pPr>
        <w:pStyle w:val="Heading1"/>
      </w:pPr>
      <w:r>
        <w:t>Timing Summary</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5580"/>
      </w:tblGrid>
      <w:tr w:rsidR="006F4D01" w14:paraId="7C35B0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tcPr>
          <w:p w14:paraId="2A43A832" w14:textId="77777777" w:rsidR="006F4D01" w:rsidRDefault="00000000">
            <w:r>
              <w:rPr>
                <w:b/>
                <w:bCs/>
                <w:sz w:val="20"/>
                <w:szCs w:val="20"/>
              </w:rPr>
              <w:t>Time</w:t>
            </w:r>
          </w:p>
        </w:tc>
        <w:tc>
          <w:tcPr>
            <w:tcW w:w="250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tcPr>
          <w:p w14:paraId="00985525" w14:textId="77777777" w:rsidR="006F4D01" w:rsidRDefault="00000000">
            <w:r>
              <w:rPr>
                <w:b/>
                <w:bCs/>
                <w:sz w:val="20"/>
                <w:szCs w:val="20"/>
              </w:rPr>
              <w:t>Screen</w:t>
            </w:r>
          </w:p>
        </w:tc>
        <w:tc>
          <w:tcPr>
            <w:tcW w:w="5580" w:type="dxa"/>
            <w:tcBorders>
              <w:top w:val="single" w:sz="1" w:space="0" w:color="CCCCCC"/>
              <w:left w:val="single" w:sz="1" w:space="0" w:color="CCCCCC"/>
              <w:bottom w:val="single" w:sz="1" w:space="0" w:color="CCCCCC"/>
              <w:right w:val="single" w:sz="1" w:space="0" w:color="CCCCCC"/>
            </w:tcBorders>
            <w:shd w:val="clear" w:color="auto" w:fill="D5E0F0"/>
            <w:tcMar>
              <w:top w:w="80" w:type="dxa"/>
              <w:left w:w="120" w:type="dxa"/>
              <w:bottom w:w="80" w:type="dxa"/>
              <w:right w:w="120" w:type="dxa"/>
            </w:tcMar>
          </w:tcPr>
          <w:p w14:paraId="6F070AC9" w14:textId="77777777" w:rsidR="006F4D01" w:rsidRDefault="00000000">
            <w:r>
              <w:rPr>
                <w:b/>
                <w:bCs/>
                <w:sz w:val="20"/>
                <w:szCs w:val="20"/>
              </w:rPr>
              <w:t>Beat</w:t>
            </w:r>
          </w:p>
        </w:tc>
      </w:tr>
      <w:tr w:rsidR="006F4D01" w14:paraId="68A80B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181C2" w14:textId="77777777" w:rsidR="006F4D01" w:rsidRDefault="00000000">
            <w:r>
              <w:rPr>
                <w:sz w:val="20"/>
                <w:szCs w:val="20"/>
              </w:rPr>
              <w:t>0:00–0:15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BC62B" w14:textId="77777777" w:rsidR="006F4D01" w:rsidRDefault="00000000">
            <w:r>
              <w:rPr>
                <w:sz w:val="20"/>
                <w:szCs w:val="20"/>
              </w:rPr>
              <w:t>Architecture</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E3F88" w14:textId="77777777" w:rsidR="006F4D01" w:rsidRDefault="00000000">
            <w:r>
              <w:rPr>
                <w:sz w:val="20"/>
                <w:szCs w:val="20"/>
              </w:rPr>
              <w:t>What IntelliAI is — BCL, one layer, state machine</w:t>
            </w:r>
          </w:p>
        </w:tc>
      </w:tr>
      <w:tr w:rsidR="006F4D01" w14:paraId="6448FA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D49AB" w14:textId="77777777" w:rsidR="006F4D01" w:rsidRDefault="00000000">
            <w:r>
              <w:rPr>
                <w:sz w:val="20"/>
                <w:szCs w:val="20"/>
              </w:rPr>
              <w:t>0:15–0:30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FEB55" w14:textId="77777777" w:rsidR="006F4D01" w:rsidRDefault="00000000">
            <w:r>
              <w:rPr>
                <w:sz w:val="20"/>
                <w:szCs w:val="20"/>
              </w:rPr>
              <w:t>Topology Viz</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3D6EC" w14:textId="77777777" w:rsidR="006F4D01" w:rsidRDefault="00000000">
            <w:r>
              <w:rPr>
                <w:sz w:val="20"/>
                <w:szCs w:val="20"/>
              </w:rPr>
              <w:t>Topology + real OpenShift footprint</w:t>
            </w:r>
          </w:p>
        </w:tc>
      </w:tr>
      <w:tr w:rsidR="006F4D01" w14:paraId="614C25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5147" w14:textId="77777777" w:rsidR="006F4D01" w:rsidRDefault="00000000">
            <w:r>
              <w:rPr>
                <w:sz w:val="20"/>
                <w:szCs w:val="20"/>
              </w:rPr>
              <w:t>0:30–1:00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C04DB" w14:textId="77777777" w:rsidR="006F4D01" w:rsidRDefault="00000000">
            <w:r>
              <w:rPr>
                <w:sz w:val="20"/>
                <w:szCs w:val="20"/>
              </w:rPr>
              <w:t>Migrations</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32D42" w14:textId="77777777" w:rsidR="006F4D01" w:rsidRDefault="00000000">
            <w:r>
              <w:rPr>
                <w:sz w:val="20"/>
                <w:szCs w:val="20"/>
              </w:rPr>
              <w:t>Run a migration — provision, bridge, rewire, TLA+</w:t>
            </w:r>
          </w:p>
        </w:tc>
      </w:tr>
      <w:tr w:rsidR="006F4D01" w14:paraId="383598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07CF" w14:textId="77777777" w:rsidR="006F4D01" w:rsidRDefault="00000000">
            <w:r>
              <w:rPr>
                <w:sz w:val="20"/>
                <w:szCs w:val="20"/>
              </w:rPr>
              <w:t>1:00–1:15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F5DFA" w14:textId="77777777" w:rsidR="006F4D01" w:rsidRDefault="00000000">
            <w:r>
              <w:rPr>
                <w:sz w:val="20"/>
                <w:szCs w:val="20"/>
              </w:rPr>
              <w:t>Blast Radius</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50820" w14:textId="77777777" w:rsidR="006F4D01" w:rsidRDefault="00000000">
            <w:r>
              <w:rPr>
                <w:sz w:val="20"/>
                <w:szCs w:val="20"/>
              </w:rPr>
              <w:t>Drain proof + blast radius + Little’s Law</w:t>
            </w:r>
          </w:p>
        </w:tc>
      </w:tr>
      <w:tr w:rsidR="006F4D01" w14:paraId="63776A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1AD26" w14:textId="77777777" w:rsidR="006F4D01" w:rsidRDefault="00000000">
            <w:r>
              <w:rPr>
                <w:sz w:val="20"/>
                <w:szCs w:val="20"/>
              </w:rPr>
              <w:t>1:15–1:30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C7474" w14:textId="77777777" w:rsidR="006F4D01" w:rsidRDefault="00000000">
            <w:r>
              <w:rPr>
                <w:sz w:val="20"/>
                <w:szCs w:val="20"/>
              </w:rPr>
              <w:t>RCA</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647A" w14:textId="77777777" w:rsidR="006F4D01" w:rsidRDefault="00000000">
            <w:r>
              <w:rPr>
                <w:sz w:val="20"/>
                <w:szCs w:val="20"/>
              </w:rPr>
              <w:t>Auto-rollback + RCA Assistant</w:t>
            </w:r>
          </w:p>
        </w:tc>
      </w:tr>
      <w:tr w:rsidR="006F4D01" w14:paraId="6BDED2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E0963" w14:textId="77777777" w:rsidR="006F4D01" w:rsidRDefault="00000000">
            <w:r>
              <w:rPr>
                <w:sz w:val="20"/>
                <w:szCs w:val="20"/>
              </w:rPr>
              <w:t>1:30–1:45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AFFAB" w14:textId="77777777" w:rsidR="006F4D01" w:rsidRDefault="00000000">
            <w:r>
              <w:rPr>
                <w:sz w:val="20"/>
                <w:szCs w:val="20"/>
              </w:rPr>
              <w:t>Data Flow / Chat</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21C1" w14:textId="77777777" w:rsidR="006F4D01" w:rsidRDefault="00000000">
            <w:r>
              <w:rPr>
                <w:sz w:val="20"/>
                <w:szCs w:val="20"/>
              </w:rPr>
              <w:t>Test message verify + Operator Assistant</w:t>
            </w:r>
          </w:p>
        </w:tc>
      </w:tr>
      <w:tr w:rsidR="006F4D01" w14:paraId="6EF990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86106" w14:textId="77777777" w:rsidR="006F4D01" w:rsidRDefault="00000000">
            <w:r>
              <w:rPr>
                <w:sz w:val="20"/>
                <w:szCs w:val="20"/>
              </w:rPr>
              <w:t>1:45–2:00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0976" w14:textId="77777777" w:rsidR="006F4D01" w:rsidRDefault="00000000">
            <w:r>
              <w:rPr>
                <w:sz w:val="20"/>
                <w:szCs w:val="20"/>
              </w:rPr>
              <w:t>Evidence</w:t>
            </w:r>
          </w:p>
        </w:tc>
        <w:tc>
          <w:tcPr>
            <w:tcW w:w="5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A505" w14:textId="77777777" w:rsidR="006F4D01" w:rsidRDefault="00000000">
            <w:r>
              <w:rPr>
                <w:sz w:val="20"/>
                <w:szCs w:val="20"/>
              </w:rPr>
              <w:t>Evidence export + choreography + close</w:t>
            </w:r>
          </w:p>
        </w:tc>
      </w:tr>
    </w:tbl>
    <w:p w14:paraId="772F165B" w14:textId="77777777" w:rsidR="006F4D01" w:rsidRDefault="00000000">
      <w:pPr>
        <w:pStyle w:val="Heading1"/>
      </w:pPr>
      <w:r>
        <w:t>What Changed From the Previous Cut</w:t>
      </w:r>
    </w:p>
    <w:p w14:paraId="64798A2E" w14:textId="77777777" w:rsidR="006F4D01" w:rsidRDefault="00000000">
      <w:pPr>
        <w:pStyle w:val="ListParagraph"/>
        <w:numPr>
          <w:ilvl w:val="0"/>
          <w:numId w:val="2"/>
        </w:numPr>
        <w:spacing w:after="80"/>
      </w:pPr>
      <w:r>
        <w:rPr>
          <w:sz w:val="21"/>
          <w:szCs w:val="21"/>
        </w:rPr>
        <w:t>Problem statement cut entirely. The 25-year-veteran panel knows the shared-QM failure-domain problem; spending 20 seconds on it is wasted. Opens directly on the solution and the running system.</w:t>
      </w:r>
    </w:p>
    <w:p w14:paraId="25B700EC" w14:textId="77777777" w:rsidR="006F4D01" w:rsidRDefault="00000000">
      <w:pPr>
        <w:pStyle w:val="ListParagraph"/>
        <w:numPr>
          <w:ilvl w:val="0"/>
          <w:numId w:val="2"/>
        </w:numPr>
        <w:spacing w:after="80"/>
      </w:pPr>
      <w:r>
        <w:rPr>
          <w:sz w:val="21"/>
          <w:szCs w:val="21"/>
        </w:rPr>
        <w:t>Reclaimed time redistributed to the differentiated sections: blast radius now has its own beat, RCA and Operator Assistant are separated from the feature sweep, test message verification is shown live rather than mentioned in passing.</w:t>
      </w:r>
    </w:p>
    <w:p w14:paraId="78AB1B06" w14:textId="77777777" w:rsidR="006F4D01" w:rsidRDefault="00000000">
      <w:pPr>
        <w:pStyle w:val="ListParagraph"/>
        <w:numPr>
          <w:ilvl w:val="0"/>
          <w:numId w:val="2"/>
        </w:numPr>
        <w:spacing w:after="80"/>
      </w:pPr>
      <w:r>
        <w:rPr>
          <w:sz w:val="21"/>
          <w:szCs w:val="21"/>
        </w:rPr>
        <w:t>The feature sweep is deliberately not a flat list of eight items. Judges punish breathless feature tours. High-value items (migration run, blast radius, RCA, test message) are shown live; the rest (evidence, choreography) close it out fast.</w:t>
      </w:r>
    </w:p>
    <w:p w14:paraId="5738A559" w14:textId="77777777" w:rsidR="006F4D01" w:rsidRDefault="00000000">
      <w:pPr>
        <w:pStyle w:val="Heading1"/>
      </w:pPr>
      <w:r>
        <w:t>Notes for the Recording</w:t>
      </w:r>
    </w:p>
    <w:p w14:paraId="332C1E06" w14:textId="77777777" w:rsidR="006F4D01" w:rsidRDefault="00000000">
      <w:pPr>
        <w:pStyle w:val="Heading2"/>
      </w:pPr>
      <w:r>
        <w:t>Math claims — verify before recording</w:t>
      </w:r>
    </w:p>
    <w:p w14:paraId="3E88AC17" w14:textId="77777777" w:rsidR="006F4D01" w:rsidRDefault="00000000">
      <w:pPr>
        <w:pStyle w:val="ListParagraph"/>
        <w:numPr>
          <w:ilvl w:val="0"/>
          <w:numId w:val="2"/>
        </w:numPr>
        <w:spacing w:after="80"/>
      </w:pPr>
      <w:r>
        <w:rPr>
          <w:sz w:val="21"/>
          <w:szCs w:val="21"/>
        </w:rPr>
        <w:t>The script names Little’s Law (Little 1961) for drain prediction and TLA+ for the state machine — both are built and citable. It does NOT name a Markov chain. The handoff document explicitly defers MDP / Markov work to Phase 3. If a Markov reliability model is genuinely on screen with a visible transition matrix, you may add one sentence — but be ready to show it. Do not name math you cannot display.</w:t>
      </w:r>
    </w:p>
    <w:p w14:paraId="1C3EB504" w14:textId="77777777" w:rsidR="006F4D01" w:rsidRDefault="00000000">
      <w:pPr>
        <w:pStyle w:val="Heading2"/>
      </w:pPr>
      <w:r>
        <w:t>Agent claims — verify before recording</w:t>
      </w:r>
    </w:p>
    <w:p w14:paraId="2CB318F2" w14:textId="77777777" w:rsidR="006F4D01" w:rsidRDefault="00000000">
      <w:pPr>
        <w:pStyle w:val="ListParagraph"/>
        <w:numPr>
          <w:ilvl w:val="0"/>
          <w:numId w:val="2"/>
        </w:numPr>
        <w:spacing w:after="80"/>
      </w:pPr>
      <w:r>
        <w:rPr>
          <w:sz w:val="21"/>
          <w:szCs w:val="21"/>
        </w:rPr>
        <w:lastRenderedPageBreak/>
        <w:t>The script names exactly two LLM-backed pieces: the RCA Assistant and the Operator Assistant, both with deterministic fallback. This matches the migration build. Do not claim the 9- or 11-agent system from the Battle Plan — that scope is not in the migration workstream and a judge will ask to see it.</w:t>
      </w:r>
    </w:p>
    <w:p w14:paraId="6DD0C21F" w14:textId="77777777" w:rsidR="006F4D01" w:rsidRDefault="00000000">
      <w:pPr>
        <w:pStyle w:val="Heading2"/>
      </w:pPr>
      <w:r>
        <w:t>Timing realism</w:t>
      </w:r>
    </w:p>
    <w:p w14:paraId="7CB400AA" w14:textId="77777777" w:rsidR="006F4D01" w:rsidRDefault="00000000">
      <w:pPr>
        <w:pStyle w:val="ListParagraph"/>
        <w:numPr>
          <w:ilvl w:val="0"/>
          <w:numId w:val="2"/>
        </w:numPr>
        <w:spacing w:after="80"/>
      </w:pPr>
      <w:r>
        <w:rPr>
          <w:sz w:val="21"/>
          <w:szCs w:val="21"/>
        </w:rPr>
        <w:t>The migration in the 0:30–1:00 beat takes longer than 30 seconds to run. Pre-stage it so the state machine is already mid-flight when you arrive, or speak over a running migration and let the animation catch up. Never wait on a pod in silence.</w:t>
      </w:r>
    </w:p>
    <w:p w14:paraId="208A7F0F" w14:textId="77777777" w:rsidR="006F4D01" w:rsidRDefault="00000000">
      <w:pPr>
        <w:pStyle w:val="ListParagraph"/>
        <w:numPr>
          <w:ilvl w:val="0"/>
          <w:numId w:val="2"/>
        </w:numPr>
        <w:spacing w:after="80"/>
      </w:pPr>
      <w:r>
        <w:rPr>
          <w:sz w:val="21"/>
          <w:szCs w:val="21"/>
        </w:rPr>
        <w:t>The 0:30–1:00 beat is the longest single block and the most word-dense. Practice it — it is right at the edge of 30 seconds at demo pace. If you run long, the TLA+ sentence is the safe cut.</w:t>
      </w:r>
    </w:p>
    <w:p w14:paraId="7C391B51" w14:textId="77777777" w:rsidR="006F4D01" w:rsidRDefault="00000000">
      <w:pPr>
        <w:pStyle w:val="Heading2"/>
      </w:pPr>
      <w:r>
        <w:t>Strongest differentiator</w:t>
      </w:r>
    </w:p>
    <w:p w14:paraId="35D9ED76" w14:textId="77777777" w:rsidR="006F4D01" w:rsidRDefault="00000000">
      <w:pPr>
        <w:pStyle w:val="ListParagraph"/>
        <w:numPr>
          <w:ilvl w:val="0"/>
          <w:numId w:val="2"/>
        </w:numPr>
        <w:spacing w:after="80"/>
      </w:pPr>
      <w:r>
        <w:rPr>
          <w:sz w:val="21"/>
          <w:szCs w:val="21"/>
        </w:rPr>
        <w:t>The blast-radius line — “zero MQSC commands touch a co-tenant queue manager, before migration even starts” — is the standout claim: it is a pre-flight check, it is concrete, and it directly answers “you can’t disturb the other apps.” Make sure the analysis is actually visible on screen when you say it.</w:t>
      </w:r>
    </w:p>
    <w:sectPr w:rsidR="006F4D01">
      <w:pgSz w:w="12240" w:h="15840"/>
      <w:pgMar w:top="1280" w:right="1280" w:bottom="128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391B"/>
    <w:multiLevelType w:val="hybridMultilevel"/>
    <w:tmpl w:val="D2ACC9E0"/>
    <w:lvl w:ilvl="0" w:tplc="26DC1722">
      <w:start w:val="1"/>
      <w:numFmt w:val="bullet"/>
      <w:lvlText w:val="●"/>
      <w:lvlJc w:val="left"/>
      <w:pPr>
        <w:ind w:left="720" w:hanging="360"/>
      </w:pPr>
    </w:lvl>
    <w:lvl w:ilvl="1" w:tplc="B9CE9038">
      <w:start w:val="1"/>
      <w:numFmt w:val="bullet"/>
      <w:lvlText w:val="○"/>
      <w:lvlJc w:val="left"/>
      <w:pPr>
        <w:ind w:left="1440" w:hanging="360"/>
      </w:pPr>
    </w:lvl>
    <w:lvl w:ilvl="2" w:tplc="5F547A2A">
      <w:start w:val="1"/>
      <w:numFmt w:val="bullet"/>
      <w:lvlText w:val="■"/>
      <w:lvlJc w:val="left"/>
      <w:pPr>
        <w:ind w:left="2160" w:hanging="360"/>
      </w:pPr>
    </w:lvl>
    <w:lvl w:ilvl="3" w:tplc="0FF22E90">
      <w:start w:val="1"/>
      <w:numFmt w:val="bullet"/>
      <w:lvlText w:val="●"/>
      <w:lvlJc w:val="left"/>
      <w:pPr>
        <w:ind w:left="2880" w:hanging="360"/>
      </w:pPr>
    </w:lvl>
    <w:lvl w:ilvl="4" w:tplc="AA32ABC0">
      <w:start w:val="1"/>
      <w:numFmt w:val="bullet"/>
      <w:lvlText w:val="○"/>
      <w:lvlJc w:val="left"/>
      <w:pPr>
        <w:ind w:left="3600" w:hanging="360"/>
      </w:pPr>
    </w:lvl>
    <w:lvl w:ilvl="5" w:tplc="6A6290BA">
      <w:start w:val="1"/>
      <w:numFmt w:val="bullet"/>
      <w:lvlText w:val="■"/>
      <w:lvlJc w:val="left"/>
      <w:pPr>
        <w:ind w:left="4320" w:hanging="360"/>
      </w:pPr>
    </w:lvl>
    <w:lvl w:ilvl="6" w:tplc="B6CE8FDC">
      <w:start w:val="1"/>
      <w:numFmt w:val="bullet"/>
      <w:lvlText w:val="●"/>
      <w:lvlJc w:val="left"/>
      <w:pPr>
        <w:ind w:left="5040" w:hanging="360"/>
      </w:pPr>
    </w:lvl>
    <w:lvl w:ilvl="7" w:tplc="5F407E5C">
      <w:start w:val="1"/>
      <w:numFmt w:val="bullet"/>
      <w:lvlText w:val="●"/>
      <w:lvlJc w:val="left"/>
      <w:pPr>
        <w:ind w:left="5760" w:hanging="360"/>
      </w:pPr>
    </w:lvl>
    <w:lvl w:ilvl="8" w:tplc="EDCE9CCE">
      <w:start w:val="1"/>
      <w:numFmt w:val="bullet"/>
      <w:lvlText w:val="●"/>
      <w:lvlJc w:val="left"/>
      <w:pPr>
        <w:ind w:left="6480" w:hanging="360"/>
      </w:pPr>
    </w:lvl>
  </w:abstractNum>
  <w:abstractNum w:abstractNumId="1" w15:restartNumberingAfterBreak="0">
    <w:nsid w:val="34FB327B"/>
    <w:multiLevelType w:val="hybridMultilevel"/>
    <w:tmpl w:val="C472E74C"/>
    <w:lvl w:ilvl="0" w:tplc="07BC20B0">
      <w:start w:val="1"/>
      <w:numFmt w:val="bullet"/>
      <w:lvlText w:val="•"/>
      <w:lvlJc w:val="left"/>
      <w:pPr>
        <w:ind w:left="480" w:hanging="280"/>
      </w:pPr>
    </w:lvl>
    <w:lvl w:ilvl="1" w:tplc="85F6D04C">
      <w:numFmt w:val="decimal"/>
      <w:lvlText w:val=""/>
      <w:lvlJc w:val="left"/>
    </w:lvl>
    <w:lvl w:ilvl="2" w:tplc="A6C2EBEA">
      <w:numFmt w:val="decimal"/>
      <w:lvlText w:val=""/>
      <w:lvlJc w:val="left"/>
    </w:lvl>
    <w:lvl w:ilvl="3" w:tplc="1C08A188">
      <w:numFmt w:val="decimal"/>
      <w:lvlText w:val=""/>
      <w:lvlJc w:val="left"/>
    </w:lvl>
    <w:lvl w:ilvl="4" w:tplc="63BCAAB8">
      <w:numFmt w:val="decimal"/>
      <w:lvlText w:val=""/>
      <w:lvlJc w:val="left"/>
    </w:lvl>
    <w:lvl w:ilvl="5" w:tplc="DE8E9E2E">
      <w:numFmt w:val="decimal"/>
      <w:lvlText w:val=""/>
      <w:lvlJc w:val="left"/>
    </w:lvl>
    <w:lvl w:ilvl="6" w:tplc="B12C72E6">
      <w:numFmt w:val="decimal"/>
      <w:lvlText w:val=""/>
      <w:lvlJc w:val="left"/>
    </w:lvl>
    <w:lvl w:ilvl="7" w:tplc="4F62D5D4">
      <w:numFmt w:val="decimal"/>
      <w:lvlText w:val=""/>
      <w:lvlJc w:val="left"/>
    </w:lvl>
    <w:lvl w:ilvl="8" w:tplc="CC5C7D60">
      <w:numFmt w:val="decimal"/>
      <w:lvlText w:val=""/>
      <w:lvlJc w:val="left"/>
    </w:lvl>
  </w:abstractNum>
  <w:num w:numId="1" w16cid:durableId="1444416825">
    <w:abstractNumId w:val="0"/>
    <w:lvlOverride w:ilvl="0">
      <w:startOverride w:val="1"/>
    </w:lvlOverride>
  </w:num>
  <w:num w:numId="2" w16cid:durableId="488327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D01"/>
    <w:rsid w:val="00355754"/>
    <w:rsid w:val="003A435C"/>
    <w:rsid w:val="006F4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BF29"/>
  <w15:docId w15:val="{5805424D-07D5-44AC-88D7-78FD3AC2C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5AAC"/>
      <w:sz w:val="30"/>
      <w:szCs w:val="30"/>
    </w:rPr>
  </w:style>
  <w:style w:type="paragraph" w:styleId="Heading2">
    <w:name w:val="heading 2"/>
    <w:uiPriority w:val="9"/>
    <w:unhideWhenUsed/>
    <w:qFormat/>
    <w:pPr>
      <w:spacing w:before="22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subham Bhattacharjee</cp:lastModifiedBy>
  <cp:revision>2</cp:revision>
  <dcterms:created xsi:type="dcterms:W3CDTF">2026-05-17T19:40:00Z</dcterms:created>
  <dcterms:modified xsi:type="dcterms:W3CDTF">2026-05-17T20:45:00Z</dcterms:modified>
</cp:coreProperties>
</file>