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sz w:val="26"/>
          <w:szCs w:val="26"/>
        </w:rPr>
        <w:t xml:space="preserve">Workday Check-In 2026 — Goals, Accomplishments &amp; Focus Areas</w:t>
      </w:r>
    </w:p>
    <w:p>
      <w:pPr>
        <w:spacing w:after="200"/>
      </w:pPr>
      <w:r>
        <w:rPr>
          <w:i/>
          <w:iCs/>
          <w:color w:val="595959"/>
          <w:sz w:val="18"/>
          <w:szCs w:val="18"/>
        </w:rPr>
        <w:t xml:space="preserve">Lead Software Engineer, COO Tech (RegOps). Transitioned from the ROCO project to the FDIC project effective 1 May 2026; accomplishments below span both — ROCO items reflect H1 delivery, FDIC items reflect current focus. Goals are labeled within the columns to link achievements to each.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560"/>
        <w:gridCol w:w="3300"/>
        <w:gridCol w:w="3400"/>
      </w:tblGrid>
      <w:tr>
        <w:trPr>
          <w:tblHeader/>
        </w:trP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Accomplishments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Focus Areas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1F4E79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Progress towards your goals</w:t>
            </w:r>
          </w:p>
        </w:tc>
      </w:tr>
      <w:tr>
        <w:tc>
          <w:tcPr>
            <w:tcW w:type="dxa" w:w="17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before="80"/>
            </w:pPr>
            <w:r>
              <w:rPr>
                <w:b/>
                <w:bCs/>
                <w:sz w:val="20"/>
                <w:szCs w:val="20"/>
              </w:rPr>
              <w:t xml:space="preserve">Subham Bhattacharjee</w:t>
            </w:r>
          </w:p>
        </w:tc>
        <w:tc>
          <w:tcPr>
            <w:tcW w:type="dxa" w:w="456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1 — Complete Data Center Exit Migration to Enable Modernization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Led ROCO NGDC migration end-to-end: raised the CR, gathered non-prod DB migration details; shell DB created in the NGDC cluster with data migration in flight. Built the Confluence tracker and drove planning/coordination from the front.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Completed NGDC NAS server setup in non-prod (coordinated with NAS team, secured approvals) and submitted storage mapping; NAS provisioned across Non-Prod, PrePROD, and PROD.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Solved the utility-server gap by deploying the Autosys agent directly in the OCP console as a pod — a substitute for legacy utility servers with no SSIS dependency for ROCO — and validated jobs run successfully.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Coordinated with the NGDC NDM team to deploy NDM pods in the OCP console as a substitute for legacy NDM servers; OCP clusters migrated to NGDC (Done).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FDIC: executing DC Entry Criteria validation (TCI 2026) — NFR tasks BXGP-597 (logs searchable/available), BXGP-595 (log application messages), BXGP-591 (avoid logging confidential data), BXGP-592 (availability — throttling/drop request).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2 — Deliver Secure, Scalable Software (Features/APIs, Tests, CI/CD, Operational Readiness)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Delivered the Release 3 corrective-action fix (aging calculation): revived the Liquibase pipeline, ensured end-to-end DB deployment, deployed DDL/DML scripts; ran thorough scenario testing, found bugs, and drove fixes.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Took ownership of the new P2P deployment process for R3 — created the Orchestra release event using the new framework for the first time, secured approvals on time, met deadlines, and cascaded the process to the team.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Delivered the LOB Lockdown CR: enforced that LOB users cannot reopen closed records or create new records via a configurable flag (owned end-to-end from requirements through validation); also delivered a last-minute LOB banner within the same release cycle, maintaining data integrity and compliance.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Leading Release 4 (LOB Lockdown) from the front — Liquibase changes for the driving DB flag, restriction-approach research, and a full release plan (CR, Orchestra event, dev, testing, approvals) to prevent slippage on a tight timeline.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Adapted to the new P2P process for CR submission and coordinated CRs end-to-end (scheduling, cross-team alignment, testing, deployment) with no defects.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3 — Deliver the 2026 Book of Work with Discipline and Measurable Outcomes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Created an Autosys → EPLX job-migration framework (DCMS / DC-Exit): authored Confluence docs, created the new repo per the latest EPLX framework for JIL storage, and mapped the Harness pipeline for direct deployment — eliminating manual Autosys-team intervention.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Created the AMA workflow for the NAS switch during BCP prep: built/validated the non-prod workflow, helped the platform team replicate it for PROD, cascaded knowledge, and resolved environment blockers (e.g., missing AD groups in non-prod).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Prepared the Book of Work through 2028 with all key deliverables.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Completed the React migration POC — a working model of the ROCO app in React (all pages), demoed effectively to the PO and management.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Driving all decommissioning activities end-to-end (inventory assessment, dependency analysis, stakeholder communication, execution) for clean removal with no downstream impact; coordinated and tracked BCP readiness with the platform team for seamless failover.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4 — Lead GenAI-Enabled Productivity &amp; Modernization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Won the IBM MQ Hackathon 2026 — finished in the top 3 across all participating teams. Owned IntelliAI end-to-end (ideation → architecture → development → final presentation).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Built IntelliAI: an end-to-end 10-agent LangGraph pipeline that transforms legacy IBM MQ topologies into simplified, standards-compliant automation (ingests raw MQ data, builds a NetworkX graph, runs coordinated agents to analyze, redesign, validate, and provision with human-in-the-loop review). React frontend from scratch, Python/FastAPI backend, integrated Tachyon LLM + Tachyon ADK/LangChain — established the working pattern for AI agents on Tachyon.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Currently competing in the OCP API Hackathon — reached the semifinal and delivered the demo (9 Jun 2026), applying the same agentic design patterns.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Showcased a React POC integrating the ROCO app with Orchestra; demoed to stakeholders to promote the UI-layer modernization direction.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Gained hands-on Tachyon API expertise (authentication, prompt orchestration, response handling).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5 — Living Our Company Expectations –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Embrace candor / Be great at execution: </w:t>
            </w:r>
            <w:r>
              <w:rPr>
                <w:sz w:val="18"/>
                <w:szCs w:val="18"/>
              </w:rPr>
              <w:t xml:space="preserve">led NGDC migration, the R3 aging-calculation fix, and the R4 LOB-lockdown implementation; created the Autosys→EPLX framework and the AMA NAS switch.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Learn and grow: </w:t>
            </w:r>
            <w:r>
              <w:rPr>
                <w:sz w:val="18"/>
                <w:szCs w:val="18"/>
              </w:rPr>
              <w:t xml:space="preserve">self-researched the new P2P/Orchestra process, AMA NAS workflow, Autosys on OCP, LangGraph, Tachyon ADK, and Tachyon LangChain; cascaded knowledge so the broader team can execute independently.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Champion an inclusive work environment: </w:t>
            </w:r>
            <w:r>
              <w:rPr>
                <w:sz w:val="18"/>
                <w:szCs w:val="18"/>
              </w:rPr>
              <w:t xml:space="preserve">drove collaboration across the platform, NAS, Autosys, NDM, and NGDC teams to unblock delivery and resolve environmental issues.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sz w:val="18"/>
                <w:szCs w:val="18"/>
              </w:rPr>
              <w:t xml:space="preserve">Completed all assigned “Develop You” learning activities on time; fully compliant with all RTO schedules.</w:t>
            </w:r>
          </w:p>
        </w:tc>
        <w:tc>
          <w:tcPr>
            <w:tcW w:type="dxa" w:w="33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1 — Data Center Exit Migration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ROCO: </w:t>
            </w:r>
            <w:r>
              <w:rPr>
                <w:sz w:val="18"/>
                <w:szCs w:val="18"/>
              </w:rPr>
              <w:t xml:space="preserve">drive the remaining NGDC components to closure — complete the DB and NAS cutover through UAT to PROD/BCP, and unblock and finish the NDM pod solution once the OCP central team’s agent-based approach is finalized; confirm full exit readiness.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FDIC (now): </w:t>
            </w:r>
            <w:r>
              <w:rPr>
                <w:sz w:val="18"/>
                <w:szCs w:val="18"/>
              </w:rPr>
              <w:t xml:space="preserve">complete the in-flight DC Entry Criteria NFR validation tasks (auditability and availability) so the application meets target-data-center entry criteria.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FDIC (now → next): </w:t>
            </w:r>
            <w:r>
              <w:rPr>
                <w:sz w:val="18"/>
                <w:szCs w:val="18"/>
              </w:rPr>
              <w:t xml:space="preserve">build working knowledge of the existing Ab Initio ETL graphs and data flow to de-risk the legacy state, support maintenance and debugging today, and inform upcoming migration/modernization decisions.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2 — Secure, Scalable Software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ROCO: </w:t>
            </w:r>
            <w:r>
              <w:rPr>
                <w:sz w:val="18"/>
                <w:szCs w:val="18"/>
              </w:rPr>
              <w:t xml:space="preserve">complete Release 4 (LOB Lockdown) delivery to PROD on the tight timeline; keep the Liquibase pipeline and the P2P/Orchestra CI/CD path healthy and repeatable for remaining changes.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FDIC (now → next): </w:t>
            </w:r>
            <w:r>
              <w:rPr>
                <w:sz w:val="18"/>
                <w:szCs w:val="18"/>
              </w:rPr>
              <w:t xml:space="preserve">own and build out the .NET UI layer — data-presentation, validation/review, and report-generation screens; lead frontend architecture and standards, review the team’s work, unblock developers, and ensure components meet regulatory accuracy and auditability.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FDIC (now → next): </w:t>
            </w:r>
            <w:r>
              <w:rPr>
                <w:sz w:val="18"/>
                <w:szCs w:val="18"/>
              </w:rPr>
              <w:t xml:space="preserve">ramp on PySpark to build and optimize distributed, large-volume transformations in the ETL pipeline; move from foundational understanding to actively delivering, and establish reusable patterns the team can adopt.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3 — 2026 Book of Work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ROCO: </w:t>
            </w:r>
            <w:r>
              <w:rPr>
                <w:sz w:val="18"/>
                <w:szCs w:val="18"/>
              </w:rPr>
              <w:t xml:space="preserve">drive all decommissioning activities to clean completion (inventory, dependencies, stakeholder comms, execution), close out BCP readiness and the AMA NAS switch, and mature the Autosys→EPLX automation so the team adopts it without manual intervention.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FDIC (now → next): </w:t>
            </w:r>
            <w:r>
              <w:rPr>
                <w:sz w:val="18"/>
                <w:szCs w:val="18"/>
              </w:rPr>
              <w:t xml:space="preserve">as Lead on a contractor-heavy team, maintain visibility across all work and streamline/standardize delivery — establish clear ownership, repeatable processes, and dependable cross-team coordination.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4 — GenAI &amp; Modernization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Cross-cutting: </w:t>
            </w:r>
            <w:r>
              <w:rPr>
                <w:sz w:val="18"/>
                <w:szCs w:val="18"/>
              </w:rPr>
              <w:t xml:space="preserve">extend the IntelliAI agentic patterns and carry the OCP API Hackathon through its remaining rounds; explore MCP-based automation to remove day-to-day toil and lift engineering productivity.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FDIC (now → next): </w:t>
            </w:r>
            <w:r>
              <w:rPr>
                <w:sz w:val="18"/>
                <w:szCs w:val="18"/>
              </w:rPr>
              <w:t xml:space="preserve">apply GenAI/agentic approaches to RegOps use cases, modernize components toward EPLX/Orchestra standards, and mentor lead/senior engineers to drive team-level GenAI adoption (Copilot, Story Weaver).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Upskilling: </w:t>
            </w:r>
            <w:r>
              <w:rPr>
                <w:sz w:val="18"/>
                <w:szCs w:val="18"/>
              </w:rPr>
              <w:t xml:space="preserve">complete the Master’s in AI and the AI-102 (Designing &amp; Implementing a Microsoft Azure AI Solution) certification to deepen applied GenAI leadership.</w:t>
            </w:r>
          </w:p>
          <w:p>
            <w:pPr>
              <w:spacing w:after="40" w:before="120"/>
            </w:pPr>
            <w:r>
              <w:rPr>
                <w:b/>
                <w:bCs/>
                <w:color w:val="1F4E79"/>
                <w:sz w:val="19"/>
                <w:szCs w:val="19"/>
              </w:rPr>
              <w:t xml:space="preserve">Goal 5 — Living Company Expectations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ROCO → FDIC: </w:t>
            </w:r>
            <w:r>
              <w:rPr>
                <w:sz w:val="18"/>
                <w:szCs w:val="18"/>
              </w:rPr>
              <w:t xml:space="preserve">continue cascading knowledge and enabling independent execution across both teams; sustain inclusive collaboration with the platform, NAS, Autosys, NDM, NGDC, and FDIC contractor groups.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FDIC (now → next): </w:t>
            </w:r>
            <w:r>
              <w:rPr>
                <w:sz w:val="18"/>
                <w:szCs w:val="18"/>
              </w:rPr>
              <w:t xml:space="preserve">ramp quickly and credibly on the FDIC stack (Ab Initio, PySpark, Hive, Airflow) while modeling candor and ownership; complete all assigned learning on time and stay fully compliant with RTO schedules.</w:t>
            </w:r>
          </w:p>
        </w:tc>
        <w:tc>
          <w:tcPr>
            <w:tcW w:type="dxa" w:w="34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80"/>
            </w:pPr>
            <w:r>
              <w:rPr>
                <w:i/>
                <w:iCs/>
                <w:color w:val="595959"/>
                <w:sz w:val="17"/>
                <w:szCs w:val="17"/>
              </w:rPr>
              <w:t xml:space="preserve">Transitioned from ROCO to FDIC on 1 May 2026; status as of mid-year.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Goal 1: </w:t>
            </w:r>
            <w:r>
              <w:rPr>
                <w:sz w:val="18"/>
                <w:szCs w:val="18"/>
              </w:rPr>
              <w:t xml:space="preserve">ROCO NGDC — OCP clusters migrated (Done); DB and NAS in progress (UAT ETA mid-May); NDM blocked on the OCP central team’s agent-based solution (awaiting direction) — drove the Autosys-as-pod workaround to keep delivery moving; supported DCMS with zero slippage. FDIC — DC entry-criteria NFR tasks in progress. On track.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Goal 2: </w:t>
            </w:r>
            <w:r>
              <w:rPr>
                <w:sz w:val="18"/>
                <w:szCs w:val="18"/>
              </w:rPr>
              <w:t xml:space="preserve">delivered R3 and the LOB-lockdown CR on time with no defects via the new P2P/Orchestra framework; leading R4 to plan. Now owning the FDIC UI layer and frontend standards. On track.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Goal 3: </w:t>
            </w:r>
            <w:r>
              <w:rPr>
                <w:sz w:val="18"/>
                <w:szCs w:val="18"/>
              </w:rPr>
              <w:t xml:space="preserve">DCMS/DC-exit support delivered with zero slippage; EPLX framework, AMA NAS switch, and React POC complete; Book of Work mapped through 2028. On track.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Goal 4: </w:t>
            </w:r>
            <w:r>
              <w:rPr>
                <w:sz w:val="18"/>
                <w:szCs w:val="18"/>
              </w:rPr>
              <w:t xml:space="preserve">MQ Hackathon delivered (top 3); OCP API Hackathon in the semifinal with the demo delivered today. Reusable Tachyon agent patterns established; building toward team GenAI adoption and upskilling (Master’s, AI-102). On track.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40"/>
            </w:pPr>
            <w:r>
              <w:rPr>
                <w:b/>
                <w:bCs/>
                <w:sz w:val="18"/>
                <w:szCs w:val="18"/>
              </w:rPr>
              <w:t xml:space="preserve">Goal 5: </w:t>
            </w:r>
            <w:r>
              <w:rPr>
                <w:sz w:val="18"/>
                <w:szCs w:val="18"/>
              </w:rPr>
              <w:t xml:space="preserve">consistent candor, execution, and growth across H1; fully compliant with training and RTO. On track.</w:t>
            </w:r>
          </w:p>
        </w:tc>
      </w:tr>
    </w:tbl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20" w:hanging="1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2026-06-09T14:52:14.364Z</dcterms:created>
  <dcterms:modified xsi:type="dcterms:W3CDTF">2026-06-09T14:52:14.377Z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