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6"/>
          <w:szCs w:val="26"/>
        </w:rPr>
        <w:t xml:space="preserve">Workday Check-In 2026 — Goals, Accomplishments &amp; Focus Areas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Lead Software Engineer, COO Tech (RegOps). Transitioned from the ROCO project to the FDIC project effective 1 May 2026; accomplishments below span both — ROCO items reflect H1 delivery, FDIC items reflect current focus. Goals are labeled within the columns to link achievements to each.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3100"/>
        <w:gridCol w:w="340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Accomplishments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 towards your goals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Subham Bhattacharjee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1 — Complete Data Center Exit Migration to Enable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Led ROCO NGDC migration end-to-end: raised the CR, gathered non-prod DB migration details; shell DB created in the NGDC cluster with data migration in flight. Built the Confluence tracker and drove planning/coordination from the front.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NGDC NAS server setup in non-prod (coordinated with NAS team, secured approvals) and submitted storage mapping; NAS provisioned across Non-Prod, PrePROD, and PROD.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Solved the utility-server gap by deploying the Autosys agent directly in the OCP console as a pod — a substitute for legacy utility servers with no SSIS dependency for ROCO — and validated jobs run successfully.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Coordinated with the NGDC NDM team to deploy NDM pods in the OCP console as a substitute for legacy NDM servers; OCP clusters migrated to NGDC (Done).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FDIC: executing DC Entry Criteria validation (TCI 2026) — NFR tasks BXGP-597 (logs searchable/available), BXGP-595 (log application messages), BXGP-591 (avoid logging confidential data), BXGP-592 (availability — throttling/drop request).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2 — Deliver Secure, Scalable Software (Features/APIs, Tests, CI/CD, Operational Readiness)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Delivered the Release 3 corrective-action fix (aging calculation): revived the Liquibase pipeline, ensured end-to-end DB deployment, deployed DDL/DML scripts; ran thorough scenario testing, found bugs, and drove fixes.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Took ownership of the new P2P deployment process for R3 — created the Orchestra release event using the new framework for the first time, secured approvals on time, met deadlines, and cascaded the process to the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Delivered the LOB Lockdown CR: enforced that LOB users cannot reopen closed records or create new records via a configurable flag (owned end-to-end from requirements through validation); also delivered a last-minute LOB banner within the same release cycle, maintaining data integrity and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Leading Release 4 (LOB Lockdown) from the front — Liquibase changes for the driving DB flag, restriction-approach research, and a full release plan (CR, Orchestra event, dev, testing, approvals) to prevent slippage on a tight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Adapted to the new P2P process for CR submission and coordinated CRs end-to-end (scheduling, cross-team alignment, testing, deployment) with no defects.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3 — Deliver the 2026 Book of Work with Discipline and Measurable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Created an Autosys → EPLX job-migration framework (DCMS / DC-Exit): authored Confluence docs, created the new repo per the latest EPLX framework for JIL storage, and mapped the Harness pipeline for direct deployment — eliminating manual Autosys-team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Created the AMA workflow for the NAS switch during BCP prep: built/validated the non-prod workflow, helped the platform team replicate it for PROD, cascaded knowledge, and resolved environment blockers (e.g., missing AD groups in non-prod).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Prepared the Book of Work through 2028 with all key deliverables.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the React migration POC — a working model of the ROCO app in React (all pages), demoed effectively to the PO and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Driving all decommissioning activities end-to-end (inventory assessment, dependency analysis, stakeholder communication, execution) for clean removal with no downstream impact; coordinated and tracked BCP readiness with the platform team for seamless failover.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4 — Lead GenAI-Enabled Productivity &amp;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Won the IBM MQ Hackathon 2026 — finished in the top 3 across all participating teams. Owned IntelliAI end-to-end (ideation → architecture → development → final presentation).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Built IntelliAI: an end-to-end 10-agent LangGraph pipeline that transforms legacy IBM MQ topologies into simplified, standards-compliant automation (ingests raw MQ data, builds a NetworkX graph, runs coordinated agents to analyze, redesign, validate, and provision with human-in-the-loop review). React frontend from scratch, Python/FastAPI backend, integrated Tachyon LLM + Tachyon ADK/LangChain — established the working pattern for AI agents on Tachyon.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Currently competing in the OCP API Hackathon — reached the semifinal and delivered the demo (9 Jun 2026), applying the same agentic design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Showcased a React POC integrating the ROCO app with Orchestra; demoed to stakeholders to promote the UI-layer modernization direction.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Gained hands-on Tachyon API expertise (authentication, prompt orchestration, response handling).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5 — Living Our Company Expectations –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Embrace candor / Be great at execution: </w:t>
            </w:r>
            <w:r>
              <w:rPr>
                <w:sz w:val="18"/>
                <w:szCs w:val="18"/>
              </w:rPr>
              <w:t xml:space="preserve">led NGDC migration, the R3 aging-calculation fix, and the R4 LOB-lockdown implementation; created the Autosys→EPLX framework and the AMA NAS switch.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Learn and grow: </w:t>
            </w:r>
            <w:r>
              <w:rPr>
                <w:sz w:val="18"/>
                <w:szCs w:val="18"/>
              </w:rPr>
              <w:t xml:space="preserve">self-researched the new P2P/Orchestra process, AMA NAS workflow, Autosys on OCP, LangGraph, Tachyon ADK, and Tachyon LangChain; cascaded knowledge so the broader team can execute independently.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Champion an inclusive work environment: </w:t>
            </w:r>
            <w:r>
              <w:rPr>
                <w:sz w:val="18"/>
                <w:szCs w:val="18"/>
              </w:rPr>
              <w:t xml:space="preserve">drove collaboration across the platform, NAS, Autosys, NDM, and NGDC teams to unblock delivery and resolve environmental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all assigned “Develop You” learning activities on time; fully compliant with all RTO schedules.</w:t>
            </w:r>
          </w:p>
        </w:tc>
        <w:tc>
          <w:tcPr>
            <w:tcW w:type="dxa" w:w="3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FDIC ramp-up and leadership focus (goal linkage in parentheses).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.NET UI Component Development (Goals 2, 4): </w:t>
            </w:r>
            <w:r>
              <w:rPr>
                <w:sz w:val="18"/>
                <w:szCs w:val="18"/>
              </w:rPr>
              <w:t xml:space="preserve">build and enhance the FDIC UI layer — data presentation, validation/review screens, report-generation interfaces; own the front end. Lead frontend architecture and standards, review the team’s work, unblock developers, and ensure components meet regulatory accuracy and auditability.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PySpark — Learn &amp; Upgrade (Goals 1, 2): </w:t>
            </w:r>
            <w:r>
              <w:rPr>
                <w:sz w:val="18"/>
                <w:szCs w:val="18"/>
              </w:rPr>
              <w:t xml:space="preserve">ramp up to handle distributed, large-volume data transformation in the ETL pipeline; move from foundational understanding to actively building and optimizing Spark-based processing; establish reusable patterns and share knowledge so the team levels 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Ab Initio — Understand the Existing Framework (Goals 1, 3): </w:t>
            </w:r>
            <w:r>
              <w:rPr>
                <w:sz w:val="18"/>
                <w:szCs w:val="18"/>
              </w:rPr>
              <w:t xml:space="preserve">develop working knowledge of the current Ab Initio ETL graphs and data flow to support maintenance, debugging, and future modernization/migration decisions; de-risk the legacy state and advise on the path forward.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Lead the FDIC team (Goals 3, 5): </w:t>
            </w:r>
            <w:r>
              <w:rPr>
                <w:sz w:val="18"/>
                <w:szCs w:val="18"/>
              </w:rPr>
              <w:t xml:space="preserve">maintain visibility across all work and streamline/standardize delivery in a contractor-heavy team; establish clear ownership and repeatable processes.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GenAI adoption &amp; automation (Goal 4): </w:t>
            </w:r>
            <w:r>
              <w:rPr>
                <w:sz w:val="18"/>
                <w:szCs w:val="18"/>
              </w:rPr>
              <w:t xml:space="preserve">explore MCP-based automation for day-to-day activities; mentor lead and senior engineers to drive team-level GenAI adoption.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Upskilling (Goals 4, 5): </w:t>
            </w:r>
            <w:r>
              <w:rPr>
                <w:sz w:val="18"/>
                <w:szCs w:val="18"/>
              </w:rPr>
              <w:t xml:space="preserve">Master’s in AI; AI-102 (Designing &amp; Implementing a Microsoft Azure AI Solution) certification.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Transitioned from ROCO to FDIC on 1 May 2026; status as of mid-year.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1: </w:t>
            </w:r>
            <w:r>
              <w:rPr>
                <w:sz w:val="18"/>
                <w:szCs w:val="18"/>
              </w:rPr>
              <w:t xml:space="preserve">ROCO NGDC — OCP clusters migrated (Done); DB and NAS in progress (UAT ETA mid-May); NDM blocked on the OCP central team’s agent-based solution (awaiting direction) — drove the Autosys-as-pod workaround to keep delivery moving; supported DCMS with zero slippage. FDIC — DC entry-criteria NFR tasks in progress. On track.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2: </w:t>
            </w:r>
            <w:r>
              <w:rPr>
                <w:sz w:val="18"/>
                <w:szCs w:val="18"/>
              </w:rPr>
              <w:t xml:space="preserve">delivered R3 and the LOB-lockdown CR on time with no defects via the new P2P/Orchestra framework; leading R4 to plan. Now owning the FDIC UI layer and frontend standards. On track.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3: </w:t>
            </w:r>
            <w:r>
              <w:rPr>
                <w:sz w:val="18"/>
                <w:szCs w:val="18"/>
              </w:rPr>
              <w:t xml:space="preserve">DCMS/DC-exit support delivered with zero slippage; EPLX framework, AMA NAS switch, and React POC complete; Book of Work mapped through 2028. On track.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4: </w:t>
            </w:r>
            <w:r>
              <w:rPr>
                <w:sz w:val="18"/>
                <w:szCs w:val="18"/>
              </w:rPr>
              <w:t xml:space="preserve">MQ Hackathon delivered (top 3); OCP API Hackathon in the semifinal with the demo delivered today. Reusable Tachyon agent patterns established; building toward team GenAI adoption and upskilling (Master’s, AI-102). On track.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5: </w:t>
            </w:r>
            <w:r>
              <w:rPr>
                <w:sz w:val="18"/>
                <w:szCs w:val="18"/>
              </w:rPr>
              <w:t xml:space="preserve">consistent candor, execution, and growth across H1; fully compliant with training and RTO. On track.</w:t>
            </w:r>
          </w:p>
        </w:tc>
      </w:tr>
    </w:tbl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2026-06-09T14:30:09.747Z</dcterms:created>
  <dcterms:modified xsi:type="dcterms:W3CDTF">2026-06-09T14:30:09.764Z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