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17A47" w14:textId="77777777" w:rsidR="00617D9D" w:rsidRDefault="00000000">
      <w:pPr>
        <w:pStyle w:val="Title"/>
      </w:pPr>
      <w:r>
        <w:t>ATPG Walkthrough — Speaker Script</w:t>
      </w:r>
    </w:p>
    <w:p w14:paraId="04DCB1BE" w14:textId="77777777" w:rsidR="00617D9D" w:rsidRDefault="00000000">
      <w:pPr>
        <w:pBdr>
          <w:bottom w:val="single" w:sz="12" w:space="6" w:color="D71E28"/>
        </w:pBdr>
        <w:spacing w:after="240"/>
      </w:pPr>
      <w:r>
        <w:rPr>
          <w:color w:val="6E6A66"/>
        </w:rPr>
        <w:t>FDIC team walkthrough · 14 slides · 10–15 minutes</w:t>
      </w:r>
    </w:p>
    <w:p w14:paraId="028BADB8" w14:textId="77777777" w:rsidR="00617D9D" w:rsidRDefault="00000000">
      <w:pPr>
        <w:pStyle w:val="Heading2"/>
      </w:pPr>
      <w:r>
        <w:t>Opening</w:t>
      </w:r>
    </w:p>
    <w:p w14:paraId="43941ECC" w14:textId="77777777" w:rsidR="00617D9D" w:rsidRDefault="00000000">
      <w:pPr>
        <w:pStyle w:val="Heading3"/>
      </w:pPr>
      <w:r>
        <w:t>Slide 1 — Agentic Test Plan Generator (30 seconds)</w:t>
      </w:r>
    </w:p>
    <w:p w14:paraId="246E3F5F" w14:textId="72053347" w:rsidR="00617D9D" w:rsidRDefault="00000000">
      <w:r>
        <w:t xml:space="preserve">ATPG, stands for Agentic Test Plan Generator. It automates the writing of Ab Initio's own graph unit tests. We'll cover this in three parts: first, how the underlying testing works; second, how to run the generator; and third, where it still fails. </w:t>
      </w:r>
    </w:p>
    <w:p w14:paraId="3481E007" w14:textId="77777777" w:rsidR="00617D9D" w:rsidRDefault="00000000">
      <w:pPr>
        <w:pStyle w:val="Heading3"/>
      </w:pPr>
      <w:r>
        <w:t>Slide 2 — Why ATPG exists (60 seconds)</w:t>
      </w:r>
    </w:p>
    <w:p w14:paraId="757C2F14" w14:textId="0B32ADBE" w:rsidR="00617D9D" w:rsidRDefault="00000000">
      <w:r>
        <w:t xml:space="preserve">The tool was built with three goals in mind. The first is to kickstart testing practices, so that we begin with simple tests and move towards more advanced scenarios over time. The second is reliable regression coverage, so that every job is validated automatically and breaking changes surface early. The third, is visibility. Results are published to Octane, and </w:t>
      </w:r>
      <w:r w:rsidR="00380AAC">
        <w:t>you can see the test results.</w:t>
      </w:r>
    </w:p>
    <w:p w14:paraId="3826F77F" w14:textId="594F61A1" w:rsidR="00617D9D" w:rsidRDefault="00000000">
      <w:r>
        <w:t>What ATPG produces is a standard Ab Initio graph unit test. It automates the authoring, not the testing itself. So before we talk about the generator, we need to be clear about what it is generating, and that is what the next three slides cover.</w:t>
      </w:r>
    </w:p>
    <w:p w14:paraId="49F185E6" w14:textId="42C64533" w:rsidR="00617D9D" w:rsidRDefault="00000000">
      <w:r>
        <w:t>The tests make no changes to our graphs, they never read from sources or write to targets</w:t>
      </w:r>
      <w:r w:rsidR="00CB0288">
        <w:t>.</w:t>
      </w:r>
    </w:p>
    <w:p w14:paraId="51AA9C53" w14:textId="77777777" w:rsidR="00617D9D" w:rsidRDefault="00000000">
      <w:pPr>
        <w:pStyle w:val="Heading2"/>
      </w:pPr>
      <w:r>
        <w:t>How the testing works</w:t>
      </w:r>
    </w:p>
    <w:p w14:paraId="193BF8D7" w14:textId="77777777" w:rsidR="00617D9D" w:rsidRDefault="00000000">
      <w:pPr>
        <w:pStyle w:val="Heading3"/>
      </w:pPr>
      <w:r>
        <w:t>Slide 3 — How a graph unit test is built (60 seconds)</w:t>
      </w:r>
    </w:p>
    <w:p w14:paraId="477AEF26" w14:textId="77777777" w:rsidR="00617D9D" w:rsidRDefault="00000000">
      <w:r>
        <w:t>A graph unit test is defined by annotations that you place on the flows, and there are two kinds. An input source marks where test data goes in, so it is where the test begins. A test probe marks where output is collected and compared against the baseline, so it is where the test ends. Only the part of the graph between those two points runs during the test. Everything outside that region is greyed out and does not run at all.</w:t>
      </w:r>
    </w:p>
    <w:p w14:paraId="52356144" w14:textId="119D8206" w:rsidR="00617D9D" w:rsidRDefault="00000000">
      <w:r>
        <w:t>The annotations live in the .tst file, not in the .mp file. That is why testing requires no change to our graphs and nothing has to be re-promoted.</w:t>
      </w:r>
    </w:p>
    <w:p w14:paraId="64E14D16" w14:textId="77777777" w:rsidR="00617D9D" w:rsidRDefault="00000000">
      <w:pPr>
        <w:pStyle w:val="Heading3"/>
      </w:pPr>
      <w:r>
        <w:t>Slide 4 — How the test executes (75 seconds)</w:t>
      </w:r>
    </w:p>
    <w:p w14:paraId="32572799" w14:textId="569C223D" w:rsidR="00617D9D" w:rsidRDefault="00000000">
      <w:r>
        <w:t>The test loads captured input data rather than the graph's real datasets. It then runs only the components inside the annotated region. Step three is highlighted for a reason: the output is written to test-specific files and never to the original targets, which is what makes these tests safe to run in any environment. Finally, the output at each probe is compared with its baseline to decide whether the test passes or fails.</w:t>
      </w:r>
    </w:p>
    <w:p w14:paraId="5496F3EB" w14:textId="2866DA92" w:rsidR="00617D9D" w:rsidRPr="001D2944" w:rsidRDefault="00000000">
      <w:pPr>
        <w:rPr>
          <w:i/>
          <w:iCs/>
        </w:rPr>
      </w:pPr>
      <w:r>
        <w:lastRenderedPageBreak/>
        <w:t xml:space="preserve">If there are differences that are not accounted for, the test fails. If there are no differences, or every difference is accounted for, the test passes. </w:t>
      </w:r>
      <w:r w:rsidRPr="001D2944">
        <w:rPr>
          <w:i/>
          <w:iCs/>
        </w:rPr>
        <w:t>The phrase "accounted for" carries a lot of weight here, because it is where ignored fields and key-based comparison come in</w:t>
      </w:r>
    </w:p>
    <w:p w14:paraId="4966E57C" w14:textId="77777777" w:rsidR="00617D9D" w:rsidRDefault="00000000">
      <w:pPr>
        <w:pStyle w:val="Heading3"/>
      </w:pPr>
      <w:r>
        <w:t>Slide 5 — The baseline and the snapshot (75 seconds)</w:t>
      </w:r>
    </w:p>
    <w:p w14:paraId="0B7E9BC5" w14:textId="26579761" w:rsidR="00617D9D" w:rsidRDefault="00000000">
      <w:r>
        <w:t>The test depends on two sets of data. The first is the input, which is fed to the job on every run. ATPG generates this synthetically to maximise coverage, so an if statement with three branches gets three records, one for each branch. The second is the baseline, which is the output the job must match on every run, compared field by field.</w:t>
      </w:r>
    </w:p>
    <w:p w14:paraId="132A8041" w14:textId="77777777" w:rsidR="00617D9D" w:rsidRDefault="00000000">
      <w:r>
        <w:t>The long hex string in the file name is an SHA fingerprint of the snapshot contents. The .tst file stores only that hash, which is how it knows which version of the data belongs to which version of the test.</w:t>
      </w:r>
    </w:p>
    <w:p w14:paraId="6086ED1E" w14:textId="77777777" w:rsidR="00617D9D" w:rsidRDefault="00000000">
      <w:r>
        <w:t>Both the input and the baseline include a .dml file alongside the .dat file. This means tests compare record formats as well as data, so a DML change on its own can fail a test even when every value is identical.</w:t>
      </w:r>
    </w:p>
    <w:p w14:paraId="334377E2" w14:textId="31B45169" w:rsidR="00617D9D" w:rsidRDefault="00000000">
      <w:r>
        <w:t>The .pdf suffix is not a real PDF. It is a workaround that allows the EME to accept the file for check-in. Finally, always pack the snapshot before you check in. Packing writes the fingerprint into the .tst file</w:t>
      </w:r>
      <w:r w:rsidR="00390507">
        <w:t>.</w:t>
      </w:r>
    </w:p>
    <w:p w14:paraId="3E5AE6BA" w14:textId="77777777" w:rsidR="00617D9D" w:rsidRDefault="00000000">
      <w:pPr>
        <w:pStyle w:val="Heading2"/>
      </w:pPr>
      <w:r>
        <w:t>Running it</w:t>
      </w:r>
    </w:p>
    <w:p w14:paraId="40524E4E" w14:textId="77777777" w:rsidR="00617D9D" w:rsidRDefault="00000000">
      <w:pPr>
        <w:pStyle w:val="Heading3"/>
      </w:pPr>
      <w:r>
        <w:t>Slide 6 — Before anyone can run it (60 seconds)</w:t>
      </w:r>
    </w:p>
    <w:p w14:paraId="3092CCEB" w14:textId="67399C7B" w:rsidR="00617D9D" w:rsidRDefault="00000000">
      <w:r>
        <w:t xml:space="preserve">There are three prerequisites: an Octane account, an Apigee account with the right subscriptions, and a personal ATPG key from ETL Product Management. </w:t>
      </w:r>
    </w:p>
    <w:p w14:paraId="0ACC3143" w14:textId="71A3FCA7" w:rsidR="00617D9D" w:rsidRDefault="00000000">
      <w:r>
        <w:t xml:space="preserve">You also need to specify which EME your application uses, because that determines the authentication token. </w:t>
      </w:r>
    </w:p>
    <w:p w14:paraId="568A7B4E" w14:textId="77777777" w:rsidR="00617D9D" w:rsidRDefault="00000000">
      <w:pPr>
        <w:pStyle w:val="Heading3"/>
      </w:pPr>
      <w:r>
        <w:t>Slide 7 — The command (45 seconds)</w:t>
      </w:r>
    </w:p>
    <w:p w14:paraId="19A9405F" w14:textId="2F4CAC0A" w:rsidR="00617D9D" w:rsidRDefault="00000000">
      <w:r>
        <w:t>First, run the script from a directory you can write to, because it creates a tmp.ksh file there. Second, always pass -verbose. The Confluence page asks for it explicitly, and when something goes wrong, it is the only diagnostic you have.</w:t>
      </w:r>
    </w:p>
    <w:p w14:paraId="4EE35FB5" w14:textId="77777777" w:rsidR="00617D9D" w:rsidRDefault="00000000">
      <w:pPr>
        <w:pStyle w:val="Heading3"/>
      </w:pPr>
      <w:r>
        <w:t>Slide 8 — Our run against FDIC 370 (45 seconds)</w:t>
      </w:r>
    </w:p>
    <w:p w14:paraId="03DB94F3" w14:textId="19DC05B1" w:rsidR="00617D9D" w:rsidRDefault="00000000">
      <w:r>
        <w:t xml:space="preserve">This is our actual command, filtered to the asn_init_orc_ark jobs. Plan for roughly three minutes per job. </w:t>
      </w:r>
    </w:p>
    <w:p w14:paraId="63F73C77" w14:textId="77777777" w:rsidR="00617D9D" w:rsidRDefault="00000000">
      <w:pPr>
        <w:pStyle w:val="Heading3"/>
      </w:pPr>
      <w:r>
        <w:t>Slide 9 — What happens after you press Enter (60 seconds)</w:t>
      </w:r>
    </w:p>
    <w:p w14:paraId="1ED799B8" w14:textId="1539AED8" w:rsidR="00617D9D" w:rsidRDefault="00000000">
      <w:r>
        <w:t>The left column shows what the script does, and the right column shows what the MCP server does. The MCP server examines the job, works out every input, output, and record format, and then builds synthetic data designed to maximise coverage. It runs the job on that data, saves the output as the baseline, writes the test file, packs the snapshot, and checks everything into the EME.</w:t>
      </w:r>
    </w:p>
    <w:p w14:paraId="5030DE51" w14:textId="77777777" w:rsidR="00617D9D" w:rsidRDefault="00000000">
      <w:r>
        <w:lastRenderedPageBreak/>
        <w:t>All of this happens out of sight. So when generation fails, you are effectively debugging a black box. That is exactly why -verbose matters, and why the escalation path is the ETL group list rather than guesswork on our side.</w:t>
      </w:r>
    </w:p>
    <w:p w14:paraId="7DCDA549" w14:textId="77777777" w:rsidR="00617D9D" w:rsidRDefault="00000000">
      <w:pPr>
        <w:pStyle w:val="Heading3"/>
      </w:pPr>
      <w:r>
        <w:t>Slide 10 — What you get back (30 seconds)</w:t>
      </w:r>
    </w:p>
    <w:p w14:paraId="554AD5E2" w14:textId="71F9C259" w:rsidR="00617D9D" w:rsidRDefault="00000000">
      <w:r>
        <w:t>Everything the generator produces lands in the tst directory of your sandbox: the test file, the packed data file, the suite file, the Octane file, and the run script. The table is here for reference</w:t>
      </w:r>
    </w:p>
    <w:p w14:paraId="32FC1C63" w14:textId="77777777" w:rsidR="00617D9D" w:rsidRDefault="00000000">
      <w:pPr>
        <w:pStyle w:val="Heading3"/>
      </w:pPr>
      <w:r>
        <w:t>Slide 11 — Running the tests (75 seconds)</w:t>
      </w:r>
    </w:p>
    <w:p w14:paraId="3AEF69A3" w14:textId="73AAAB58" w:rsidR="00617D9D" w:rsidRDefault="00000000" w:rsidP="00D42E90">
      <w:r>
        <w:t xml:space="preserve">There are </w:t>
      </w:r>
      <w:r w:rsidR="00D42E90">
        <w:t xml:space="preserve">couple of </w:t>
      </w:r>
      <w:r>
        <w:t xml:space="preserve"> ways to run the tests. The first runs the whole suite and submits the results to Octane. </w:t>
      </w:r>
      <w:r w:rsidR="008C1D89">
        <w:br/>
        <w:t>First you can run against the entire sandbox.</w:t>
      </w:r>
      <w:r w:rsidR="008C1D89">
        <w:br/>
        <w:t>Second you can run for specific tests by giving the -substring filter</w:t>
      </w:r>
    </w:p>
    <w:p w14:paraId="0DB4556E" w14:textId="77777777" w:rsidR="00617D9D" w:rsidRDefault="00000000">
      <w:pPr>
        <w:pStyle w:val="Heading3"/>
      </w:pPr>
      <w:r>
        <w:t>Slide 12 — Reading a failure (75 seconds)</w:t>
      </w:r>
    </w:p>
    <w:p w14:paraId="5A3E0DD0" w14:textId="5C5D8044" w:rsidR="00617D9D" w:rsidRDefault="00000000">
      <w:r>
        <w:t>On the left is a typical failure report. It shows field differences, then added, deleted, and changed records, and then the baseline and output record counts. In this example, the output has two extra records and two field differences, so something is producing more rows than the baseline expected.</w:t>
      </w:r>
    </w:p>
    <w:p w14:paraId="19A4CEE3" w14:textId="77777777" w:rsidR="00617D9D" w:rsidRDefault="00000000">
      <w:r>
        <w:t>Most real failures come down to one of two causes. The first is that the record order has changed: the records are the same, but they are in a different sequence. The fix is to compare the test on a key rather than by position. The second is a volatile field, such as a timestamp or date that changes on every run. The fix is to ignore that field, which is exactly what -ignore_fields does at generation time.</w:t>
      </w:r>
    </w:p>
    <w:p w14:paraId="6F1C16B0" w14:textId="77777777" w:rsidR="00617D9D" w:rsidRDefault="00000000">
      <w:pPr>
        <w:pStyle w:val="Heading2"/>
      </w:pPr>
      <w:r>
        <w:t>Limits and close</w:t>
      </w:r>
    </w:p>
    <w:p w14:paraId="239F5839" w14:textId="77777777" w:rsidR="00617D9D" w:rsidRDefault="00000000">
      <w:pPr>
        <w:pStyle w:val="Heading3"/>
      </w:pPr>
      <w:r>
        <w:t>Slide 13 — Known cases where generation fails (75 seconds)</w:t>
      </w:r>
    </w:p>
    <w:p w14:paraId="330846F8" w14:textId="2513B236" w:rsidR="00617D9D" w:rsidRDefault="00000000">
      <w:r>
        <w:t>There are four cases that are known not to work: plans, database-only graphs where all the logic sits inside a single run-sql component, two-component graphs with no internal logic, and graphs that use join-with-db so that the logic lives in the database.</w:t>
      </w:r>
    </w:p>
    <w:p w14:paraId="4CF57249" w14:textId="1078B4AC" w:rsidR="00617D9D" w:rsidRDefault="00000000" w:rsidP="001D0BD0">
      <w:r>
        <w:t xml:space="preserve">There is also a more honest limitation. The tool is still </w:t>
      </w:r>
      <w:r w:rsidR="002B1683">
        <w:t>being upgraded</w:t>
      </w:r>
      <w:r>
        <w:t xml:space="preserve">, and it fails to analyse some graphs that it should be able to handle. These issues are fixed </w:t>
      </w:r>
      <w:r w:rsidR="001D0BD0">
        <w:t>once we login the errors.</w:t>
      </w:r>
    </w:p>
    <w:p w14:paraId="29F1E6BA" w14:textId="77777777" w:rsidR="00617D9D" w:rsidRDefault="00000000">
      <w:pPr>
        <w:pStyle w:val="Heading3"/>
      </w:pPr>
      <w:r>
        <w:t>Slide 14 — Where to go and what's next (30 seconds)</w:t>
      </w:r>
    </w:p>
    <w:p w14:paraId="203C854F" w14:textId="597DD6E8" w:rsidR="00617D9D" w:rsidRDefault="00000000" w:rsidP="00284212">
      <w:r>
        <w:t xml:space="preserve">For ATPG support, contact the ETL Product Management group list. For help with graph unit testing, raise a ticket on the ATPG Issue Register. </w:t>
      </w:r>
    </w:p>
    <w:p w14:paraId="4CD2D8ED" w14:textId="77777777" w:rsidR="00617D9D" w:rsidRDefault="00000000">
      <w:pPr>
        <w:pStyle w:val="Heading2"/>
      </w:pPr>
      <w:r>
        <w:lastRenderedPageBreak/>
        <w:t>Questions and time management</w:t>
      </w:r>
    </w:p>
    <w:p w14:paraId="4FD8E2E6" w14:textId="77777777" w:rsidR="00617D9D" w:rsidRDefault="00000000">
      <w:pPr>
        <w:pStyle w:val="Heading3"/>
      </w:pPr>
      <w:r>
        <w:t>Likely questions</w:t>
      </w:r>
    </w:p>
    <w:p w14:paraId="4E85737C" w14:textId="77777777" w:rsidR="00617D9D" w:rsidRDefault="00000000">
      <w:r>
        <w:rPr>
          <w:b/>
          <w:bCs/>
        </w:rPr>
        <w:t>Have you run this end to end yet?</w:t>
      </w:r>
      <w:r>
        <w:t xml:space="preserve"> Answer directly. If you haven't, explain that the command is ready, the prerequisites are the blocker, and this session is meant to get the team ready for when access comes through.</w:t>
      </w:r>
    </w:p>
    <w:p w14:paraId="70AC4565" w14:textId="77777777" w:rsidR="00617D9D" w:rsidRDefault="00000000">
      <w:r>
        <w:rPr>
          <w:b/>
          <w:bCs/>
        </w:rPr>
        <w:t>What percentage of our graphs will this cover?</w:t>
      </w:r>
      <w:r>
        <w:t xml:space="preserve"> Nobody knows yet, and there is no published figure. The Confluence page itself says it could be 100 percent or 30 percent. Our first pass will be the measurement, so don't guess, because an invented number is the quickest way to lose credibility.</w:t>
      </w:r>
    </w:p>
    <w:p w14:paraId="1BEF1C5E" w14:textId="77777777" w:rsidR="00617D9D" w:rsidRDefault="00000000">
      <w:r>
        <w:rPr>
          <w:b/>
          <w:bCs/>
        </w:rPr>
        <w:t>Why is a data file called .pdf?</w:t>
      </w:r>
      <w:r>
        <w:t xml:space="preserve"> It is an EME check-in constraint. The file is a pack file with a suffix added so that the repository will accept it.</w:t>
      </w:r>
    </w:p>
    <w:p w14:paraId="3F20128C" w14:textId="77777777" w:rsidR="00617D9D" w:rsidRDefault="00000000">
      <w:r>
        <w:rPr>
          <w:b/>
          <w:bCs/>
        </w:rPr>
        <w:t>Does this replace our existing testing?</w:t>
      </w:r>
      <w:r>
        <w:t xml:space="preserve"> No. It tests graph internals only. It does not cover source connectivity, target connectivity, or performance, so it should never be reported as integration testing.</w:t>
      </w:r>
    </w:p>
    <w:p w14:paraId="4C745AE0" w14:textId="77777777" w:rsidR="00617D9D" w:rsidRDefault="00000000">
      <w:r>
        <w:rPr>
          <w:b/>
          <w:bCs/>
        </w:rPr>
        <w:t>What if the baseline itself is wrong?</w:t>
      </w:r>
      <w:r>
        <w:t xml:space="preserve"> Then the test will faithfully defend a defect. This is regression testing: it records what the graph did, not what it should do. If the principal engineer raises this, acknowledge it plainly, because it is the most significant limitation of the framework.</w:t>
      </w:r>
    </w:p>
    <w:p w14:paraId="26CF314C" w14:textId="77777777" w:rsidR="00617D9D" w:rsidRDefault="00000000">
      <w:r>
        <w:rPr>
          <w:b/>
          <w:bCs/>
        </w:rPr>
        <w:t>What if generation fails for one of our graphs?</w:t>
      </w:r>
      <w:r>
        <w:t xml:space="preserve"> It isn't a dead end. The GDE can create a default test that annotates all inputs and outputs, and once it is added to the suite and checked in, it runs in CI/CD like any generated test.</w:t>
      </w:r>
    </w:p>
    <w:p w14:paraId="75A2F5FD" w14:textId="77777777" w:rsidR="00617D9D" w:rsidRDefault="00000000">
      <w:r>
        <w:rPr>
          <w:b/>
          <w:bCs/>
        </w:rPr>
        <w:t>Which Co&gt;Op version are we on?</w:t>
      </w:r>
      <w:r>
        <w:t xml:space="preserve"> Treat this as an open item and don't guess, because the list of available flags depends on it.</w:t>
      </w:r>
    </w:p>
    <w:p w14:paraId="07C3F2C2" w14:textId="77777777" w:rsidR="00617D9D" w:rsidRDefault="00000000">
      <w:r>
        <w:rPr>
          <w:b/>
          <w:bCs/>
        </w:rPr>
        <w:t>Can we run this against production?</w:t>
      </w:r>
      <w:r>
        <w:t xml:space="preserve"> Technically, yes, because the tests never read from sources or write to targets. Whether we should is a separate conversation to have with the manager.</w:t>
      </w:r>
    </w:p>
    <w:p w14:paraId="0344BC18" w14:textId="77777777" w:rsidR="00617D9D" w:rsidRDefault="00000000">
      <w:pPr>
        <w:pStyle w:val="Heading3"/>
      </w:pPr>
      <w:r>
        <w:t>If you are running short on time</w:t>
      </w:r>
    </w:p>
    <w:p w14:paraId="7EF0A05C" w14:textId="77777777" w:rsidR="00617D9D" w:rsidRDefault="00000000">
      <w:r>
        <w:t>Shorten slide 10 first, reducing it to a single sentence saying that everything lands in the tst directory. If you still need time, show slide 9 briefly, say that the MCP server is a black box, and move on. After that, skip the green cards on slide 2. Never cut slides 12, 13, or 14, because those are the ones the team will actually use.</w:t>
      </w:r>
    </w:p>
    <w:sectPr w:rsidR="00617D9D">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BF1A" w14:textId="77777777" w:rsidR="0046079E" w:rsidRDefault="0046079E">
      <w:pPr>
        <w:spacing w:after="0" w:line="240" w:lineRule="auto"/>
      </w:pPr>
      <w:r>
        <w:separator/>
      </w:r>
    </w:p>
  </w:endnote>
  <w:endnote w:type="continuationSeparator" w:id="0">
    <w:p w14:paraId="2A349080" w14:textId="77777777" w:rsidR="0046079E" w:rsidRDefault="00460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03B43" w14:textId="77777777" w:rsidR="00617D9D" w:rsidRDefault="00000000">
    <w:pPr>
      <w:jc w:val="right"/>
    </w:pPr>
    <w:r>
      <w:rPr>
        <w:color w:val="6E6A66"/>
        <w:sz w:val="18"/>
        <w:szCs w:val="18"/>
      </w:rPr>
      <w:t xml:space="preserve">ATPG Walkthrough — Speaker Script   ·   Page </w:t>
    </w:r>
    <w:r>
      <w:rPr>
        <w:color w:val="6E6A66"/>
        <w:sz w:val="18"/>
        <w:szCs w:val="18"/>
      </w:rPr>
      <w:fldChar w:fldCharType="begin"/>
    </w:r>
    <w:r>
      <w:rPr>
        <w:color w:val="6E6A66"/>
        <w:sz w:val="18"/>
        <w:szCs w:val="18"/>
      </w:rPr>
      <w:instrText>PAGE</w:instrText>
    </w:r>
    <w:r>
      <w:rPr>
        <w:color w:val="6E6A66"/>
        <w:sz w:val="18"/>
        <w:szCs w:val="18"/>
      </w:rPr>
      <w:fldChar w:fldCharType="separate"/>
    </w:r>
    <w:r w:rsidR="001D18AA">
      <w:rPr>
        <w:noProof/>
        <w:color w:val="6E6A66"/>
        <w:sz w:val="18"/>
        <w:szCs w:val="18"/>
      </w:rPr>
      <w:t>1</w:t>
    </w:r>
    <w:r>
      <w:rPr>
        <w:color w:val="6E6A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67FCE" w14:textId="77777777" w:rsidR="0046079E" w:rsidRDefault="0046079E">
      <w:pPr>
        <w:spacing w:after="0" w:line="240" w:lineRule="auto"/>
      </w:pPr>
      <w:r>
        <w:separator/>
      </w:r>
    </w:p>
  </w:footnote>
  <w:footnote w:type="continuationSeparator" w:id="0">
    <w:p w14:paraId="5B962F92" w14:textId="77777777" w:rsidR="0046079E" w:rsidRDefault="00460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22097"/>
    <w:multiLevelType w:val="hybridMultilevel"/>
    <w:tmpl w:val="66CC2E18"/>
    <w:lvl w:ilvl="0" w:tplc="CD0A9982">
      <w:start w:val="1"/>
      <w:numFmt w:val="bullet"/>
      <w:lvlText w:val="●"/>
      <w:lvlJc w:val="left"/>
      <w:pPr>
        <w:ind w:left="720" w:hanging="360"/>
      </w:pPr>
    </w:lvl>
    <w:lvl w:ilvl="1" w:tplc="AEAC7C6E">
      <w:start w:val="1"/>
      <w:numFmt w:val="bullet"/>
      <w:lvlText w:val="○"/>
      <w:lvlJc w:val="left"/>
      <w:pPr>
        <w:ind w:left="1440" w:hanging="360"/>
      </w:pPr>
    </w:lvl>
    <w:lvl w:ilvl="2" w:tplc="E8E2B5B6">
      <w:start w:val="1"/>
      <w:numFmt w:val="bullet"/>
      <w:lvlText w:val="■"/>
      <w:lvlJc w:val="left"/>
      <w:pPr>
        <w:ind w:left="2160" w:hanging="360"/>
      </w:pPr>
    </w:lvl>
    <w:lvl w:ilvl="3" w:tplc="96E43E3A">
      <w:start w:val="1"/>
      <w:numFmt w:val="bullet"/>
      <w:lvlText w:val="●"/>
      <w:lvlJc w:val="left"/>
      <w:pPr>
        <w:ind w:left="2880" w:hanging="360"/>
      </w:pPr>
    </w:lvl>
    <w:lvl w:ilvl="4" w:tplc="B97C6632">
      <w:start w:val="1"/>
      <w:numFmt w:val="bullet"/>
      <w:lvlText w:val="○"/>
      <w:lvlJc w:val="left"/>
      <w:pPr>
        <w:ind w:left="3600" w:hanging="360"/>
      </w:pPr>
    </w:lvl>
    <w:lvl w:ilvl="5" w:tplc="126E7458">
      <w:start w:val="1"/>
      <w:numFmt w:val="bullet"/>
      <w:lvlText w:val="■"/>
      <w:lvlJc w:val="left"/>
      <w:pPr>
        <w:ind w:left="4320" w:hanging="360"/>
      </w:pPr>
    </w:lvl>
    <w:lvl w:ilvl="6" w:tplc="CFC8DC72">
      <w:start w:val="1"/>
      <w:numFmt w:val="bullet"/>
      <w:lvlText w:val="●"/>
      <w:lvlJc w:val="left"/>
      <w:pPr>
        <w:ind w:left="5040" w:hanging="360"/>
      </w:pPr>
    </w:lvl>
    <w:lvl w:ilvl="7" w:tplc="AE2A1A32">
      <w:start w:val="1"/>
      <w:numFmt w:val="bullet"/>
      <w:lvlText w:val="●"/>
      <w:lvlJc w:val="left"/>
      <w:pPr>
        <w:ind w:left="5760" w:hanging="360"/>
      </w:pPr>
    </w:lvl>
    <w:lvl w:ilvl="8" w:tplc="3586C1B2">
      <w:start w:val="1"/>
      <w:numFmt w:val="bullet"/>
      <w:lvlText w:val="●"/>
      <w:lvlJc w:val="left"/>
      <w:pPr>
        <w:ind w:left="6480" w:hanging="360"/>
      </w:pPr>
    </w:lvl>
  </w:abstractNum>
  <w:num w:numId="1" w16cid:durableId="1316295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D9D"/>
    <w:rsid w:val="00024323"/>
    <w:rsid w:val="00144E66"/>
    <w:rsid w:val="001A706F"/>
    <w:rsid w:val="001C35F5"/>
    <w:rsid w:val="001D0BD0"/>
    <w:rsid w:val="001D18AA"/>
    <w:rsid w:val="001D2944"/>
    <w:rsid w:val="00206E26"/>
    <w:rsid w:val="00223896"/>
    <w:rsid w:val="00284212"/>
    <w:rsid w:val="002B1683"/>
    <w:rsid w:val="00380AAC"/>
    <w:rsid w:val="00386075"/>
    <w:rsid w:val="00390507"/>
    <w:rsid w:val="0046079E"/>
    <w:rsid w:val="004E36F0"/>
    <w:rsid w:val="00504413"/>
    <w:rsid w:val="00580166"/>
    <w:rsid w:val="005C0233"/>
    <w:rsid w:val="00617D9D"/>
    <w:rsid w:val="006219FF"/>
    <w:rsid w:val="007B1BC2"/>
    <w:rsid w:val="0081453E"/>
    <w:rsid w:val="008237CF"/>
    <w:rsid w:val="00861B04"/>
    <w:rsid w:val="008C1D89"/>
    <w:rsid w:val="00947722"/>
    <w:rsid w:val="009B133C"/>
    <w:rsid w:val="00A7333B"/>
    <w:rsid w:val="00A91ABA"/>
    <w:rsid w:val="00BF33B4"/>
    <w:rsid w:val="00CB0288"/>
    <w:rsid w:val="00CB6C0B"/>
    <w:rsid w:val="00CE0A10"/>
    <w:rsid w:val="00D42E90"/>
    <w:rsid w:val="00D47743"/>
    <w:rsid w:val="00D73563"/>
    <w:rsid w:val="00DE4273"/>
    <w:rsid w:val="00E54EEE"/>
    <w:rsid w:val="00F92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7139"/>
  <w15:docId w15:val="{6AE035C8-B7EC-496E-94B6-E9D002247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keepNext/>
      <w:spacing w:before="360" w:after="120"/>
      <w:outlineLvl w:val="1"/>
    </w:pPr>
    <w:rPr>
      <w:b/>
      <w:bCs/>
      <w:color w:val="A4161C"/>
      <w:sz w:val="30"/>
      <w:szCs w:val="30"/>
    </w:rPr>
  </w:style>
  <w:style w:type="paragraph" w:styleId="Heading3">
    <w:name w:val="heading 3"/>
    <w:uiPriority w:val="9"/>
    <w:unhideWhenUsed/>
    <w:qFormat/>
    <w:pPr>
      <w:keepNext/>
      <w:spacing w:before="2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1362</Words>
  <Characters>7764</Characters>
  <Application>Microsoft Office Word</Application>
  <DocSecurity>0</DocSecurity>
  <Lines>64</Lines>
  <Paragraphs>18</Paragraphs>
  <ScaleCrop>false</ScaleCrop>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subham Bhattacharjee</cp:lastModifiedBy>
  <cp:revision>39</cp:revision>
  <dcterms:created xsi:type="dcterms:W3CDTF">2026-09-17T12:19:00Z</dcterms:created>
  <dcterms:modified xsi:type="dcterms:W3CDTF">2026-09-17T12:55:00Z</dcterms:modified>
</cp:coreProperties>
</file>