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0"/>
          <w:szCs w:val="40"/>
        </w:rPr>
        <w:t xml:space="preserve">PLANEJAMENTO DO POWER BI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Projeto Eco360 — Raiz Inteligente | Colunas, gráficos e relacionamentos por página do dashboard</w:t>
      </w:r>
    </w:p>
    <w:p>
      <w:pPr>
        <w:pStyle w:val="Heading1"/>
        <w:spacing w:after="200" w:before="400"/>
      </w:pPr>
      <w:r>
        <w:t xml:space="preserve">1. Modelo de Dados Disponível</w:t>
      </w:r>
    </w:p>
    <w:p>
      <w:pPr>
        <w:spacing w:after="150"/>
      </w:pPr>
      <w:r>
        <w:t xml:space="preserve">Seis tabelas já tratadas e prontas para importação no Power BI. A base de queimadas (INPE) foi retirada do escopo desta primeira versão, conforme definido.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160"/>
        <w:gridCol w:w="1080"/>
        <w:gridCol w:w="3780"/>
      </w:tblGrid>
      <w:tr>
        <w:trPr>
          <w:tblHeader/>
        </w:trP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pct" w:w="2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Granularidade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pct" w:w="4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Papel no modelo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dim_municipio</w:t>
            </w:r>
          </w:p>
        </w:tc>
        <w:tc>
          <w:tcPr>
            <w:tcW w:type="pct" w:w="2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codigo_ibge (PK)</w:t>
            </w:r>
          </w:p>
        </w:tc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1.661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Dimensão central — município, UF, região, área territorial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fato_soja</w:t>
            </w:r>
          </w:p>
        </w:tc>
        <w:tc>
          <w:tcPr>
            <w:tcW w:type="pct" w:w="2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codigo_ibge + ano</w:t>
            </w:r>
          </w:p>
        </w:tc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8.674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Produção, produtividade e carbono do solo (PAM/MapBiomas)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fato_clima</w:t>
            </w:r>
          </w:p>
        </w:tc>
        <w:tc>
          <w:tcPr>
            <w:tcW w:type="pct" w:w="2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codigo_ibge + ano</w:t>
            </w:r>
          </w:p>
        </w:tc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9.966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Clima anual (INMET) — precipitação, temperatura, umidade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fato_cobertura</w:t>
            </w:r>
          </w:p>
        </w:tc>
        <w:tc>
          <w:tcPr>
            <w:tcW w:type="pct" w:w="2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codigo_ibge + ano</w:t>
            </w:r>
          </w:p>
        </w:tc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9.960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Uso e cobertura da terra (MapBiomas)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fato_emissao_soja</w:t>
            </w:r>
          </w:p>
        </w:tc>
        <w:tc>
          <w:tcPr>
            <w:tcW w:type="pct" w:w="2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id_emissao</w:t>
            </w:r>
          </w:p>
        </w:tc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207.144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Emissões municipais de GEE por metodologia/gás/bioma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fato_emissao_estado</w:t>
            </w:r>
          </w:p>
        </w:tc>
        <w:tc>
          <w:tcPr>
            <w:tcW w:type="pct" w:w="2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uf</w:t>
            </w:r>
          </w:p>
        </w:tc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Taxa de emissão e área de conversão de uso — nível estadual</w:t>
            </w:r>
          </w:p>
        </w:tc>
      </w:tr>
    </w:tbl>
    <w:p>
      <w:pPr>
        <w:spacing w:before="250"/>
      </w:pPr>
    </w:p>
    <w:p>
      <w:pPr>
        <w:pStyle w:val="Heading2"/>
        <w:spacing w:after="150" w:before="300"/>
      </w:pPr>
      <w:r>
        <w:t xml:space="preserve">Relacionamentos (modelo estrela)</w:t>
      </w:r>
    </w:p>
    <w:p>
      <w:pPr>
        <w:spacing w:after="150"/>
      </w:pPr>
      <w:r>
        <w:t xml:space="preserve">dim_municipio (codigo_ibge) é o lado "1" em relação a fato_soja, fato_clima, fato_cobertura e fato_emissao_soja (lado "N"), todos filtrando por codigo_ibge + ano. fato_emissao_estado se relaciona por uf, e não tem uma dimensão de estado própria ainda — pode ficar solta ou virar uma mini dim_estado.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0A64C" w:sz="4"/>
              <w:left w:val="single" w:color="E0A64C" w:sz="4"/>
              <w:bottom w:val="single" w:color="E0A64C" w:sz="4"/>
              <w:right w:val="single" w:color="E0A64C" w:sz="4"/>
            </w:tcBorders>
            <w:shd w:fill="FFF4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7A5B12"/>
                <w:sz w:val="20"/>
                <w:szCs w:val="20"/>
              </w:rPr>
              <w:t xml:space="preserve">Atenção no Power BI: crie um relacionamento explícito codigo_ibge (dim_municipio) → codigo_ibge (cada fato). Como ano aparece em várias tabelas fato, crie também uma dim_tempo (ano único) para evitar ambiguidade de filtro cruzado entre fato_soja, fato_clima, fato_cobertura e fato_emissao_soja.</w:t>
            </w:r>
          </w:p>
        </w:tc>
      </w:tr>
    </w:tbl>
    <w:p>
      <w:pPr>
        <w:pStyle w:val="Heading1"/>
        <w:spacing w:after="200" w:before="400"/>
      </w:pPr>
      <w:r>
        <w:t xml:space="preserve">2. Colunas por Tabela e Gráficos Recomendados</w:t>
      </w:r>
    </w:p>
    <w:p>
      <w:pPr>
        <w:pStyle w:val="Heading2"/>
        <w:spacing w:after="150" w:before="300"/>
      </w:pPr>
      <w:r>
        <w:t xml:space="preserve">2.1 dim_municipio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 no relatório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codigo_ibge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Chave de relacionamento (não usar em visual diretamente)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municipio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Eixo de categorias em rankings, tooltip do mapa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uf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Filtro/segmentação; eixo de comparação entre estados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regiao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Filtro Centro-Oeste × Sul; comparação regional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area_km2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Normalizar indicadores por área (ex: densidade de produção)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2.2 fato_soja — Página "Produção de Soja"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pct" w:w="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Gráfico sugerido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area_plantada_ha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Mapa coroplético por município; barras por UF/ano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area_colhida_ha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Comparação plantada × colhida (barras agrupadas)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quantidade_produzida_t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Ranking de municípios (barras horizontais); linha temporal 2019–2024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rendimento_medio_kg_ha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Linha de evolução da produtividade; dispersão vs. clima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valor_producao_mil_reais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Cartão KPI; treemap por estado/município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carbono_solo_t_ha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Mapa de calor municipal; dispersão vs. rendimento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tem_dado_producao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Filtro de qualidade — excluir/sinalizar municípios sem dado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2.3 fato_clima — Página "Clima e Produção"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pct" w:w="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Gráfico sugerido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precipitacao_anual_mm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Linha temporal; dispersão precipitação × produtividade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temperatura_media_anual_c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Mapa de calor por município; linha temporal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umidade_media_anual_pct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Linha temporal; comparação entre regiões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score_qualidade_climatica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Filtro de confiabilidade do dado exibido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qualidade_climatica_geral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Segmentação (alta/média/baixa) para transparência do dado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origem_precipitacao/temperatura/umidade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Não exibir no dashboard executivo — usar só em página de metodologia/auditoria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2.4 fato_cobertura — Página "Uso do Solo e Meio Ambiente"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pct" w:w="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Gráfico sugerido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pct_agricultura / pct_lavoura_temporaria / pct_soja_mapbiomas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Gráfico de área empilhada (evolução do uso do solo por ano)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pct_pastagem / pct_floresta / pct_cobertura_natural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Rosca (donut) de composição do uso do solo por município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biomas_presentes / quantidade_biomas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Filtro por bioma; mapa colorido por bioma predominante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area_soja_mapbiomas_ha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Comparar com area_plantada_ha da PAM (validação cruzada das fontes)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pct_area_nao_vegetada / pct_mosaico_usos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Indicador de pressão antrópica sobre a paisagem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2.5 fato_emissao_soja — Página "Emissões"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pct" w:w="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Gráfico sugerido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emissao_t (filtrar metodologia=AR6, metrica=GWP)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KPI de emissão total; ranking de municípios; linha temporal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metodologia / metrica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Segmentação para comparar AR2–AR6, GTP vs. GWP (página de metodologia)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tipo_emissao (Diretas/Indiretas)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Barras empilhadas — composição direta × indireta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bioma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Filtro/comparação de emissão por bioma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emissao_t / quantidade_produzida_t (fato_soja)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Medida calculada: emissão por tonelada de soja (intensidade de emissão)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2.6 fato_emissao_estado — contexto estadual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pct" w:w="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Gráfico sugerido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taxa_emissao + IC inferior/superior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Barras com barra de erro (intervalo de confiança) por UF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emissao_absoluta + IC inferior/superior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Comparação entre estados (barras horizontais)</w:t>
            </w:r>
          </w:p>
        </w:tc>
      </w:tr>
      <w:tr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area_conversao</w:t>
            </w:r>
          </w:p>
        </w:tc>
        <w:tc>
          <w:tcPr>
            <w:tcW w:type="pct" w:w="6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Barras — área convertida para uso da soja por UF</w:t>
            </w:r>
          </w:p>
        </w:tc>
      </w:tr>
    </w:tbl>
    <w:p>
      <w:pPr>
        <w:pStyle w:val="Heading1"/>
        <w:spacing w:after="200" w:before="400"/>
      </w:pPr>
      <w:r>
        <w:t xml:space="preserve">3. Estrutura de Páginas (sem a página de queimadas)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340"/>
        <w:gridCol w:w="4680"/>
      </w:tblGrid>
      <w:tr>
        <w:trPr>
          <w:tblHeader/>
        </w:trP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Tabelas usadas</w:t>
            </w:r>
          </w:p>
        </w:tc>
        <w:tc>
          <w:tcPr>
            <w:tcW w:type="pct" w:w="5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1. Visão Geral</w:t>
            </w:r>
          </w:p>
        </w:tc>
        <w:tc>
          <w:tcPr>
            <w:tcW w:type="pct" w:w="2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dim_municipio + todas as fato</w:t>
            </w:r>
          </w:p>
        </w:tc>
        <w:tc>
          <w:tcPr>
            <w:tcW w:type="pct" w:w="5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KPIs consolidados: área, produção, emissão, nº municípios, IOA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2. Produção de Soja</w:t>
            </w:r>
          </w:p>
        </w:tc>
        <w:tc>
          <w:tcPr>
            <w:tcW w:type="pct" w:w="2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fato_soja + dim_municipio</w:t>
            </w:r>
          </w:p>
        </w:tc>
        <w:tc>
          <w:tcPr>
            <w:tcW w:type="pct" w:w="5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Polos produtores, produtividade, evolução histórica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3. Clima e Produção</w:t>
            </w:r>
          </w:p>
        </w:tc>
        <w:tc>
          <w:tcPr>
            <w:tcW w:type="pct" w:w="2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fato_clima + fato_soja</w:t>
            </w:r>
          </w:p>
        </w:tc>
        <w:tc>
          <w:tcPr>
            <w:tcW w:type="pct" w:w="5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Relação clima × produtividade por município/ano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4. Uso do Solo e Meio Ambiente</w:t>
            </w:r>
          </w:p>
        </w:tc>
        <w:tc>
          <w:tcPr>
            <w:tcW w:type="pct" w:w="2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fato_cobertura + fato_soja (carbono_solo)</w:t>
            </w:r>
          </w:p>
        </w:tc>
        <w:tc>
          <w:tcPr>
            <w:tcW w:type="pct" w:w="5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Composição do uso da terra, biomas, carbono do solo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5. Emissões</w:t>
            </w:r>
          </w:p>
        </w:tc>
        <w:tc>
          <w:tcPr>
            <w:tcW w:type="pct" w:w="2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fato_emissao_soja + fato_emissao_estado</w:t>
            </w:r>
          </w:p>
        </w:tc>
        <w:tc>
          <w:tcPr>
            <w:tcW w:type="pct" w:w="5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Emissões totais, intensidade, comparação estadual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6. Mapa de Inteligência Territorial</w:t>
            </w:r>
          </w:p>
        </w:tc>
        <w:tc>
          <w:tcPr>
            <w:tcW w:type="pct" w:w="2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dim_municipio + todas as fato</w:t>
            </w:r>
          </w:p>
        </w:tc>
        <w:tc>
          <w:tcPr>
            <w:tcW w:type="pct" w:w="5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Visão geoespacial integrada por município (requer malha municipal/geojson)</w:t>
            </w:r>
          </w:p>
        </w:tc>
      </w:tr>
    </w:tbl>
    <w:p>
      <w:pPr>
        <w:pStyle w:val="Heading1"/>
        <w:spacing w:after="200" w:before="400"/>
      </w:pPr>
      <w:r>
        <w:t xml:space="preserve">4. Índice de Oportunidade Agroambiental (IOA)</w:t>
      </w:r>
    </w:p>
    <w:p>
      <w:pPr>
        <w:spacing w:after="150"/>
      </w:pPr>
      <w:r>
        <w:t xml:space="preserve">Score relativo de priorização (0–100), não um valor monetário nem uma certificação de elegibilidade a crédito de carbono — conforme definido no case do projeto (seção 11).</w:t>
      </w:r>
    </w:p>
    <w:p>
      <w:pPr>
        <w:spacing w:after="150"/>
      </w:pPr>
      <w:r>
        <w:rPr>
          <w:b/>
          <w:bCs/>
        </w:rPr>
        <w:t xml:space="preserve">Fórmula DAX (exemplo, pesos ajustáveis):</w:t>
      </w:r>
    </w:p>
    <w:p>
      <w:pPr>
        <w:shd w:fill="E8F5E9" w:val="clear"/>
        <w:spacing w:after="150" w:before="100"/>
      </w:pPr>
      <w:r>
        <w:rPr>
          <w:rFonts w:ascii="Consolas" w:cs="Consolas" w:eastAsia="Consolas" w:hAnsi="Consolas"/>
          <w:sz w:val="19"/>
          <w:szCs w:val="19"/>
        </w:rPr>
        <w:t xml:space="preserve">IOA_Score =
    (0.25 * [Score_Produtividade_Norm]) +
    (0.20 * [Score_Clima_Favoravel_Norm]) +
    (0.20 * [Score_Intensidade_Emissao_Inv_Norm]) +
    (0.20 * [Score_Carbono_Solo_Norm]) +
    (0.15 * [Score_Cobertura_Natural_Norm])</w:t>
      </w:r>
    </w:p>
    <w:p>
      <w:pPr>
        <w:spacing w:after="150"/>
      </w:pPr>
      <w:r>
        <w:t xml:space="preserve">Cada componente normalizado via min-max dentro da região: DIVIDE([valor] - [mín. regional], [máx. regional] - [mín. regional]).</w:t>
      </w:r>
    </w:p>
    <w:p>
      <w:pPr>
        <w:pStyle w:val="Heading1"/>
        <w:spacing w:after="200" w:before="400"/>
      </w:pPr>
      <w:r>
        <w:t xml:space="preserve">5. Estimativa Ilustrativa de Potencial de Carbono (ordem de grandeza)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0A64C" w:sz="4"/>
              <w:left w:val="single" w:color="E0A64C" w:sz="4"/>
              <w:bottom w:val="single" w:color="E0A64C" w:sz="4"/>
              <w:right w:val="single" w:color="E0A64C" w:sz="4"/>
            </w:tcBorders>
            <w:shd w:fill="FFF4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i/>
                <w:iCs/>
                <w:color w:val="7A5B12"/>
                <w:sz w:val="20"/>
                <w:szCs w:val="20"/>
              </w:rPr>
              <w:t xml:space="preserve">AVISO IMPORTANTE: os números abaixo são uma estimativa ilustrativa de ordem de grandeza, não uma quantificação real de créditos de carbono.</w:t>
            </w:r>
          </w:p>
          <w:p>
            <w:pPr>
              <w:spacing w:after="60"/>
            </w:pPr>
            <w:r>
              <w:rPr>
                <w:i/>
                <w:iCs/>
                <w:color w:val="7A5B12"/>
                <w:sz w:val="20"/>
                <w:szCs w:val="20"/>
              </w:rPr>
              <w:t xml:space="preserve">Não usar para decisões comerciais, de investimento ou para comunicação com clientes como se fosse um número certificado.</w:t>
            </w:r>
          </w:p>
          <w:p>
            <w:pPr>
              <w:spacing w:after="0"/>
            </w:pPr>
            <w:r>
              <w:rPr>
                <w:i/>
                <w:iCs/>
                <w:color w:val="7A5B12"/>
                <w:sz w:val="20"/>
                <w:szCs w:val="20"/>
              </w:rPr>
              <w:t xml:space="preserve">Créditos de carbono reais exigem metodologia certificada (ex: VM0042), linha de base, adicionalidade (mudança de prática) e verificação por auditor credenciado (Verra, Gold Standard) — nada disso está presente nesta estimativa.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Premissas utilizadas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Premissa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/ fonte</w:t>
            </w:r>
          </w:p>
        </w:tc>
      </w:tr>
      <w:tr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Área plantada de soja 2024 (Centro-Oeste + Sul)</w:t>
            </w:r>
          </w:p>
        </w:tc>
        <w:tc>
          <w:tcPr>
            <w:tcW w:type="pct" w:w="6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34.750.158 ha (fato_soja, soma 2024)</w:t>
            </w:r>
          </w:p>
        </w:tc>
      </w:tr>
      <w:tr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Potencial de sequestro adicional c/ manejo regenerativo (ex: plantio direto)</w:t>
            </w:r>
          </w:p>
        </w:tc>
        <w:tc>
          <w:tcPr>
            <w:tcW w:type="pct" w:w="6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0,5 a 1,0 tCO2e/ha/ano (referência de mercado — não medido nesta base)</w:t>
            </w:r>
          </w:p>
        </w:tc>
      </w:tr>
      <w:tr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Preço de crédito no mercado voluntário agro (Brasil, 2026)</w:t>
            </w:r>
          </w:p>
        </w:tc>
        <w:tc>
          <w:tcPr>
            <w:tcW w:type="pct" w:w="6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US$ 8 a US$ 15 / tCO2e (referência de mercado — pode variar por certificadora, safra e câmbio)</w:t>
            </w:r>
          </w:p>
        </w:tc>
      </w:tr>
      <w:tr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Cenário considerado</w:t>
            </w:r>
          </w:p>
        </w:tc>
        <w:tc>
          <w:tcPr>
            <w:tcW w:type="pct" w:w="6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100% da área elegível e certificada — teto teórico, não uma projeção realista de adesão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Resultado (ordem de grandeza, teto teórico)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80"/>
        <w:gridCol w:w="3780"/>
      </w:tblGrid>
      <w:tr>
        <w:trPr>
          <w:tblHeader/>
        </w:trPr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pct" w:w="3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Créditos potenciais/ano</w:t>
            </w:r>
          </w:p>
        </w:tc>
        <w:tc>
          <w:tcPr>
            <w:tcW w:type="pct" w:w="4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Receita potencial/ano (US$)</w:t>
            </w:r>
          </w:p>
        </w:tc>
      </w:tr>
      <w:tr>
        <w:tc>
          <w:tcPr>
            <w:tcW w:type="pct" w:w="2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Conservador (0,5 t/ha, US$ 8/t)</w:t>
            </w:r>
          </w:p>
        </w:tc>
        <w:tc>
          <w:tcPr>
            <w:tcW w:type="pct" w:w="3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≈ 17,4 milhões tCO2e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≈ US$ 139 milhões</w:t>
            </w:r>
          </w:p>
        </w:tc>
      </w:tr>
      <w:tr>
        <w:tc>
          <w:tcPr>
            <w:tcW w:type="pct" w:w="2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Otimista (1,0 t/ha, US$ 15/t)</w:t>
            </w:r>
          </w:p>
        </w:tc>
        <w:tc>
          <w:tcPr>
            <w:tcW w:type="pct" w:w="3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≈ 34,8 milhões tCO2e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≈ US$ 521 milhões</w:t>
            </w:r>
          </w:p>
        </w:tc>
      </w:tr>
    </w:tbl>
    <w:p>
      <w:pPr>
        <w:spacing w:before="200"/>
      </w:pPr>
    </w:p>
    <w:p>
      <w:pPr>
        <w:spacing w:after="150"/>
      </w:pPr>
      <w:r>
        <w:rPr>
          <w:b/>
          <w:bCs/>
        </w:rPr>
        <w:t xml:space="preserve">Por que isso é só uma ordem de grandeza e não um número a ser usado comercialmente: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Assume que 100% da área já não pratica manejo regenerativo hoje — na prática, parte relevante do Centro-Oeste e Sul já usa plantio direto, o que reduziria bastante a adicionalidade real.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há linha de base (baseline) calculada por município — o valor real de crédito depende da diferença entre prática atual e prática do projeto, não da área total.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Preços de mercado variam por certificadora, vintage, bioma e co-benefícios (a faixa encontrada em pesquisa foi de US$ 5 a US$ 38/tCO2e dependendo do tipo de projeto).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Nenhuma verificação (MRV) foi realizada — este é um exercício de ordem de grandeza, não uma avaliação técnica.</w:t>
      </w:r>
    </w:p>
    <w:p>
      <w:pPr>
        <w:spacing w:before="250"/>
      </w:pPr>
    </w:p>
    <w:p>
      <w:pPr>
        <w:spacing w:after="150"/>
      </w:pPr>
      <w:r>
        <w:rPr>
          <w:i/>
          <w:iCs/>
          <w:color w:val="555555"/>
        </w:rPr>
        <w:t xml:space="preserve">Uso recomendado: essas faixas podem servir de contexto narrativo em uma página de "Oportunidades de Descarbonização" do Power BI (ex.: "o Centro-Oeste e Sul representam um território de X milhões de hectares com potencial teórico de geração de créditos, a ser aprofundado tecnicamente por município prioritário") — sempre com esse aviso de limitação junto.</w:t>
      </w:r>
    </w:p>
    <w:p>
      <w:pPr>
        <w:pStyle w:val="Heading1"/>
        <w:spacing w:after="200" w:before="400"/>
      </w:pPr>
      <w:r>
        <w:t xml:space="preserve">6. Página de Monitoramento</w:t>
      </w:r>
    </w:p>
    <w:p>
      <w:pPr>
        <w:spacing w:after="150"/>
      </w:pPr>
      <w:r>
        <w:t xml:space="preserve">Corresponde à Etapa 8 ("Monitorar") do modelo de atuação da Raiz Inteligente (case, seção 19) e ao roadmap de curto/médio/longo prazo (seção 20). Diferente das páginas 2 a 5, que mostram "a foto" de um ano, esta página mostra "o filme": variação ano a ano, tendência e qualidade/completude do dado ao longo do tempo.</w:t>
      </w:r>
    </w:p>
    <w:p>
      <w:pPr>
        <w:pStyle w:val="Heading2"/>
        <w:spacing w:after="150" w:before="300"/>
      </w:pPr>
      <w:r>
        <w:t xml:space="preserve">6.1 O que a página deve responder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 indicadores estão melhorando ou piorando ano a ano (2019 → 2024)?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cobertura de dados está completa o suficiente para confiar na leitura de cada município/ano?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Onde a tendência climática ou de emissão exige atenção antes da próxima safra?</w:t>
      </w:r>
    </w:p>
    <w:p>
      <w:pPr>
        <w:pStyle w:val="Heading2"/>
        <w:spacing w:after="150" w:before="300"/>
      </w:pPr>
      <w:r>
        <w:t xml:space="preserve">6.2 Cards de KPI com variação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2700"/>
      </w:tblGrid>
      <w:tr>
        <w:trPr>
          <w:tblHeader/>
        </w:trPr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pct" w:w="4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Cálculo (DAX)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Tabela fonte</w:t>
            </w:r>
          </w:p>
        </w:tc>
      </w:tr>
      <w:tr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Variação de área plantada (YoY)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DIVIDE([Área_Atual]-[Área_Ano_Anterior],[Área_Ano_Anterior])</w:t>
            </w:r>
          </w:p>
        </w:tc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fato_soja</w:t>
            </w:r>
          </w:p>
        </w:tc>
      </w:tr>
      <w:tr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Variação de produtividade (YoY)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DIVIDE([Rendimento_Atual]-[Rendimento_Ano_Anterior],[Rendimento_Ano_Anterior])</w:t>
            </w:r>
          </w:p>
        </w:tc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fato_soja</w:t>
            </w:r>
          </w:p>
        </w:tc>
      </w:tr>
      <w:tr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Variação de emissão total (YoY)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DIVIDE([Emissao_Atual]-[Emissao_Ano_Anterior],[Emissao_Ano_Anterior])</w:t>
            </w:r>
          </w:p>
        </w:tc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fato_emissao_soja</w:t>
            </w:r>
          </w:p>
        </w:tc>
      </w:tr>
      <w:tr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Variação de carbono no solo (YoY)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DIVIDE([Carbono_Atual]-[Carbono_Ano_Anterior],[Carbono_Ano_Anterior])</w:t>
            </w:r>
          </w:p>
        </w:tc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fato_soja</w:t>
            </w:r>
          </w:p>
        </w:tc>
      </w:tr>
      <w:tr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Tendência de precipitação (média móvel 3 anos)</w:t>
            </w:r>
          </w:p>
        </w:tc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AVERAGEX(DATESINPERIOD('dim_tempo'[ano], MAX('dim_tempo'[ano]), -3, YEAR), [Precipitacao_Media])</w:t>
            </w:r>
          </w:p>
        </w:tc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fato_clima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6.3 Monitoramento de qualidade e completude do dado</w:t>
      </w:r>
    </w:p>
    <w:p>
      <w:pPr>
        <w:spacing w:after="150"/>
      </w:pPr>
      <w:r>
        <w:t xml:space="preserve">Isso não é opcional — o próprio processo de ETL do projeto (case, seção 9.2) exige tratar nulos sem mascarar a causa. Esta página é onde essa transparência aparece para quem consome o dashboard.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20"/>
        <w:gridCol w:w="2880"/>
      </w:tblGrid>
      <w:tr>
        <w:trPr>
          <w:tblHeader/>
        </w:trP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pct" w:w="3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Cálculo / fonte</w:t>
            </w:r>
          </w:p>
        </w:tc>
        <w:tc>
          <w:tcPr>
            <w:tcW w:type="pct" w:w="3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Gráfico sugerido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% de municípios com dado de produção completo</w:t>
            </w:r>
          </w:p>
        </w:tc>
        <w:tc>
          <w:tcPr>
            <w:tcW w:type="pct" w:w="3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COUNTROWS(FILTER(fato_soja,[tem_dado_producao]=1)) / COUNTROWS(fato_soja)</w:t>
            </w:r>
          </w:p>
        </w:tc>
        <w:tc>
          <w:tcPr>
            <w:tcW w:type="pct" w:w="3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Cartão KPI + gauge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% de dados climáticos observados vs. estimados</w:t>
            </w:r>
          </w:p>
        </w:tc>
        <w:tc>
          <w:tcPr>
            <w:tcW w:type="pct" w:w="3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Distribuição de origem_precipitacao/temperatura/umidade</w:t>
            </w:r>
          </w:p>
        </w:tc>
        <w:tc>
          <w:tcPr>
            <w:tcW w:type="pct" w:w="3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Barras empilhadas por ano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Score médio de qualidade climática</w:t>
            </w:r>
          </w:p>
        </w:tc>
        <w:tc>
          <w:tcPr>
            <w:tcW w:type="pct" w:w="3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AVERAGE(fato_clima[score_qualidade_climatica])</w:t>
            </w:r>
          </w:p>
        </w:tc>
        <w:tc>
          <w:tcPr>
            <w:tcW w:type="pct" w:w="3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Linha temporal por região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Municípios sem correspondência de codigo_ibge</w:t>
            </w:r>
          </w:p>
        </w:tc>
        <w:tc>
          <w:tcPr>
            <w:tcW w:type="pct" w:w="3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fato_emissao_soja com codigo_ibge em branco</w:t>
            </w:r>
          </w:p>
        </w:tc>
        <w:tc>
          <w:tcPr>
            <w:tcW w:type="pct" w:w="3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Tabela de exceções / alerta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0A64C" w:sz="4"/>
              <w:left w:val="single" w:color="E0A64C" w:sz="4"/>
              <w:bottom w:val="single" w:color="E0A64C" w:sz="4"/>
              <w:right w:val="single" w:color="E0A64C" w:sz="4"/>
            </w:tcBorders>
            <w:shd w:fill="FFF4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7A5B12"/>
                <w:sz w:val="20"/>
                <w:szCs w:val="20"/>
              </w:rPr>
              <w:t xml:space="preserve">Boa prática: adicionar um segmentador de "origem do dado" (observado × estimado) em toda a página de clima, para que a consultoria nunca leia uma queda de precipitação sem saber se é um dado real ou interpolado.</w:t>
            </w:r>
          </w:p>
        </w:tc>
      </w:tr>
    </w:tbl>
    <w:p>
      <w:pPr>
        <w:pStyle w:val="Heading1"/>
        <w:spacing w:after="200" w:before="400"/>
      </w:pPr>
      <w:r>
        <w:t xml:space="preserve">7. Página de Potencial de Investimento</w:t>
      </w:r>
    </w:p>
    <w:p>
      <w:pPr>
        <w:spacing w:after="150"/>
      </w:pPr>
      <w:r>
        <w:t xml:space="preserve">Aqui a leitura muda: em vez de "o que já aconteceu" (produção, clima, emissão), a página aponta "onde vale a pena a Raiz Inteligente investigar primeiro" — alimentando as Etapas 3 e 4 do modelo de atuação (Priorizar → Prospectar, case seção 19).</w:t>
      </w:r>
    </w:p>
    <w:p>
      <w:pPr>
        <w:pStyle w:val="Heading2"/>
        <w:spacing w:after="150" w:before="300"/>
      </w:pPr>
      <w:r>
        <w:t xml:space="preserve">7.1 Achado importante sobre emissão por tonelada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0A64C" w:sz="4"/>
              <w:left w:val="single" w:color="E0A64C" w:sz="4"/>
              <w:bottom w:val="single" w:color="E0A64C" w:sz="4"/>
              <w:right w:val="single" w:color="E0A64C" w:sz="4"/>
            </w:tcBorders>
            <w:shd w:fill="FFF4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i/>
                <w:iCs/>
                <w:color w:val="7A5B12"/>
                <w:sz w:val="20"/>
                <w:szCs w:val="20"/>
              </w:rPr>
              <w:t xml:space="preserve">Testamos usar "emissão por tonelada de soja" (emissao_t / quantidade_produzida_t) como indicador de eficiência ambiental entre municípios — a ideia inicial que discutimos.</w:t>
            </w:r>
          </w:p>
          <w:p>
            <w:pPr>
              <w:spacing w:after="60"/>
            </w:pPr>
            <w:r>
              <w:rPr>
                <w:i/>
                <w:iCs/>
                <w:color w:val="7A5B12"/>
                <w:sz w:val="20"/>
                <w:szCs w:val="20"/>
              </w:rPr>
              <w:t xml:space="preserve">Resultado: esse valor é praticamente constante em toda a base (≈0,095 tCO2e/t, variação de apenas 0,4% entre os 8.669 registros). Isso indica que a metodologia de emissão da base aplica um fator fixo por tonelada de resíduo agrícola (padrão IPCC), e não captura diferenças reais de prática de manejo entre municípios.</w:t>
            </w:r>
          </w:p>
          <w:p>
            <w:pPr>
              <w:spacing w:after="0"/>
            </w:pPr>
            <w:r>
              <w:rPr>
                <w:i/>
                <w:iCs/>
                <w:color w:val="7A5B12"/>
                <w:sz w:val="20"/>
                <w:szCs w:val="20"/>
              </w:rPr>
              <w:t xml:space="preserve">Conclusão: não recomendamos usar essa métrica para ranquear potencial de investimento — ela não diferencia municípios. Substituímos por indicadores que de fato variam na base (abaixo).</w:t>
            </w:r>
          </w:p>
        </w:tc>
      </w:tr>
    </w:tbl>
    <w:p>
      <w:pPr>
        <w:pStyle w:val="Heading2"/>
        <w:spacing w:after="150" w:before="300"/>
      </w:pPr>
      <w:r>
        <w:t xml:space="preserve">7.2 Indicadores que realmente diferenciam municípios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4500"/>
      </w:tblGrid>
      <w:tr>
        <w:trPr>
          <w:tblHeader/>
        </w:trP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sinaliza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Crescimento da produção 2019→2024 (%)</w:t>
            </w:r>
          </w:p>
        </w:tc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fato_soja</w:t>
            </w:r>
          </w:p>
        </w:tc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Expansão do cultivo — sinal de dinamismo econômico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Rendimento médio (kg/ha)</w:t>
            </w:r>
          </w:p>
        </w:tc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fato_soja</w:t>
            </w:r>
          </w:p>
        </w:tc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Eficiência produtiva atual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Carbono no solo (t/ha)</w:t>
            </w:r>
          </w:p>
        </w:tc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fato_soja</w:t>
            </w:r>
          </w:p>
        </w:tc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Potencial de manejo/estoque de carbono já existente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% de cobertura natural remanescente</w:t>
            </w:r>
          </w:p>
        </w:tc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fato_cobertura</w:t>
            </w:r>
          </w:p>
        </w:tc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Espaço para conservação/recuperação vs. pressão antrópica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Score climático (qualidade + favorabilidade)</w:t>
            </w:r>
          </w:p>
        </w:tc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fato_clima</w:t>
            </w:r>
          </w:p>
        </w:tc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Confiabilidade do dado + estabilidade climática da região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7.3 Fórmula de score (DAX, exemplo)</w:t>
      </w:r>
    </w:p>
    <w:p>
      <w:pPr>
        <w:shd w:fill="E8F5E9" w:val="clear"/>
        <w:spacing w:after="150" w:before="100"/>
      </w:pPr>
      <w:r>
        <w:rPr>
          <w:rFonts w:ascii="Consolas" w:cs="Consolas" w:eastAsia="Consolas" w:hAnsi="Consolas"/>
          <w:sz w:val="19"/>
          <w:szCs w:val="19"/>
        </w:rPr>
        <w:t xml:space="preserve">Potencial_Investimento_Score =
    (0.35 * [Score_Crescimento_Producao_Norm]) +
    (0.30 * [Score_Rendimento_Norm]) +
    (0.20 * [Score_Carbono_Solo_Norm]) +
    (0.15 * [Score_Cobertura_Natural_Norm])</w:t>
      </w:r>
    </w:p>
    <w:p>
      <w:pPr>
        <w:spacing w:after="150"/>
      </w:pPr>
      <w:r>
        <w:t xml:space="preserve">Mesma lógica de normalização min-max do IOA (seção 4). Na prática, este score pode até ser um dos componentes de entrada do IOA, em vez de um índice paralelo — a decisão de mantê-los separados ou unificados fica com a Raiz Inteligente conforme a narrativa que quiserem dar à consultoria.</w:t>
      </w:r>
    </w:p>
    <w:p>
      <w:pPr>
        <w:spacing w:before="200"/>
      </w:pPr>
    </w:p>
    <w:p>
      <w:pPr>
        <w:pStyle w:val="Heading2"/>
        <w:spacing w:after="150" w:before="300"/>
      </w:pPr>
      <w:r>
        <w:t xml:space="preserve">7.4 Exemplo real — Top 10 municípios (dados de 2024, produção mínima 1.000 t em 2019)</w:t>
      </w:r>
    </w:p>
    <w:p>
      <w:pPr>
        <w:spacing w:after="150"/>
      </w:pPr>
      <w:r>
        <w:rPr>
          <w:i/>
          <w:iCs/>
          <w:color w:val="555555"/>
        </w:rPr>
        <w:t xml:space="preserve">Calculado a partir das tabelas já tratadas, só para validar que o score funciona e diferencia municípios de fato: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20"/>
        <w:gridCol w:w="1260"/>
        <w:gridCol w:w="1260"/>
        <w:gridCol w:w="1440"/>
        <w:gridCol w:w="1440"/>
        <w:gridCol w:w="1260"/>
      </w:tblGrid>
      <w:tr>
        <w:trPr>
          <w:tblHeader/>
        </w:trPr>
        <w:tc>
          <w:tcPr>
            <w:tcW w:type="pct" w:w="1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Município</w:t>
            </w:r>
          </w:p>
        </w:tc>
        <w:tc>
          <w:tcPr>
            <w:tcW w:type="pct" w:w="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UF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Região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Cresc. produção</w:t>
            </w:r>
          </w:p>
        </w:tc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Rendimento (kg/ha)</w:t>
            </w:r>
          </w:p>
        </w:tc>
        <w:tc>
          <w:tcPr>
            <w:tcW w:type="pct" w:w="1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Carbono solo (t/ha)</w:t>
            </w:r>
          </w:p>
        </w:tc>
        <w:tc>
          <w:tcPr>
            <w:tcW w:type="pct" w:w="1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Inácio Martins</w:t>
            </w:r>
          </w:p>
        </w:tc>
        <w:tc>
          <w:tcPr>
            <w:tcW w:type="pct" w:w="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Sul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+206%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3.493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93,5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82,3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Aripuanã</w:t>
            </w:r>
          </w:p>
        </w:tc>
        <w:tc>
          <w:tcPr>
            <w:tcW w:type="pct" w:w="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MT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Centro-Oeste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+1.022%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4.200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45,4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79,8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Juína</w:t>
            </w:r>
          </w:p>
        </w:tc>
        <w:tc>
          <w:tcPr>
            <w:tcW w:type="pct" w:w="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MT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Centro-Oeste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+449%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4.200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40,2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78,8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São Domingos</w:t>
            </w:r>
          </w:p>
        </w:tc>
        <w:tc>
          <w:tcPr>
            <w:tcW w:type="pct" w:w="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GO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Centro-Oeste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+887%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4.521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51,2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78,1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Juruena</w:t>
            </w:r>
          </w:p>
        </w:tc>
        <w:tc>
          <w:tcPr>
            <w:tcW w:type="pct" w:w="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MT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Centro-Oeste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+371%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4.320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43,1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76,0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Luciara</w:t>
            </w:r>
          </w:p>
        </w:tc>
        <w:tc>
          <w:tcPr>
            <w:tcW w:type="pct" w:w="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MT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Centro-Oeste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+1.239%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3.134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54,2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75,5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Joaçaba</w:t>
            </w:r>
          </w:p>
        </w:tc>
        <w:tc>
          <w:tcPr>
            <w:tcW w:type="pct" w:w="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SC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Sul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+223%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3.721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70,3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75,1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Jaborá</w:t>
            </w:r>
          </w:p>
        </w:tc>
        <w:tc>
          <w:tcPr>
            <w:tcW w:type="pct" w:w="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SC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Sul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+242%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3.667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70,9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74,9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Uruana</w:t>
            </w:r>
          </w:p>
        </w:tc>
        <w:tc>
          <w:tcPr>
            <w:tcW w:type="pct" w:w="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GO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Centro-Oeste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+229%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4.500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51,6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72,9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Mandirituba</w:t>
            </w:r>
          </w:p>
        </w:tc>
        <w:tc>
          <w:tcPr>
            <w:tcW w:type="pct" w:w="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Sul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+252%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3.290</w:t>
            </w:r>
          </w:p>
        </w:tc>
        <w:tc>
          <w:tcPr>
            <w:tcW w:type="pct" w:w="1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67,4</w:t>
            </w:r>
          </w:p>
        </w:tc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72,6</w:t>
            </w:r>
          </w:p>
        </w:tc>
      </w:tr>
    </w:tbl>
    <w:p>
      <w:pPr>
        <w:spacing w:before="200"/>
      </w:pPr>
    </w:p>
    <w:p>
      <w:pPr>
        <w:spacing w:after="150"/>
      </w:pPr>
      <w:r>
        <w:rPr>
          <w:i/>
          <w:iCs/>
          <w:color w:val="555555"/>
        </w:rPr>
        <w:t xml:space="preserve">Leitura: são municípios pequenos/médios em expansão rápida de área — perfil típico de fronteira agrícola recente (muito comum em MT/GO) somado a bons indicadores de solo. Isso é um sinal para investigação (Etapa 4 — Prospectar), não uma conclusão de investimento em si.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0A64C" w:sz="4"/>
              <w:left w:val="single" w:color="E0A64C" w:sz="4"/>
              <w:bottom w:val="single" w:color="E0A64C" w:sz="4"/>
              <w:right w:val="single" w:color="E0A64C" w:sz="4"/>
            </w:tcBorders>
            <w:shd w:fill="FFF4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7A5B12"/>
                <w:sz w:val="20"/>
                <w:szCs w:val="20"/>
              </w:rPr>
              <w:t xml:space="preserve">Este ranking é ilustrativo/exploratório com pesos arbitrários (0,35/0,30/0,20/0,15) — ajustar os pesos junto com a Raiz Inteligente antes de usar com clientes, e tratar como ponto de partida para a Etapa 5 (Diagnosticar), não como recomendação de investimento.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B57" w:sz="8" w:space="4"/>
      </w:pBdr>
      <w:spacing w:after="200" w:before="40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2026-08-13T16:18:35.314Z</dcterms:created>
  <dcterms:modified xsi:type="dcterms:W3CDTF">2026-08-13T16:18:35.326Z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