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0" w:line="240"/>
        <w:ind w:right="0" w:left="0" w:firstLine="0"/>
        <w:jc w:val="left"/>
        <w:rPr>
          <w:rFonts w:ascii="Calibri" w:hAnsi="Calibri" w:cs="Calibri" w:eastAsia="Calibri"/>
          <w:color w:val="auto"/>
          <w:spacing w:val="0"/>
          <w:position w:val="0"/>
          <w:sz w:val="22"/>
          <w:shd w:fill="auto" w:val="clear"/>
        </w:rPr>
      </w:pPr>
    </w:p>
    <w:p>
      <w:pPr>
        <w:spacing w:before="0" w:after="2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1F4E79"/>
          <w:spacing w:val="0"/>
          <w:position w:val="0"/>
          <w:sz w:val="56"/>
          <w:shd w:fill="auto" w:val="clear"/>
        </w:rPr>
        <w:t xml:space="preserve">PLAN DE PRUEBAS DE SOFTWARE</w:t>
      </w:r>
    </w:p>
    <w:p>
      <w:pPr>
        <w:spacing w:before="0" w:after="1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444444"/>
          <w:spacing w:val="0"/>
          <w:position w:val="0"/>
          <w:sz w:val="32"/>
          <w:shd w:fill="auto" w:val="clear"/>
        </w:rPr>
        <w:t xml:space="preserve">Sistema de Aduana Digital (SAD) </w:t>
      </w:r>
      <w:r>
        <w:rPr>
          <w:rFonts w:ascii="Calibri" w:hAnsi="Calibri" w:cs="Calibri" w:eastAsia="Calibri"/>
          <w:color w:val="444444"/>
          <w:spacing w:val="0"/>
          <w:position w:val="0"/>
          <w:sz w:val="32"/>
          <w:shd w:fill="auto" w:val="clear"/>
        </w:rPr>
        <w:t xml:space="preserve">—</w:t>
      </w:r>
      <w:r>
        <w:rPr>
          <w:rFonts w:ascii="Calibri" w:hAnsi="Calibri" w:cs="Calibri" w:eastAsia="Calibri"/>
          <w:color w:val="444444"/>
          <w:spacing w:val="0"/>
          <w:position w:val="0"/>
          <w:sz w:val="32"/>
          <w:shd w:fill="auto" w:val="clear"/>
        </w:rPr>
        <w:t xml:space="preserve"> Proyecto SecuPass</w:t>
      </w:r>
    </w:p>
    <w:p>
      <w:pPr>
        <w:spacing w:before="0" w:after="160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i/>
          <w:color w:val="666666"/>
          <w:spacing w:val="0"/>
          <w:position w:val="0"/>
          <w:sz w:val="24"/>
          <w:shd w:fill="auto" w:val="clear"/>
        </w:rPr>
        <w:t xml:space="preserve">Basado en el estándar ISO/IEC 25000 (SQuaRE)</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Duoc UC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Ingenier</w:t>
      </w:r>
      <w:r>
        <w:rPr>
          <w:rFonts w:ascii="Calibri" w:hAnsi="Calibri" w:cs="Calibri" w:eastAsia="Calibri"/>
          <w:color w:val="auto"/>
          <w:spacing w:val="0"/>
          <w:position w:val="0"/>
          <w:sz w:val="22"/>
          <w:shd w:fill="auto" w:val="clear"/>
        </w:rPr>
        <w:t xml:space="preserve">ía de Software (RQY1102)</w:t>
      </w:r>
    </w:p>
    <w:p>
      <w:pPr>
        <w:spacing w:before="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Evaluación Final Transversal</w:t>
      </w:r>
    </w:p>
    <w:p>
      <w:pPr>
        <w:spacing w:before="300" w:after="0" w:line="240"/>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Versión 1.0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Julio 2026</w:t>
      </w:r>
    </w:p>
    <w:p>
      <w:pPr>
        <w:spacing w:before="0" w:after="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left"/>
        <w:rPr>
          <w:rFonts w:ascii="Calibri" w:hAnsi="Calibri" w:cs="Calibri" w:eastAsia="Calibri"/>
          <w:color w:val="auto"/>
          <w:spacing w:val="0"/>
          <w:position w:val="0"/>
          <w:sz w:val="22"/>
          <w:shd w:fill="auto" w:val="clear"/>
        </w:rPr>
      </w:pP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 Introducción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presente Plan de Pruebas describe la estrategia, el alcance, los recursos y el cronograma para verificar y validar el correcto funcionamiento del Sistema de Aduana Digital (SAD), desarrollado en el marco del proyecto SecuPass. El sistema está compuesto por 8 microservicios (Auth, Vehicle, Docs, SAG, Report, Audit, Eureka-Server y API-Gateway) desarrollados con Spring Boot, que dan soporte a los procesos de control fronterizo chileno-argentino.</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documento se elabora conforme a los lineamientos de calidad de software establecidos en la norma ISO/IEC 25000 (SQuaRE - Software Product Quality Requirements and Evaluation), utilizando sus características de calidad como marco de referencia para clasificar y priorizar los casos de prueba.</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2. Objetivos</w:t>
      </w:r>
    </w:p>
    <w:p>
      <w:pPr>
        <w:numPr>
          <w:ilvl w:val="0"/>
          <w:numId w:val="1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Verificar que los microservicios del sistema SAD cumplan con los requisitos funcionales definidos en las historias de usuario y casos de uso.</w:t>
      </w:r>
    </w:p>
    <w:p>
      <w:pPr>
        <w:numPr>
          <w:ilvl w:val="0"/>
          <w:numId w:val="1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Validar la correcta integración entre microservicios a través de Eureka-Server y API-Gateway.</w:t>
      </w:r>
    </w:p>
    <w:p>
      <w:pPr>
        <w:numPr>
          <w:ilvl w:val="0"/>
          <w:numId w:val="1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Confirmar que los mecanismos de seguridad (autenticación, CORS) protegen adecuadamente los endpoints sin bloquear la operación legítima del sistema.</w:t>
      </w:r>
    </w:p>
    <w:p>
      <w:pPr>
        <w:numPr>
          <w:ilvl w:val="0"/>
          <w:numId w:val="1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Detectar y documentar defectos de forma temprana, priorizando su corrección según severidad e impacto.</w:t>
      </w:r>
    </w:p>
    <w:p>
      <w:pPr>
        <w:numPr>
          <w:ilvl w:val="0"/>
          <w:numId w:val="1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Dejar evidencia trazable de la ejecución de pruebas para efectos de la Evaluación Final Transversal (EP3).</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3. Alcance</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auto"/>
          <w:spacing w:val="0"/>
          <w:position w:val="0"/>
          <w:sz w:val="22"/>
          <w:shd w:fill="auto" w:val="clear"/>
        </w:rPr>
        <w:t xml:space="preserve">El plan cubre dos niveles de prueba:</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Pruebas de integración e infraestructura: registro en Eureka, conectividad a base de datos, gestión de puertos, compatibilidad de versiones y migraciones de esquema. Este nivel ya fue ejecutado sobre el backend.</w:t>
      </w:r>
    </w:p>
    <w:p>
      <w:pPr>
        <w:numPr>
          <w:ilvl w:val="0"/>
          <w:numId w:val="1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Pruebas funcionales de sistema: flujos de negocio de cada módulo (menores de edad, vehículos, declaración SAG, autenticación, informes estadísticos), validados a través de la interfaz de usuario. Este nivel queda pendiente de ejecución hasta contar con el frontend integrado al backend.</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Quedan fuera del alcance de este plan las pruebas de carga/estrés con múltiples usuarios concurrentes y las pruebas de penetración de seguridad, por no ser exigidas en la pauta de la asignatura.</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4. Normativa aplicada </w:t>
      </w:r>
      <w:r>
        <w:rPr>
          <w:rFonts w:ascii="Calibri" w:hAnsi="Calibri" w:cs="Calibri" w:eastAsia="Calibri"/>
          <w:b/>
          <w:color w:val="1F4E79"/>
          <w:spacing w:val="0"/>
          <w:position w:val="0"/>
          <w:sz w:val="32"/>
          <w:shd w:fill="auto" w:val="clear"/>
        </w:rPr>
        <w:t xml:space="preserve">—</w:t>
      </w:r>
      <w:r>
        <w:rPr>
          <w:rFonts w:ascii="Calibri" w:hAnsi="Calibri" w:cs="Calibri" w:eastAsia="Calibri"/>
          <w:b/>
          <w:color w:val="1F4E79"/>
          <w:spacing w:val="0"/>
          <w:position w:val="0"/>
          <w:sz w:val="32"/>
          <w:shd w:fill="auto" w:val="clear"/>
        </w:rPr>
        <w:t xml:space="preserve"> ISO/IEC 25000</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Se utiliza el modelo de calidad de producto de software ISO/IEC 25010 (parte del conjunto ISO/IEC 25000) como guía para clasificar los atributos de calidad evaluados en cada caso de prueba:</w:t>
      </w:r>
    </w:p>
    <w:tbl>
      <w:tblPr/>
      <w:tblGrid>
        <w:gridCol w:w="2181"/>
        <w:gridCol w:w="2256"/>
        <w:gridCol w:w="4641"/>
      </w:tblGrid>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Característica ISO 25000</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Aplicación en SecuPass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Casos de prueba relacionados</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Adecuación funcional</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Los microservicios deben cubrir correctamente los flujos de registro de pasajeros, vehículos, declaraciones SAG y reportes.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CP_SP_001 a CP_SP_020</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Fiabilidad</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Los servicios deben registrarse correctamente en Eureka y mantenerse disponibles sin caídas por errores de configuración.</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CP_SP_021, CP_SP_022</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Eficiencia de desempeño</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Tiempo de respuesta menor a 2 segundos al escanear un código QR de declaración SAG (ver requisito QS-001 del DAS).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CP_SP_012</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Compatibilidad</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Los servicios deben integrarse entre sí vía Eureka y API-Gateway sin conflictos de versión ni de dependencias.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CP_SP_022, CP_SP_025</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Seguridad</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Acceso autenticado (Basic Auth / JWT) a los endpoints de negocio, credenciales correctas de base de datos.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CP_SP_013 a CP_SP_016, CP_SP_023</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Mantenibilidad</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Uso de migraciones versionadas (Flyway) en vez de esquemas improvisados, para facilitar cambios futuros.</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CP_SP_026</w:t>
            </w:r>
          </w:p>
        </w:tc>
      </w:tr>
      <w:tr>
        <w:trPr>
          <w:trHeight w:val="1" w:hRule="atLeast"/>
          <w:jc w:val="left"/>
        </w:trPr>
        <w:tc>
          <w:tcPr>
            <w:tcW w:w="218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Portabilidad</w:t>
            </w:r>
          </w:p>
        </w:tc>
        <w:tc>
          <w:tcPr>
            <w:tcW w:w="22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Los microservicios deben poder desplegarse en distintos puertos/entornos sin choques de configuración.</w:t>
            </w:r>
          </w:p>
        </w:tc>
        <w:tc>
          <w:tcPr>
            <w:tcW w:w="464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CP_SP_024</w:t>
            </w:r>
          </w:p>
        </w:tc>
      </w:tr>
    </w:tbl>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5. Estrategia de pruebas</w:t>
      </w:r>
    </w:p>
    <w:p>
      <w:pPr>
        <w:spacing w:before="250" w:after="12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5.1 Tipos de prueba</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Pruebas de caja negra: validación de entradas y salidas de cada endpoint sin conocer el detalle interno de implementación.</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Pruebas de integración: verificación de la comunicación entre microservicios (Eureka, API-Gateway, base de datos).</w:t>
      </w:r>
    </w:p>
    <w:p>
      <w:pPr>
        <w:numPr>
          <w:ilvl w:val="0"/>
          <w:numId w:val="44"/>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Pruebas de regresión: reejecución de casos críticos tras cada corrección de defecto, para asegurar que no se introducen nuevos errores.</w:t>
      </w:r>
    </w:p>
    <w:p>
      <w:pPr>
        <w:spacing w:before="250" w:after="120" w:line="240"/>
        <w:ind w:right="0" w:left="0" w:firstLine="0"/>
        <w:jc w:val="left"/>
        <w:rPr>
          <w:rFonts w:ascii="Calibri" w:hAnsi="Calibri" w:cs="Calibri" w:eastAsia="Calibri"/>
          <w:b/>
          <w:color w:val="2E75B6"/>
          <w:spacing w:val="0"/>
          <w:position w:val="0"/>
          <w:sz w:val="26"/>
          <w:shd w:fill="auto" w:val="clear"/>
        </w:rPr>
      </w:pPr>
      <w:r>
        <w:rPr>
          <w:rFonts w:ascii="Calibri" w:hAnsi="Calibri" w:cs="Calibri" w:eastAsia="Calibri"/>
          <w:b/>
          <w:color w:val="2E75B6"/>
          <w:spacing w:val="0"/>
          <w:position w:val="0"/>
          <w:sz w:val="26"/>
          <w:shd w:fill="auto" w:val="clear"/>
        </w:rPr>
        <w:t xml:space="preserve">5.2 Herramientas utilizadas</w:t>
      </w:r>
    </w:p>
    <w:p>
      <w:pPr>
        <w:numPr>
          <w:ilvl w:val="0"/>
          <w:numId w:val="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Postman: ejecución manual de peticiones HTTP a cada microservicio.</w:t>
      </w:r>
    </w:p>
    <w:p>
      <w:pPr>
        <w:numPr>
          <w:ilvl w:val="0"/>
          <w:numId w:val="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Swagger UI: exploración y prueba interactiva de los endpoints documentados (Auth, Audit, Docs, Vehicle-Service).</w:t>
      </w:r>
    </w:p>
    <w:p>
      <w:pPr>
        <w:numPr>
          <w:ilvl w:val="0"/>
          <w:numId w:val="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IntelliJ IDEA + Maven: compilación y ejecución local de cada servicio.</w:t>
      </w:r>
    </w:p>
    <w:p>
      <w:pPr>
        <w:numPr>
          <w:ilvl w:val="0"/>
          <w:numId w:val="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MySQL: validación de la persistencia de datos y del versionado de esquema vía Flyway.</w:t>
      </w:r>
    </w:p>
    <w:p>
      <w:pPr>
        <w:numPr>
          <w:ilvl w:val="0"/>
          <w:numId w:val="46"/>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Planilla de Casos de Prueba (Excel): registro y trazabilidad de resultados.</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6. Ambiente de pruebas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Las pruebas se ejecutan en ambiente local de desarrollo, con la siguiente configuración de referencia:</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Eureka-Server: puerto 8761</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Auth-Service: puerto 8080</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Audit-Service: puerto 8081</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Docs-Service: puerto 8082</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SAG-Service: puerto 8083</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API-Gateway: puerto 8085</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Report-Service: puerto 8086</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Vehicle-Service: puerto 8087</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Base de datos: MySQL local (una base de datos por servicio, creada automáticamente vía Flyway)</w:t>
      </w:r>
    </w:p>
    <w:p>
      <w:pPr>
        <w:numPr>
          <w:ilvl w:val="0"/>
          <w:numId w:val="4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Autenticación de prueba: Basic Auth con usuario omar_jefe para los servicios de negocio; Auth-Service se prueba sin autenticación previa (endpoint de login abierto).</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7. Equipo y responsabilidades</w:t>
      </w:r>
    </w:p>
    <w:tbl>
      <w:tblPr/>
      <w:tblGrid>
        <w:gridCol w:w="3921"/>
        <w:gridCol w:w="2555"/>
        <w:gridCol w:w="3545"/>
      </w:tblGrid>
      <w:tr>
        <w:trPr>
          <w:trHeight w:val="1" w:hRule="atLeast"/>
          <w:jc w:val="left"/>
        </w:trPr>
        <w:tc>
          <w:tcPr>
            <w:tcW w:w="392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Rol</w:t>
            </w:r>
          </w:p>
        </w:tc>
        <w:tc>
          <w:tcPr>
            <w:tcW w:w="255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Integrante</w:t>
            </w:r>
          </w:p>
        </w:tc>
        <w:tc>
          <w:tcPr>
            <w:tcW w:w="35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Responsabilidad en las pruebas</w:t>
            </w:r>
          </w:p>
        </w:tc>
      </w:tr>
      <w:tr>
        <w:trPr>
          <w:trHeight w:val="1" w:hRule="atLeast"/>
          <w:jc w:val="left"/>
        </w:trPr>
        <w:tc>
          <w:tcPr>
            <w:tcW w:w="392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Líder de proyecto / Backend</w:t>
            </w:r>
          </w:p>
        </w:tc>
        <w:tc>
          <w:tcPr>
            <w:tcW w:w="255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2556"/>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Bastian</w:t>
            </w:r>
          </w:p>
        </w:tc>
        <w:tc>
          <w:tcPr>
            <w:tcW w:w="35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Definición de casos de prueba backend, ejecución de pruebas de integración e infraestructura, gestión de defectos técnicos.</w:t>
            </w:r>
          </w:p>
        </w:tc>
      </w:tr>
      <w:tr>
        <w:trPr>
          <w:trHeight w:val="1" w:hRule="atLeast"/>
          <w:jc w:val="left"/>
        </w:trPr>
        <w:tc>
          <w:tcPr>
            <w:tcW w:w="392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Tester</w:t>
            </w:r>
          </w:p>
        </w:tc>
        <w:tc>
          <w:tcPr>
            <w:tcW w:w="255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Omar Piña</w:t>
            </w:r>
          </w:p>
        </w:tc>
        <w:tc>
          <w:tcPr>
            <w:tcW w:w="35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Diseño y ejecución de casos de prueba funcionales, elaboración del reporte de defectos.</w:t>
            </w:r>
          </w:p>
        </w:tc>
      </w:tr>
      <w:tr>
        <w:trPr>
          <w:trHeight w:val="1" w:hRule="atLeast"/>
          <w:jc w:val="left"/>
        </w:trPr>
        <w:tc>
          <w:tcPr>
            <w:tcW w:w="392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Diseñador / Frontend</w:t>
            </w:r>
          </w:p>
        </w:tc>
        <w:tc>
          <w:tcPr>
            <w:tcW w:w="255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Eduardo Aguirre</w:t>
            </w:r>
          </w:p>
        </w:tc>
        <w:tc>
          <w:tcPr>
            <w:tcW w:w="35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Pruebas de interfaz de usuario y experiencia de uso una vez integrado el frontend.</w:t>
            </w:r>
          </w:p>
        </w:tc>
      </w:tr>
      <w:tr>
        <w:trPr>
          <w:trHeight w:val="1" w:hRule="atLeast"/>
          <w:jc w:val="left"/>
        </w:trPr>
        <w:tc>
          <w:tcPr>
            <w:tcW w:w="392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Analista</w:t>
            </w:r>
          </w:p>
        </w:tc>
        <w:tc>
          <w:tcPr>
            <w:tcW w:w="255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Matías Soto</w:t>
            </w:r>
          </w:p>
        </w:tc>
        <w:tc>
          <w:tcPr>
            <w:tcW w:w="354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Validación de requisitos funcionales y no funcionales contra los casos de prueba definidos.</w:t>
            </w:r>
          </w:p>
        </w:tc>
      </w:tr>
    </w:tbl>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8. Criterios de entrada</w:t>
      </w:r>
    </w:p>
    <w:p>
      <w:pPr>
        <w:numPr>
          <w:ilvl w:val="0"/>
          <w:numId w:val="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código fuente de los microservicios está compilado sin errores (build exitoso en Maven).</w:t>
      </w:r>
    </w:p>
    <w:p>
      <w:pPr>
        <w:numPr>
          <w:ilvl w:val="0"/>
          <w:numId w:val="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entorno de base de datos MySQL está disponible y accesible para cada servicio.</w:t>
      </w:r>
    </w:p>
    <w:p>
      <w:pPr>
        <w:numPr>
          <w:ilvl w:val="0"/>
          <w:numId w:val="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Eureka-Server está activo y disponible en el puerto 8761 antes de levantar los demás servicios.</w:t>
      </w:r>
    </w:p>
    <w:p>
      <w:pPr>
        <w:numPr>
          <w:ilvl w:val="0"/>
          <w:numId w:val="69"/>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Existe documentación mínima de los endpoints (Swagger o colección Postman) para cada servicio a probar.</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9. Criterios de salida</w:t>
      </w:r>
    </w:p>
    <w:p>
      <w:pPr>
        <w:numPr>
          <w:ilvl w:val="0"/>
          <w:numId w:val="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100% de los casos de prueba de prioridad ALTA han sido ejecutados.</w:t>
      </w:r>
    </w:p>
    <w:p>
      <w:pPr>
        <w:numPr>
          <w:ilvl w:val="0"/>
          <w:numId w:val="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No existen defectos abiertos de severidad crítica o alta sin resolución o mitigación documentada.</w:t>
      </w:r>
    </w:p>
    <w:p>
      <w:pPr>
        <w:numPr>
          <w:ilvl w:val="0"/>
          <w:numId w:val="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Los defectos encontrados están registrados en el Reporte de Defectos y, si generan cambio de alcance, en la Matriz de Control de Cambios.</w:t>
      </w:r>
    </w:p>
    <w:p>
      <w:pPr>
        <w:numPr>
          <w:ilvl w:val="0"/>
          <w:numId w:val="71"/>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backend permite al equipo de frontend integrar todos los endpoints sin bloqueos de autenticación, CORS o disponibilidad de servicio.</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10. Resumen de casos de prueba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El detalle completo de los 26 casos de prueba (identificador, pasos, resultado esperado y evidencia) se encuentra en el archivo Casos_de_Pruebas_SecuPass_actualizado.xlsx, que forma parte de los anexos de esta evaluación.</w:t>
      </w:r>
    </w:p>
    <w:tbl>
      <w:tblPr/>
      <w:tblGrid>
        <w:gridCol w:w="4656"/>
        <w:gridCol w:w="2660"/>
        <w:gridCol w:w="2735"/>
      </w:tblGrid>
      <w:tr>
        <w:trPr>
          <w:trHeight w:val="1" w:hRule="atLeast"/>
          <w:jc w:val="left"/>
        </w:trPr>
        <w:tc>
          <w:tcPr>
            <w:tcW w:w="46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Categoría</w:t>
            </w:r>
          </w:p>
        </w:tc>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Cantidad</w:t>
            </w:r>
          </w:p>
        </w:tc>
        <w:tc>
          <w:tcPr>
            <w:tcW w:w="273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Estado actual</w:t>
            </w:r>
          </w:p>
        </w:tc>
      </w:tr>
      <w:tr>
        <w:trPr>
          <w:trHeight w:val="1" w:hRule="atLeast"/>
          <w:jc w:val="left"/>
        </w:trPr>
        <w:tc>
          <w:tcPr>
            <w:tcW w:w="46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Pruebas funcionales (UI / negocio)</w:t>
            </w:r>
          </w:p>
        </w:tc>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20</w:t>
            </w:r>
          </w:p>
        </w:tc>
        <w:tc>
          <w:tcPr>
            <w:tcW w:w="273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Diseñadas, pendientes de ejecución (requieren frontend integrado)</w:t>
            </w:r>
          </w:p>
        </w:tc>
      </w:tr>
      <w:tr>
        <w:trPr>
          <w:trHeight w:val="1" w:hRule="atLeast"/>
          <w:jc w:val="left"/>
        </w:trPr>
        <w:tc>
          <w:tcPr>
            <w:tcW w:w="46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Pruebas de integración / infraestructura</w:t>
            </w:r>
          </w:p>
        </w:tc>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6</w:t>
            </w:r>
          </w:p>
        </w:tc>
        <w:tc>
          <w:tcPr>
            <w:tcW w:w="273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Ejecutadas y cerradas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defectos corregidos</w:t>
            </w:r>
          </w:p>
        </w:tc>
      </w:tr>
      <w:tr>
        <w:trPr>
          <w:trHeight w:val="1" w:hRule="atLeast"/>
          <w:jc w:val="left"/>
        </w:trPr>
        <w:tc>
          <w:tcPr>
            <w:tcW w:w="465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Total</w:t>
            </w:r>
          </w:p>
        </w:tc>
        <w:tc>
          <w:tcPr>
            <w:tcW w:w="26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26</w:t>
            </w:r>
          </w:p>
        </w:tc>
        <w:tc>
          <w:tcPr>
            <w:tcW w:w="2735"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b/>
                <w:color w:val="auto"/>
                <w:spacing w:val="0"/>
                <w:position w:val="0"/>
                <w:sz w:val="20"/>
                <w:shd w:fill="auto" w:val="clear"/>
              </w:rPr>
              <w:t xml:space="preserve">23% ejecutado / 77% pendiente</w:t>
            </w:r>
          </w:p>
        </w:tc>
      </w:tr>
    </w:tbl>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 los 6 casos de infraestructura ejecutados (CP_SP_021 a CP_SP_026), todos correspondieron a defectos reales detectados durante la puesta en marcha del backend, y todos fueron corregidos y verificados:</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CP_SP_021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Dependencia de Eureka mal configurada en Auth-Service (eureka-server en vez de eureka-client).</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CP_SP_022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Mismo defecto en API-Gateway, generando adem</w:t>
      </w:r>
      <w:r>
        <w:rPr>
          <w:rFonts w:ascii="Calibri" w:hAnsi="Calibri" w:cs="Calibri" w:eastAsia="Calibri"/>
          <w:color w:val="auto"/>
          <w:spacing w:val="0"/>
          <w:position w:val="0"/>
          <w:sz w:val="22"/>
          <w:shd w:fill="auto" w:val="clear"/>
        </w:rPr>
        <w:t xml:space="preserve">ás incompatibilidad entre Spring MVC y Spring Cloud Gateway.</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CP_SP_023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Credenciales de base de datos incorrectas en Report-Service.</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CP_SP_024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Conflicto de puertos entre Report-Service, Vehicle-Service y API-Gateway.</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CP_SP_025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Incompatibilidad de versi</w:t>
      </w:r>
      <w:r>
        <w:rPr>
          <w:rFonts w:ascii="Calibri" w:hAnsi="Calibri" w:cs="Calibri" w:eastAsia="Calibri"/>
          <w:color w:val="auto"/>
          <w:spacing w:val="0"/>
          <w:position w:val="0"/>
          <w:sz w:val="22"/>
          <w:shd w:fill="auto" w:val="clear"/>
        </w:rPr>
        <w:t xml:space="preserve">ón entre Spring Boot 3.5.14 y Spring Cloud 2024.0.0 en Report-Service.</w:t>
      </w:r>
    </w:p>
    <w:p>
      <w:pPr>
        <w:numPr>
          <w:ilvl w:val="0"/>
          <w:numId w:val="87"/>
        </w:numPr>
        <w:spacing w:before="0" w:after="60" w:line="240"/>
        <w:ind w:right="0" w:left="72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CP_SP_026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Migraci</w:t>
      </w:r>
      <w:r>
        <w:rPr>
          <w:rFonts w:ascii="Calibri" w:hAnsi="Calibri" w:cs="Calibri" w:eastAsia="Calibri"/>
          <w:color w:val="auto"/>
          <w:spacing w:val="0"/>
          <w:position w:val="0"/>
          <w:sz w:val="22"/>
          <w:shd w:fill="auto" w:val="clear"/>
        </w:rPr>
        <w:t xml:space="preserve">ón Flyway deshabilitada en SAG-Service, impidiendo la creación de tablas.</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11. Gestión de defectos</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Todo defecto encontrado durante la ejecución de pruebas se documenta en el Reporte de Defectos del proyecto (Reporte_de_Defectos_SecuPass.xlsx), indicando pasos de reproducción, resultado esperado vs. obtenido y severidad. Cuando la corrección de un defecto implica un cambio de alcance, diseño o requisito, se registra adicionalmente en la Matriz de Control de Cambios (MATRIZ_CONTROL_DE_CAMBIO_completada.xlsx), vinculándolo al requisito funcional o caso de uso afectado.</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12. Riesgos y supuestos</w:t>
      </w:r>
    </w:p>
    <w:tbl>
      <w:tblPr/>
      <w:tblGrid>
        <w:gridCol w:w="3276"/>
        <w:gridCol w:w="1160"/>
        <w:gridCol w:w="846"/>
        <w:gridCol w:w="4251"/>
      </w:tblGrid>
      <w:tr>
        <w:trPr>
          <w:trHeight w:val="1" w:hRule="atLeast"/>
          <w:jc w:val="left"/>
        </w:trPr>
        <w:tc>
          <w:tcPr>
            <w:tcW w:w="3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Riesgo</w:t>
            </w:r>
          </w:p>
        </w:tc>
        <w:tc>
          <w:tcPr>
            <w:tcW w:w="11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Probabilidad</w:t>
            </w:r>
          </w:p>
        </w:tc>
        <w:tc>
          <w:tcPr>
            <w:tcW w:w="8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Impacto</w:t>
            </w:r>
          </w:p>
        </w:tc>
        <w:tc>
          <w:tcPr>
            <w:tcW w:w="425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20"/>
                <w:shd w:fill="auto" w:val="clear"/>
              </w:rPr>
              <w:t xml:space="preserve">Mitigación</w:t>
            </w:r>
          </w:p>
        </w:tc>
      </w:tr>
      <w:tr>
        <w:trPr>
          <w:trHeight w:val="1" w:hRule="atLeast"/>
          <w:jc w:val="left"/>
        </w:trPr>
        <w:tc>
          <w:tcPr>
            <w:tcW w:w="3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Retraso en la integración del frontend impide ejecutar las pruebas funcionales antes de la entrega.</w:t>
            </w:r>
          </w:p>
        </w:tc>
        <w:tc>
          <w:tcPr>
            <w:tcW w:w="11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Media</w:t>
            </w:r>
          </w:p>
        </w:tc>
        <w:tc>
          <w:tcPr>
            <w:tcW w:w="8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Alto</w:t>
            </w:r>
          </w:p>
        </w:tc>
        <w:tc>
          <w:tcPr>
            <w:tcW w:w="425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Priorizar pruebas de backend vía Postman/Swagger mientras se integra el frontend en paralelo.</w:t>
            </w:r>
          </w:p>
        </w:tc>
      </w:tr>
      <w:tr>
        <w:trPr>
          <w:trHeight w:val="1" w:hRule="atLeast"/>
          <w:jc w:val="left"/>
        </w:trPr>
        <w:tc>
          <w:tcPr>
            <w:tcW w:w="3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Diferencias de configuración de entorno (MySQL, puertos) entre los equipos del grupo generan nuevos defectos de infraestructura.</w:t>
            </w:r>
          </w:p>
        </w:tc>
        <w:tc>
          <w:tcPr>
            <w:tcW w:w="11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Alta</w:t>
            </w:r>
          </w:p>
        </w:tc>
        <w:tc>
          <w:tcPr>
            <w:tcW w:w="8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Medio</w:t>
            </w:r>
          </w:p>
        </w:tc>
        <w:tc>
          <w:tcPr>
            <w:tcW w:w="425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Uso de un archivo único de configuración de referencia y checklist de arranque de servicios.</w:t>
            </w:r>
          </w:p>
        </w:tc>
      </w:tr>
      <w:tr>
        <w:trPr>
          <w:trHeight w:val="1" w:hRule="atLeast"/>
          <w:jc w:val="left"/>
        </w:trPr>
        <w:tc>
          <w:tcPr>
            <w:tcW w:w="327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Tiempo insuficiente para ejecutar los 20 casos funcionales antes de la fecha de entrega.</w:t>
            </w:r>
          </w:p>
        </w:tc>
        <w:tc>
          <w:tcPr>
            <w:tcW w:w="1160"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Media</w:t>
            </w:r>
          </w:p>
        </w:tc>
        <w:tc>
          <w:tcPr>
            <w:tcW w:w="846"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Alto</w:t>
            </w:r>
          </w:p>
        </w:tc>
        <w:tc>
          <w:tcPr>
            <w:tcW w:w="4251" w:type="dxa"/>
            <w:tcBorders>
              <w:top w:val="single" w:color="000000" w:sz="4"/>
              <w:left w:val="single" w:color="000000" w:sz="4"/>
              <w:bottom w:val="single" w:color="000000" w:sz="4"/>
              <w:right w:val="single" w:color="000000" w:sz="4"/>
            </w:tcBorders>
            <w:shd w:color="000000" w:fill="ffffff" w:val="clear"/>
            <w:tcMar>
              <w:left w:w="0" w:type="dxa"/>
              <w:right w:w="0"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0"/>
                <w:shd w:fill="auto" w:val="clear"/>
              </w:rPr>
              <w:t xml:space="preserve">Priorizar los casos de prioridad ALTA y dejar los de prioridad MEDIA como segunda pasada.</w:t>
            </w:r>
          </w:p>
        </w:tc>
      </w:tr>
    </w:tbl>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13. Cronograma</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La ejecución de pruebas de infraestructura se completó durante la semana de preparación del examen. La ejecución de los 20 casos funcionales restantes queda planificada para la fase de integración del frontend, previa a la entrega final del encargo (Situación Evaluativa 1) y a la presentación (Situación Evaluativa 2).</w:t>
      </w:r>
    </w:p>
    <w:p>
      <w:pPr>
        <w:spacing w:before="300" w:after="150" w:line="240"/>
        <w:ind w:right="0" w:left="0" w:firstLine="0"/>
        <w:jc w:val="left"/>
        <w:rPr>
          <w:rFonts w:ascii="Calibri" w:hAnsi="Calibri" w:cs="Calibri" w:eastAsia="Calibri"/>
          <w:b/>
          <w:color w:val="1F4E79"/>
          <w:spacing w:val="0"/>
          <w:position w:val="0"/>
          <w:sz w:val="32"/>
          <w:shd w:fill="auto" w:val="clear"/>
        </w:rPr>
      </w:pPr>
      <w:r>
        <w:rPr>
          <w:rFonts w:ascii="Calibri" w:hAnsi="Calibri" w:cs="Calibri" w:eastAsia="Calibri"/>
          <w:b/>
          <w:color w:val="1F4E79"/>
          <w:spacing w:val="0"/>
          <w:position w:val="0"/>
          <w:sz w:val="32"/>
          <w:shd w:fill="auto" w:val="clear"/>
        </w:rPr>
        <w:t xml:space="preserve">14. Aprobación</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Este Plan de Pruebas fue elaborado por el equipo del proyecto SecuPass y será actualizado a medida que se ejecuten los casos de prueba funcionales pendientes.</w:t>
      </w:r>
    </w:p>
    <w:p>
      <w:pPr>
        <w:spacing w:before="0" w:after="120" w:line="240"/>
        <w:ind w:right="0" w:left="0" w:firstLine="0"/>
        <w:jc w:val="left"/>
        <w:rPr>
          <w:rFonts w:ascii="Calibri" w:hAnsi="Calibri" w:cs="Calibri" w:eastAsia="Calibri"/>
          <w:color w:val="auto"/>
          <w:spacing w:val="0"/>
          <w:position w:val="0"/>
          <w:sz w:val="22"/>
          <w:shd w:fill="auto" w:val="clear"/>
        </w:rPr>
      </w:pP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_________________________                    _________________________</w:t>
      </w:r>
    </w:p>
    <w:p>
      <w:pPr>
        <w:spacing w:before="0" w:after="120" w:line="240"/>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Bastian </w:t>
      </w:r>
      <w:r>
        <w:rPr>
          <w:rFonts w:ascii="Calibri" w:hAnsi="Calibri" w:cs="Calibri" w:eastAsia="Calibri"/>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L</w:t>
      </w:r>
      <w:r>
        <w:rPr>
          <w:rFonts w:ascii="Calibri" w:hAnsi="Calibri" w:cs="Calibri" w:eastAsia="Calibri"/>
          <w:color w:val="auto"/>
          <w:spacing w:val="0"/>
          <w:position w:val="0"/>
          <w:sz w:val="22"/>
          <w:shd w:fill="auto" w:val="clear"/>
        </w:rPr>
        <w:t xml:space="preserve">íder de proyecto                  Docente / Evaluador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num w:numId="11">
    <w:abstractNumId w:val="42"/>
  </w:num>
  <w:num w:numId="14">
    <w:abstractNumId w:val="36"/>
  </w:num>
  <w:num w:numId="44">
    <w:abstractNumId w:val="30"/>
  </w:num>
  <w:num w:numId="46">
    <w:abstractNumId w:val="24"/>
  </w:num>
  <w:num w:numId="49">
    <w:abstractNumId w:val="18"/>
  </w:num>
  <w:num w:numId="69">
    <w:abstractNumId w:val="12"/>
  </w:num>
  <w:num w:numId="71">
    <w:abstractNumId w:val="6"/>
  </w:num>
  <w:num w:numId="8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