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5395"/>
          <w:sz w:val="28"/>
          <w:szCs w:val="28"/>
        </w:rPr>
        <w:t xml:space="preserve">NOVAMART GLOBAL RETAIL INC.</w:t>
      </w:r>
    </w:p>
    <w:p>
      <w:pPr>
        <w:spacing w:after="600"/>
        <w:jc w:val="center"/>
      </w:pPr>
      <w:r>
        <w:rPr>
          <w:rFonts w:ascii="Calibri" w:cs="Calibri" w:eastAsia="Calibri" w:hAnsi="Calibri"/>
          <w:i/>
          <w:iCs/>
          <w:color w:val="1A1A1A"/>
          <w:sz w:val="22"/>
          <w:szCs w:val="22"/>
        </w:rPr>
        <w:t xml:space="preserve">Customer Operations Division</w:t>
      </w:r>
    </w:p>
    <w:p>
      <w:pPr>
        <w:spacing w:after="200"/>
        <w:jc w:val="center"/>
      </w:pPr>
      <w:r>
        <w:rPr>
          <w:rFonts w:ascii="Calibri" w:cs="Calibri" w:eastAsia="Calibri" w:hAnsi="Calibri"/>
          <w:b/>
          <w:bCs/>
          <w:color w:val="1F3864"/>
          <w:sz w:val="44"/>
          <w:szCs w:val="44"/>
        </w:rPr>
        <w:t xml:space="preserve">INTERNAL ESCALATION HANDBOOK</w:t>
      </w:r>
    </w:p>
    <w:p>
      <w:pPr>
        <w:spacing w:after="800"/>
        <w:jc w:val="center"/>
      </w:pPr>
      <w:r>
        <w:rPr>
          <w:rFonts w:ascii="Calibri" w:cs="Calibri" w:eastAsia="Calibri" w:hAnsi="Calibri"/>
          <w:color w:val="2E5395"/>
          <w:sz w:val="24"/>
          <w:szCs w:val="24"/>
        </w:rPr>
        <w:t xml:space="preserve">AI Customer Complaint Resolution Agent — Escalation Governance Framework</w:t>
      </w:r>
    </w:p>
    <w:p>
      <w:pPr>
        <w:spacing w:after="100"/>
        <w:jc w:val="center"/>
      </w:pPr>
      <w:r>
        <w:rPr>
          <w:rFonts w:ascii="Calibri" w:cs="Calibri" w:eastAsia="Calibri" w:hAnsi="Calibri"/>
          <w:b/>
          <w:bCs/>
          <w:color w:val="C00000"/>
          <w:sz w:val="20"/>
          <w:szCs w:val="20"/>
        </w:rPr>
        <w:t xml:space="preserve">Document Classification: INTERNAL — CONFIDENTIAL</w:t>
      </w:r>
    </w:p>
    <w:p>
      <w:pPr>
        <w:spacing w:after="100"/>
        <w:jc w:val="center"/>
      </w:pPr>
      <w:r>
        <w:rPr>
          <w:rFonts w:ascii="Calibri" w:cs="Calibri" w:eastAsia="Calibri" w:hAnsi="Calibri"/>
          <w:i/>
          <w:iCs/>
          <w:sz w:val="18"/>
          <w:szCs w:val="18"/>
        </w:rPr>
        <w:t xml:space="preserve">Not for external distribution. Not customer-facing content.</w:t>
      </w:r>
    </w:p>
    <w:p>
      <w:pPr>
        <w:spacing w:after="40" w:before="800"/>
        <w:jc w:val="center"/>
      </w:pPr>
      <w:r>
        <w:rPr>
          <w:rFonts w:ascii="Calibri" w:cs="Calibri" w:eastAsia="Calibri" w:hAnsi="Calibri"/>
          <w:sz w:val="18"/>
          <w:szCs w:val="18"/>
        </w:rPr>
        <w:t xml:space="preserve">Document Owner: Head of Customer Operations</w:t>
      </w:r>
    </w:p>
    <w:p>
      <w:pPr>
        <w:spacing w:after="40"/>
        <w:jc w:val="center"/>
      </w:pPr>
      <w:r>
        <w:rPr>
          <w:rFonts w:ascii="Calibri" w:cs="Calibri" w:eastAsia="Calibri" w:hAnsi="Calibri"/>
          <w:sz w:val="18"/>
          <w:szCs w:val="18"/>
        </w:rPr>
        <w:t xml:space="preserve">System Consumer: LangGraph Escalation Node (Automated Routing Layer)</w:t>
      </w:r>
    </w:p>
    <w:p>
      <w:pPr>
        <w:spacing w:after="40"/>
        <w:jc w:val="center"/>
      </w:pPr>
      <w:r>
        <w:rPr>
          <w:rFonts w:ascii="Calibri" w:cs="Calibri" w:eastAsia="Calibri" w:hAnsi="Calibri"/>
          <w:sz w:val="18"/>
          <w:szCs w:val="18"/>
        </w:rPr>
        <w:t xml:space="preserve">Version: 3.2 — Effective Date: 06 July 2026</w:t>
      </w:r>
    </w:p>
    <w:p>
      <w:pPr>
        <w:spacing w:after="40"/>
        <w:jc w:val="center"/>
      </w:pPr>
      <w:r>
        <w:rPr>
          <w:rFonts w:ascii="Calibri" w:cs="Calibri" w:eastAsia="Calibri" w:hAnsi="Calibri"/>
          <w:sz w:val="18"/>
          <w:szCs w:val="18"/>
        </w:rPr>
        <w:t xml:space="preserve">Review Cycle: Quarterly | Next Review: October 2026</w:t>
      </w:r>
    </w:p>
    <w:p>
      <w:r>
        <w:br w:type="page"/>
      </w:r>
    </w:p>
    <w:p>
      <w:pPr>
        <w:sectPr>
          <w:pgSz w:w="12240" w:h="15840" w:orient="portrait"/>
          <w:pgMar w:top="1440" w:right="1350" w:bottom="1440" w:left="1350" w:header="708" w:footer="708" w:gutter="0"/>
          <w:pgNumType/>
          <w:docGrid w:linePitch="360"/>
        </w:sectPr>
      </w:pPr>
    </w:p>
    <w:p>
      <w:pPr>
        <w:pStyle w:val="Heading1"/>
        <w:spacing w:after="3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1. Purpose</w:t>
      </w:r>
    </w:p>
    <w:p>
      <w:pPr>
        <w:spacing w:after="160" w:line="276"/>
      </w:pPr>
      <w:r>
        <w:rPr>
          <w:rFonts w:ascii="Calibri" w:cs="Calibri" w:eastAsia="Calibri" w:hAnsi="Calibri"/>
          <w:sz w:val="21"/>
          <w:szCs w:val="21"/>
        </w:rPr>
        <w:t xml:space="preserve">This handbook establishes the mandatory escalation governance framework for the AI Customer Complaint Resolution Agent ("the Agent") deployed across NovaMart Global Retail Inc.'s customer operations stack. It is an internal control document, not a customer-facing script, and it is the authoritative source consumed programmatically by the LangGraph Escalation Node that governs routing decisions between the Agent and human resolution staff.</w:t>
      </w:r>
    </w:p>
    <w:p>
      <w:pPr>
        <w:pStyle w:val="Heading2"/>
        <w:spacing w:after="160" w:before="320"/>
      </w:pPr>
      <w:r>
        <w:rPr>
          <w:rFonts w:ascii="Calibri" w:cs="Calibri" w:eastAsia="Calibri" w:hAnsi="Calibri"/>
          <w:b/>
          <w:bCs/>
          <w:color w:val="2E5395"/>
          <w:sz w:val="26"/>
          <w:szCs w:val="26"/>
        </w:rPr>
        <w:t xml:space="preserve">1.1 Why Escalation Exists</w:t>
      </w:r>
    </w:p>
    <w:p>
      <w:pPr>
        <w:spacing w:after="160" w:line="276"/>
      </w:pPr>
      <w:r>
        <w:rPr>
          <w:rFonts w:ascii="Calibri" w:cs="Calibri" w:eastAsia="Calibri" w:hAnsi="Calibri"/>
          <w:sz w:val="21"/>
          <w:szCs w:val="21"/>
        </w:rPr>
        <w:t xml:space="preserve">Automated resolution materially reduces cost-to-serve and improves response latency, but complaint handling carries financial, legal, reputational, and regulatory risk that cannot be fully delegated to a language model. Escalation exists to ensure that decisions carrying risk beyond the Agent's calibrated competence are reviewed by a human with the appropriate authority, context, and accountability before being communicated to a customer or executed against a financial system.</w:t>
      </w:r>
    </w:p>
    <w:p>
      <w:pPr>
        <w:spacing w:after="160" w:line="276"/>
      </w:pPr>
      <w:r>
        <w:rPr>
          <w:rFonts w:ascii="Calibri" w:cs="Calibri" w:eastAsia="Calibri" w:hAnsi="Calibri"/>
          <w:sz w:val="21"/>
          <w:szCs w:val="21"/>
        </w:rPr>
        <w:t xml:space="preserve">Escalation is not a failure state. It is a designed control point. A well-functioning Agent escalates predictably, transparently, and early enough that downstream teams can act within Service Level Agreement (SLA) windows without needing to reconstruct context from scratch.</w:t>
      </w:r>
    </w:p>
    <w:p>
      <w:pPr>
        <w:pStyle w:val="Heading2"/>
        <w:spacing w:after="160" w:before="320"/>
      </w:pPr>
      <w:r>
        <w:rPr>
          <w:rFonts w:ascii="Calibri" w:cs="Calibri" w:eastAsia="Calibri" w:hAnsi="Calibri"/>
          <w:b/>
          <w:bCs/>
          <w:color w:val="2E5395"/>
          <w:sz w:val="26"/>
          <w:szCs w:val="26"/>
        </w:rPr>
        <w:t xml:space="preserve">1.2 Human-in-the-Loop Philosophy</w:t>
      </w:r>
    </w:p>
    <w:p>
      <w:pPr>
        <w:spacing w:after="160" w:line="276"/>
      </w:pPr>
      <w:r>
        <w:rPr>
          <w:rFonts w:ascii="Calibri" w:cs="Calibri" w:eastAsia="Calibri" w:hAnsi="Calibri"/>
          <w:sz w:val="21"/>
          <w:szCs w:val="21"/>
        </w:rPr>
        <w:t xml:space="preserve">NovaMart operates under a tiered human-in-the-loop (HITL) model. The Agent is authorized to act autonomously only within explicitly bounded confidence, monetary, and category thresholds defined in Sections 3 and 4. Outside those thresholds, the Agent's role shifts from "resolver" to "preparer": it must assemble a complete, structured handoff packet (Section 6) and route the case to the correct human tier without attempting further customer-facing resolution.</w:t>
      </w:r>
    </w:p>
    <w:p>
      <w:pPr>
        <w:spacing w:after="160" w:line="276"/>
      </w:pPr>
      <w:r>
        <w:rPr>
          <w:rFonts w:ascii="Calibri" w:cs="Calibri" w:eastAsia="Calibri" w:hAnsi="Calibri"/>
          <w:sz w:val="21"/>
          <w:szCs w:val="21"/>
        </w:rPr>
        <w:t xml:space="preserve">The guiding principles of this model are:</w:t>
      </w:r>
    </w:p>
    <w:p>
      <w:pPr>
        <w:pStyle w:val="ListParagraph"/>
        <w:numPr>
          <w:ilvl w:val="0"/>
          <w:numId w:val="2"/>
        </w:numPr>
        <w:spacing w:after="80" w:line="276"/>
      </w:pPr>
      <w:r>
        <w:rPr>
          <w:rFonts w:ascii="Calibri" w:cs="Calibri" w:eastAsia="Calibri" w:hAnsi="Calibri"/>
          <w:sz w:val="21"/>
          <w:szCs w:val="21"/>
        </w:rPr>
        <w:t xml:space="preserve">Bounded autonomy: the Agent resolves only what it is explicitly authorized to resolve.</w:t>
      </w:r>
    </w:p>
    <w:p>
      <w:pPr>
        <w:pStyle w:val="ListParagraph"/>
        <w:numPr>
          <w:ilvl w:val="0"/>
          <w:numId w:val="2"/>
        </w:numPr>
        <w:spacing w:after="80" w:line="276"/>
      </w:pPr>
      <w:r>
        <w:rPr>
          <w:rFonts w:ascii="Calibri" w:cs="Calibri" w:eastAsia="Calibri" w:hAnsi="Calibri"/>
          <w:sz w:val="21"/>
          <w:szCs w:val="21"/>
        </w:rPr>
        <w:t xml:space="preserve">Escalate early, not late: uncertainty must trigger escalation before a commitment is made to the customer, not after.</w:t>
      </w:r>
    </w:p>
    <w:p>
      <w:pPr>
        <w:pStyle w:val="ListParagraph"/>
        <w:numPr>
          <w:ilvl w:val="0"/>
          <w:numId w:val="2"/>
        </w:numPr>
        <w:spacing w:after="80" w:line="276"/>
      </w:pPr>
      <w:r>
        <w:rPr>
          <w:rFonts w:ascii="Calibri" w:cs="Calibri" w:eastAsia="Calibri" w:hAnsi="Calibri"/>
          <w:sz w:val="21"/>
          <w:szCs w:val="21"/>
        </w:rPr>
        <w:t xml:space="preserve">No silent failure: every escalation must be logged with a machine-readable reason code and a human-readable rationale.</w:t>
      </w:r>
    </w:p>
    <w:p>
      <w:pPr>
        <w:pStyle w:val="ListParagraph"/>
        <w:numPr>
          <w:ilvl w:val="0"/>
          <w:numId w:val="2"/>
        </w:numPr>
        <w:spacing w:after="80" w:line="276"/>
      </w:pPr>
      <w:r>
        <w:rPr>
          <w:rFonts w:ascii="Calibri" w:cs="Calibri" w:eastAsia="Calibri" w:hAnsi="Calibri"/>
          <w:sz w:val="21"/>
          <w:szCs w:val="21"/>
        </w:rPr>
        <w:t xml:space="preserve">Non-regression: a human decision on an escalated case is authoritative and must not be silently overwritten by a subsequent AI action on the same case.</w:t>
      </w:r>
    </w:p>
    <w:p>
      <w:pPr>
        <w:pStyle w:val="ListParagraph"/>
        <w:numPr>
          <w:ilvl w:val="0"/>
          <w:numId w:val="2"/>
        </w:numPr>
        <w:spacing w:after="80" w:line="276"/>
      </w:pPr>
      <w:r>
        <w:rPr>
          <w:rFonts w:ascii="Calibri" w:cs="Calibri" w:eastAsia="Calibri" w:hAnsi="Calibri"/>
          <w:sz w:val="21"/>
          <w:szCs w:val="21"/>
        </w:rPr>
        <w:t xml:space="preserve">Traceability: every autonomous resolution and every escalation must be reconstructable from the audit log without external context.</w:t>
      </w:r>
    </w:p>
    <w:p>
      <w:pPr>
        <w:pStyle w:val="Heading2"/>
        <w:spacing w:after="160" w:before="320"/>
      </w:pPr>
      <w:r>
        <w:rPr>
          <w:rFonts w:ascii="Calibri" w:cs="Calibri" w:eastAsia="Calibri" w:hAnsi="Calibri"/>
          <w:b/>
          <w:bCs/>
          <w:color w:val="2E5395"/>
          <w:sz w:val="26"/>
          <w:szCs w:val="26"/>
        </w:rPr>
        <w:t xml:space="preserve">1.3 AI Limitations Governing This Framework</w:t>
      </w:r>
    </w:p>
    <w:p>
      <w:pPr>
        <w:spacing w:after="160" w:line="276"/>
      </w:pPr>
      <w:r>
        <w:rPr>
          <w:rFonts w:ascii="Calibri" w:cs="Calibri" w:eastAsia="Calibri" w:hAnsi="Calibri"/>
          <w:sz w:val="21"/>
          <w:szCs w:val="21"/>
        </w:rPr>
        <w:t xml:space="preserve">The escalation thresholds in this handbook exist specifically because the Agent has known, bounded limitations that must be structurally compensated for rather than assumed away:</w:t>
      </w:r>
    </w:p>
    <w:p>
      <w:pPr>
        <w:pStyle w:val="ListParagraph"/>
        <w:numPr>
          <w:ilvl w:val="0"/>
          <w:numId w:val="2"/>
        </w:numPr>
        <w:spacing w:after="80" w:line="276"/>
      </w:pPr>
      <w:r>
        <w:rPr>
          <w:rFonts w:ascii="Calibri" w:cs="Calibri" w:eastAsia="Calibri" w:hAnsi="Calibri"/>
          <w:sz w:val="21"/>
          <w:szCs w:val="21"/>
        </w:rPr>
        <w:t xml:space="preserve">The Agent cannot independently verify claims requiring physical inspection (damaged goods, counterfeit assessment, warehouse conditions).</w:t>
      </w:r>
    </w:p>
    <w:p>
      <w:pPr>
        <w:pStyle w:val="ListParagraph"/>
        <w:numPr>
          <w:ilvl w:val="0"/>
          <w:numId w:val="2"/>
        </w:numPr>
        <w:spacing w:after="80" w:line="276"/>
      </w:pPr>
      <w:r>
        <w:rPr>
          <w:rFonts w:ascii="Calibri" w:cs="Calibri" w:eastAsia="Calibri" w:hAnsi="Calibri"/>
          <w:sz w:val="21"/>
          <w:szCs w:val="21"/>
        </w:rPr>
        <w:t xml:space="preserve">The Agent cannot bind NovaMart to novel legal positions, settlements, or admissions of liability.</w:t>
      </w:r>
    </w:p>
    <w:p>
      <w:pPr>
        <w:pStyle w:val="ListParagraph"/>
        <w:numPr>
          <w:ilvl w:val="0"/>
          <w:numId w:val="2"/>
        </w:numPr>
        <w:spacing w:after="80" w:line="276"/>
      </w:pPr>
      <w:r>
        <w:rPr>
          <w:rFonts w:ascii="Calibri" w:cs="Calibri" w:eastAsia="Calibri" w:hAnsi="Calibri"/>
          <w:sz w:val="21"/>
          <w:szCs w:val="21"/>
        </w:rPr>
        <w:t xml:space="preserve">The Agent's fraud-signal detection is probabilistic and must never be the sole basis for an irreversible account or financial action.</w:t>
      </w:r>
    </w:p>
    <w:p>
      <w:pPr>
        <w:pStyle w:val="ListParagraph"/>
        <w:numPr>
          <w:ilvl w:val="0"/>
          <w:numId w:val="2"/>
        </w:numPr>
        <w:spacing w:after="80" w:line="276"/>
      </w:pPr>
      <w:r>
        <w:rPr>
          <w:rFonts w:ascii="Calibri" w:cs="Calibri" w:eastAsia="Calibri" w:hAnsi="Calibri"/>
          <w:sz w:val="21"/>
          <w:szCs w:val="21"/>
        </w:rPr>
        <w:t xml:space="preserve">The Agent's confidence score is a model-internal estimate of resolution correctness and is not a substitute for policy authority, monetary authority, or legal judgment.</w:t>
      </w:r>
    </w:p>
    <w:p>
      <w:pPr>
        <w:pStyle w:val="ListParagraph"/>
        <w:numPr>
          <w:ilvl w:val="0"/>
          <w:numId w:val="2"/>
        </w:numPr>
        <w:spacing w:after="80" w:line="276"/>
      </w:pPr>
      <w:r>
        <w:rPr>
          <w:rFonts w:ascii="Calibri" w:cs="Calibri" w:eastAsia="Calibri" w:hAnsi="Calibri"/>
          <w:sz w:val="21"/>
          <w:szCs w:val="21"/>
        </w:rPr>
        <w:t xml:space="preserve">The Agent has no authority to communicate with regulators, courts, law enforcement, or media, and must never do so under any circumstance.</w:t>
      </w:r>
    </w:p>
    <w:p>
      <w:pPr>
        <w:pStyle w:val="ListParagraph"/>
        <w:numPr>
          <w:ilvl w:val="0"/>
          <w:numId w:val="2"/>
        </w:numPr>
        <w:spacing w:after="80" w:line="276"/>
      </w:pPr>
      <w:r>
        <w:rPr>
          <w:rFonts w:ascii="Calibri" w:cs="Calibri" w:eastAsia="Calibri" w:hAnsi="Calibri"/>
          <w:sz w:val="21"/>
          <w:szCs w:val="21"/>
        </w:rPr>
        <w:t xml:space="preserve">The Agent cannot exceed the monetary and category limits defined for Level 1 regardless of how confident it is in a proposed resolution.</w:t>
      </w:r>
    </w:p>
    <w:p>
      <w:pPr>
        <w:pBdr>
          <w:left w:val="single" w:color="C00000" w:sz="24" w:space="8"/>
        </w:pBdr>
        <w:shd w:fill="F2F2F2" w:val="clear"/>
        <w:spacing w:after="200" w:before="120"/>
        <w:ind w:left="100"/>
      </w:pPr>
      <w:r>
        <w:rPr>
          <w:rFonts w:ascii="Calibri" w:cs="Calibri" w:eastAsia="Calibri" w:hAnsi="Calibri"/>
          <w:b/>
          <w:bCs/>
          <w:color w:val="C00000"/>
          <w:sz w:val="20"/>
          <w:szCs w:val="20"/>
        </w:rPr>
        <w:t xml:space="preserve">GOVERNANCE: </w:t>
      </w:r>
      <w:r>
        <w:rPr>
          <w:rFonts w:ascii="Calibri" w:cs="Calibri" w:eastAsia="Calibri" w:hAnsi="Calibri"/>
          <w:i/>
          <w:iCs/>
          <w:sz w:val="20"/>
          <w:szCs w:val="20"/>
        </w:rPr>
        <w:t xml:space="preserve">This handbook is a machine-consumed control document. Field names, thresholds, and rule identifiers referenced herein (e.g., R-01 through R-12, CONF_AUTO, CONF_CSR) map directly to the LangGraph Escalation Node's routing configuration. Any change to a threshold in this document requires a corresponding change to the routing configuration and sign-off from Customer Operations, Risk, and Legal.</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2. Escalation Levels</w:t>
      </w:r>
    </w:p>
    <w:p>
      <w:pPr>
        <w:spacing w:after="160" w:line="276"/>
      </w:pPr>
      <w:r>
        <w:rPr>
          <w:rFonts w:ascii="Calibri" w:cs="Calibri" w:eastAsia="Calibri" w:hAnsi="Calibri"/>
          <w:sz w:val="21"/>
          <w:szCs w:val="21"/>
        </w:rPr>
        <w:t xml:space="preserve">The escalation hierarchy defines six tiers of increasing authority, risk tolerance, and accountability. Every complaint processed by the system is assigned to exactly one active owning level at any point in time. Ownership transfers formally at the point the LangGraph Escalation Node commits a routing decision; it does not transfer merely because a human happens to view the case.</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00"/>
        <w:gridCol w:w="2200"/>
        <w:gridCol w:w="3300"/>
      </w:tblGrid>
      <w:tr>
        <w:trPr>
          <w:tblHeader/>
        </w:trP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Level</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Primary Responsibility</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Monetary Authority</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Decision Scope</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Agent</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Automated triage, classification, and resolution of low-risk, high-confidence complaints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 to $50 per case</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Policy-compliant standard remedies only (see 2.1)</w:t>
            </w:r>
          </w:p>
        </w:tc>
      </w:tr>
      <w:tr>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w:t>
            </w:r>
          </w:p>
        </w:tc>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Service Representative (CSR)</w:t>
            </w:r>
          </w:p>
        </w:tc>
        <w:tc>
          <w:tcPr>
            <w:tcW w:type="dxa" w:w="4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Review of AI-drafted resolutions; resolution of moderate complaints requiring human judgment</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 to $250 per case</w:t>
            </w:r>
          </w:p>
        </w:tc>
        <w:tc>
          <w:tcPr>
            <w:tcW w:type="dxa" w:w="3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Standard remedies plus documented discretionary adjustments</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Resolution of complex or repeat complaints; override of CSR decisions; first line of policy exception review</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 to $1,000 per case</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Policy exceptions within business-unit guidelines</w:t>
            </w:r>
          </w:p>
        </w:tc>
      </w:tr>
      <w:tr>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w:t>
            </w:r>
          </w:p>
        </w:tc>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Duty Manager</w:t>
            </w:r>
          </w:p>
        </w:tc>
        <w:tc>
          <w:tcPr>
            <w:tcW w:type="dxa" w:w="4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Resolution of high-value, high-severity, or reputationally sensitive complaints; on-call incident ownership</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 to $5,000 per case</w:t>
            </w:r>
          </w:p>
        </w:tc>
        <w:tc>
          <w:tcPr>
            <w:tcW w:type="dxa" w:w="3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Cross-functional exceptions; goodwill gestures; VIP handling</w:t>
            </w:r>
          </w:p>
        </w:tc>
      </w:tr>
      <w:t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Trust &amp; Safety</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Fraud, account security, policy-abuse, and safety-related investigations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Case-by-case; not remedy-limited</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Account actions, fraud holds, investigation outcomes</w:t>
            </w:r>
          </w:p>
        </w:tc>
      </w:tr>
      <w:tr>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w:t>
            </w:r>
          </w:p>
        </w:tc>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Team</w:t>
            </w:r>
          </w:p>
        </w:tc>
        <w:tc>
          <w:tcPr>
            <w:tcW w:type="dxa" w:w="4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notices, litigation, regulatory, consumer-court, and law-enforcement matters</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 fixed limit; requires Legal sign-off</w:t>
            </w:r>
          </w:p>
        </w:tc>
        <w:tc>
          <w:tcPr>
            <w:tcW w:type="dxa" w:w="3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All legally binding communications and settlements</w:t>
            </w:r>
          </w:p>
        </w:tc>
      </w:tr>
    </w:tbl>
    <w:p>
      <w:pPr>
        <w:pStyle w:val="Heading2"/>
        <w:spacing w:after="160" w:before="320"/>
      </w:pPr>
      <w:r>
        <w:rPr>
          <w:rFonts w:ascii="Calibri" w:cs="Calibri" w:eastAsia="Calibri" w:hAnsi="Calibri"/>
          <w:b/>
          <w:bCs/>
          <w:color w:val="2E5395"/>
          <w:sz w:val="26"/>
          <w:szCs w:val="26"/>
        </w:rPr>
        <w:t xml:space="preserve">2.1 Level 1 — AI Agent</w:t>
      </w:r>
    </w:p>
    <w:p>
      <w:pPr>
        <w:spacing w:after="160" w:line="276"/>
      </w:pPr>
      <w:r>
        <w:rPr>
          <w:rFonts w:ascii="Calibri" w:cs="Calibri" w:eastAsia="Calibri" w:hAnsi="Calibri"/>
          <w:sz w:val="21"/>
          <w:szCs w:val="21"/>
        </w:rPr>
        <w:t xml:space="preserve">The Agent operates as the default first responder for all inbound complaints. It is authorized to independently resolve a complaint only when all of the following are simultaneously true: (a) confidence score is at or above the CONF_AUTO threshold (Section 4); (b) the complaint category is on the Level 1 authorized list; (c) proposed remedy value is at or below $50; (d) no mandatory escalation trigger from Section 3 is present; and (e) the complaint has not already been escalated by a human. Authorized Level 1 remedies are limited to: standard refunds within policy, reshipment of a like item, minor courtesy credit, order-status clarification, and return-label issuance.</w:t>
      </w:r>
    </w:p>
    <w:p>
      <w:pPr>
        <w:pStyle w:val="Heading2"/>
        <w:spacing w:after="160" w:before="320"/>
      </w:pPr>
      <w:r>
        <w:rPr>
          <w:rFonts w:ascii="Calibri" w:cs="Calibri" w:eastAsia="Calibri" w:hAnsi="Calibri"/>
          <w:b/>
          <w:bCs/>
          <w:color w:val="2E5395"/>
          <w:sz w:val="26"/>
          <w:szCs w:val="26"/>
        </w:rPr>
        <w:t xml:space="preserve">2.2 Level 2 — CSR</w:t>
      </w:r>
    </w:p>
    <w:p>
      <w:pPr>
        <w:spacing w:after="160" w:line="276"/>
      </w:pPr>
      <w:r>
        <w:rPr>
          <w:rFonts w:ascii="Calibri" w:cs="Calibri" w:eastAsia="Calibri" w:hAnsi="Calibri"/>
          <w:sz w:val="21"/>
          <w:szCs w:val="21"/>
        </w:rPr>
        <w:t xml:space="preserve">CSRs review AI-drafted resolutions that fall into the 80–95% confidence band, handle complaints the Agent classifies as moderate complexity, and exercise documented discretion up to $250. A CSR may approve, edit, or reject an AI draft. Rejections must include a structured reason code that feeds back into Agent calibration.</w:t>
      </w:r>
    </w:p>
    <w:p>
      <w:pPr>
        <w:pStyle w:val="Heading2"/>
        <w:spacing w:after="160" w:before="320"/>
      </w:pPr>
      <w:r>
        <w:rPr>
          <w:rFonts w:ascii="Calibri" w:cs="Calibri" w:eastAsia="Calibri" w:hAnsi="Calibri"/>
          <w:b/>
          <w:bCs/>
          <w:color w:val="2E5395"/>
          <w:sz w:val="26"/>
          <w:szCs w:val="26"/>
        </w:rPr>
        <w:t xml:space="preserve">2.3 Level 3 — Supervisor</w:t>
      </w:r>
    </w:p>
    <w:p>
      <w:pPr>
        <w:spacing w:after="160" w:line="276"/>
      </w:pPr>
      <w:r>
        <w:rPr>
          <w:rFonts w:ascii="Calibri" w:cs="Calibri" w:eastAsia="Calibri" w:hAnsi="Calibri"/>
          <w:sz w:val="21"/>
          <w:szCs w:val="21"/>
        </w:rPr>
        <w:t xml:space="preserve">Supervisors resolve complaints in the 60–80% confidence band, complaints that have failed two or more AI revision cycles, complaints involving conflicting policy interpretations, and any case a CSR has flagged as exceeding their authority. Supervisors may authorize policy exceptions within documented business-unit guidelines and may approve remedies up to $1,000.</w:t>
      </w:r>
    </w:p>
    <w:p>
      <w:pPr>
        <w:pStyle w:val="Heading2"/>
        <w:spacing w:after="160" w:before="320"/>
      </w:pPr>
      <w:r>
        <w:rPr>
          <w:rFonts w:ascii="Calibri" w:cs="Calibri" w:eastAsia="Calibri" w:hAnsi="Calibri"/>
          <w:b/>
          <w:bCs/>
          <w:color w:val="2E5395"/>
          <w:sz w:val="26"/>
          <w:szCs w:val="26"/>
        </w:rPr>
        <w:t xml:space="preserve">2.4 Level 4 — Duty Manager</w:t>
      </w:r>
    </w:p>
    <w:p>
      <w:pPr>
        <w:spacing w:after="160" w:line="276"/>
      </w:pPr>
      <w:r>
        <w:rPr>
          <w:rFonts w:ascii="Calibri" w:cs="Calibri" w:eastAsia="Calibri" w:hAnsi="Calibri"/>
          <w:sz w:val="21"/>
          <w:szCs w:val="21"/>
        </w:rPr>
        <w:t xml:space="preserve">Duty Managers own high-value complaints (proposed or requested remedy above $1,000), VIP customer exceptions, critical-severity incidents, and any case requiring cross-functional coordination (e.g., logistics plus finance plus PR). Duty Managers are the highest tier authorized to offer goodwill gestures outside standard policy without Legal or Trust &amp; Safety involvement.</w:t>
      </w:r>
    </w:p>
    <w:p>
      <w:pPr>
        <w:pStyle w:val="Heading2"/>
        <w:spacing w:after="160" w:before="320"/>
      </w:pPr>
      <w:r>
        <w:rPr>
          <w:rFonts w:ascii="Calibri" w:cs="Calibri" w:eastAsia="Calibri" w:hAnsi="Calibri"/>
          <w:b/>
          <w:bCs/>
          <w:color w:val="2E5395"/>
          <w:sz w:val="26"/>
          <w:szCs w:val="26"/>
        </w:rPr>
        <w:t xml:space="preserve">2.5 Level 5 — Trust &amp; Safety</w:t>
      </w:r>
    </w:p>
    <w:p>
      <w:pPr>
        <w:spacing w:after="160" w:line="276"/>
      </w:pPr>
      <w:r>
        <w:rPr>
          <w:rFonts w:ascii="Calibri" w:cs="Calibri" w:eastAsia="Calibri" w:hAnsi="Calibri"/>
          <w:sz w:val="21"/>
          <w:szCs w:val="21"/>
        </w:rPr>
        <w:t xml:space="preserve">Trust &amp; Safety owns all cases involving suspected fraud, account takeover, payment abuse, policy-abuse patterns (e.g., serial-return abuse), and safety-related product complaints. Trust &amp; Safety has authority to freeze accounts, hold payouts, and refer cases internally for further investigation, independent of standard remedy limits.</w:t>
      </w:r>
    </w:p>
    <w:p>
      <w:pPr>
        <w:pStyle w:val="Heading2"/>
        <w:spacing w:after="160" w:before="320"/>
      </w:pPr>
      <w:r>
        <w:rPr>
          <w:rFonts w:ascii="Calibri" w:cs="Calibri" w:eastAsia="Calibri" w:hAnsi="Calibri"/>
          <w:b/>
          <w:bCs/>
          <w:color w:val="2E5395"/>
          <w:sz w:val="26"/>
          <w:szCs w:val="26"/>
        </w:rPr>
        <w:t xml:space="preserve">2.6 Level 6 — Legal Team</w:t>
      </w:r>
    </w:p>
    <w:p>
      <w:pPr>
        <w:spacing w:after="160" w:line="276"/>
      </w:pPr>
      <w:r>
        <w:rPr>
          <w:rFonts w:ascii="Calibri" w:cs="Calibri" w:eastAsia="Calibri" w:hAnsi="Calibri"/>
          <w:sz w:val="21"/>
          <w:szCs w:val="21"/>
        </w:rPr>
        <w:t xml:space="preserve">Legal owns every case involving an actual or threatened legal notice, consumer-court filing, regulatory inquiry, chargeback dispute requiring formal response, police complaint, or media inquiry with legal implications. Legal is the only tier authorized to approve language that could be construed as an admission of liability or a binding settlement offer.</w:t>
      </w:r>
    </w:p>
    <w:p>
      <w:pPr>
        <w:pStyle w:val="Heading3"/>
        <w:spacing w:after="120" w:before="240"/>
      </w:pPr>
      <w:r>
        <w:rPr>
          <w:rFonts w:ascii="Calibri" w:cs="Calibri" w:eastAsia="Calibri" w:hAnsi="Calibri"/>
          <w:b/>
          <w:bCs/>
          <w:color w:val="1A1A1A"/>
          <w:sz w:val="23"/>
          <w:szCs w:val="23"/>
        </w:rPr>
        <w:t xml:space="preserve">2.7 Escalation Authority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500"/>
        <w:gridCol w:w="1500"/>
        <w:gridCol w:w="1000"/>
        <w:gridCol w:w="10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Action</w:t>
            </w:r>
          </w:p>
        </w:tc>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L1 AI</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L2 CSR</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L3 Supervisor</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L4 Duty Mgr</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L5 T&amp;S</w:t>
            </w:r>
          </w:p>
        </w:tc>
        <w:tc>
          <w:tcPr>
            <w:tcW w:type="dxa" w:w="1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L6 Legal</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Approve refund ≤ $50</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Approve refund $51–$250</w:t>
            </w:r>
          </w:p>
        </w:tc>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Approve refund $251–$1,000</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Approve refund &gt; $1,000</w:t>
            </w:r>
          </w:p>
        </w:tc>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Grant policy exception</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 (limited)</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Freeze / restrict account</w:t>
            </w:r>
          </w:p>
        </w:tc>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Respond to legal notice</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Respond to media inquiry</w:t>
            </w:r>
          </w:p>
        </w:tc>
        <w:tc>
          <w:tcPr>
            <w:tcW w:type="dxa" w:w="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Engage law enforcement liaison</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bl>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3. Mandatory Escalation Triggers</w:t>
      </w:r>
    </w:p>
    <w:p>
      <w:pPr>
        <w:spacing w:after="160" w:line="276"/>
      </w:pPr>
      <w:r>
        <w:rPr>
          <w:rFonts w:ascii="Calibri" w:cs="Calibri" w:eastAsia="Calibri" w:hAnsi="Calibri"/>
          <w:sz w:val="21"/>
          <w:szCs w:val="21"/>
        </w:rPr>
        <w:t xml:space="preserve">The following triggers are absolute. When any condition below is detected — whether by the classification model, the confidence engine, keyword/entity extraction, or explicit customer statement — the Agent must escalate regardless of confidence score, complaint category, or monetary value. Mandatory triggers cannot be suppressed, batched, or deferred by any downstream logic.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300"/>
        <w:gridCol w:w="2200"/>
      </w:tblGrid>
      <w:tr>
        <w:trPr>
          <w:tblHeader/>
        </w:trPr>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2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Trigger</w:t>
            </w:r>
          </w:p>
        </w:tc>
        <w:tc>
          <w:tcPr>
            <w:tcW w:type="dxa" w:w="4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Mandatory Destination</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R-01</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 exceeds authority</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Requested or calculated remedy exceeds the acting level's monetary authority</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Next authority level up</w:t>
            </w:r>
          </w:p>
        </w:tc>
      </w:tr>
      <w:tr>
        <w:tc>
          <w:tcPr>
            <w:tcW w:type="dxa" w:w="7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R-02</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Fraud suspicion</w:t>
            </w:r>
          </w:p>
        </w:tc>
        <w:tc>
          <w:tcPr>
            <w:tcW w:type="dxa" w:w="4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Fraud-signal model flags order, account, or claim above the fraud threshold</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R-03</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notice</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references or attaches a cease-and-desist, demand letter, or attorney correspondence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r>
      <w:tr>
        <w:tc>
          <w:tcPr>
            <w:tcW w:type="dxa" w:w="7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R-04</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Consumer court</w:t>
            </w:r>
          </w:p>
        </w:tc>
        <w:tc>
          <w:tcPr>
            <w:tcW w:type="dxa" w:w="4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states intent to file, or has filed, with a consumer protection tribunal or small-claims court</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R-05</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Chargeback</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Payment processor has initiated or notified NovaMart of a chargeback / dispute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 (financial coordination with Finance)</w:t>
            </w:r>
          </w:p>
        </w:tc>
      </w:tr>
      <w:tr>
        <w:tc>
          <w:tcPr>
            <w:tcW w:type="dxa" w:w="7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R-06</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Police complaint</w:t>
            </w:r>
          </w:p>
        </w:tc>
        <w:tc>
          <w:tcPr>
            <w:tcW w:type="dxa" w:w="4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references filing or intending to file a police report (theft, fraud, threats)</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 cc L6 Legal</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R-07</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Media complaint</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references contacting press, journalists, or threatens public exposure with named outlet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 cc Corporate Communications</w:t>
            </w:r>
          </w:p>
        </w:tc>
      </w:tr>
      <w:tr>
        <w:tc>
          <w:tcPr>
            <w:tcW w:type="dxa" w:w="7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R-08</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Repeated failed revisions</w:t>
            </w:r>
          </w:p>
        </w:tc>
        <w:tc>
          <w:tcPr>
            <w:tcW w:type="dxa" w:w="4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draft rejected or unresolved after 2 consecutive revision cycles on the same case</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R-09</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Low confidence</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Model confidence score below 60% (CONF_ESCALATE threshold)</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 (or higher per Section 4)</w:t>
            </w:r>
          </w:p>
        </w:tc>
      </w:tr>
      <w:tr>
        <w:tc>
          <w:tcPr>
            <w:tcW w:type="dxa" w:w="7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R-10</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Multiple policy conflicts</w:t>
            </w:r>
          </w:p>
        </w:tc>
        <w:tc>
          <w:tcPr>
            <w:tcW w:type="dxa" w:w="4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Two or more retrieved policy clauses yield contradictory remedies for the same fact pattern</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R-11</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VIP customer exception</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holds VIP/Platinum tier status and requested remedy falls outside standard policy</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w:t>
            </w:r>
          </w:p>
        </w:tc>
      </w:tr>
      <w:tr>
        <w:tc>
          <w:tcPr>
            <w:tcW w:type="dxa" w:w="7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R-12</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 severity</w:t>
            </w:r>
          </w:p>
        </w:tc>
        <w:tc>
          <w:tcPr>
            <w:tcW w:type="dxa" w:w="4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Complaint classified as Critical severity per the severity matrix (Section 8.2)</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 minimum; may auto-elevate to L5/L6 per subtype</w:t>
            </w:r>
          </w:p>
        </w:tc>
      </w:tr>
    </w:tbl>
    <w:p>
      <w:pPr>
        <w:pBdr>
          <w:left w:val="single" w:color="C00000" w:sz="24" w:space="8"/>
        </w:pBdr>
        <w:shd w:fill="F2F2F2" w:val="clear"/>
        <w:spacing w:after="200" w:before="120"/>
        <w:ind w:left="100"/>
      </w:pPr>
      <w:r>
        <w:rPr>
          <w:rFonts w:ascii="Calibri" w:cs="Calibri" w:eastAsia="Calibri" w:hAnsi="Calibri"/>
          <w:b/>
          <w:bCs/>
          <w:color w:val="C00000"/>
          <w:sz w:val="20"/>
          <w:szCs w:val="20"/>
        </w:rPr>
        <w:t xml:space="preserve">CRITICAL RULE: </w:t>
      </w:r>
      <w:r>
        <w:rPr>
          <w:rFonts w:ascii="Calibri" w:cs="Calibri" w:eastAsia="Calibri" w:hAnsi="Calibri"/>
          <w:i/>
          <w:iCs/>
          <w:sz w:val="20"/>
          <w:szCs w:val="20"/>
        </w:rPr>
        <w:t xml:space="preserve">Mandatory triggers are evaluated before confidence routing (Section 4). If a mandatory trigger fires, confidence-based routing is bypassed entirely. A high confidence score never overrides a mandatory trigger.</w:t>
      </w:r>
    </w:p>
    <w:p>
      <w:pPr>
        <w:pStyle w:val="Heading2"/>
        <w:spacing w:after="160" w:before="320"/>
      </w:pPr>
      <w:r>
        <w:rPr>
          <w:rFonts w:ascii="Calibri" w:cs="Calibri" w:eastAsia="Calibri" w:hAnsi="Calibri"/>
          <w:b/>
          <w:bCs/>
          <w:color w:val="2E5395"/>
          <w:sz w:val="26"/>
          <w:szCs w:val="26"/>
        </w:rPr>
        <w:t xml:space="preserve">3.1 Trigger Detection Notes</w:t>
      </w:r>
    </w:p>
    <w:p>
      <w:pPr>
        <w:pStyle w:val="ListParagraph"/>
        <w:numPr>
          <w:ilvl w:val="0"/>
          <w:numId w:val="2"/>
        </w:numPr>
        <w:spacing w:after="80" w:line="276"/>
      </w:pPr>
      <w:r>
        <w:rPr>
          <w:rFonts w:ascii="Calibri" w:cs="Calibri" w:eastAsia="Calibri" w:hAnsi="Calibri"/>
          <w:sz w:val="21"/>
          <w:szCs w:val="21"/>
        </w:rPr>
        <w:t xml:space="preserve">R-02 (Fraud) and R-03 through R-07 (legal/regulatory/media/police/chargeback) are evaluated on every inbound message, not only at case creation, since a customer may introduce a trigger mid-conversation.</w:t>
      </w:r>
    </w:p>
    <w:p>
      <w:pPr>
        <w:pStyle w:val="ListParagraph"/>
        <w:numPr>
          <w:ilvl w:val="0"/>
          <w:numId w:val="2"/>
        </w:numPr>
        <w:spacing w:after="80" w:line="276"/>
      </w:pPr>
      <w:r>
        <w:rPr>
          <w:rFonts w:ascii="Calibri" w:cs="Calibri" w:eastAsia="Calibri" w:hAnsi="Calibri"/>
          <w:sz w:val="21"/>
          <w:szCs w:val="21"/>
        </w:rPr>
        <w:t xml:space="preserve">R-08 (Repeated failed revisions) counts consecutive revision cycles on the same case; the counter resets only when a human reviewer accepts a resolution or formally closes the case.</w:t>
      </w:r>
    </w:p>
    <w:p>
      <w:pPr>
        <w:pStyle w:val="ListParagraph"/>
        <w:numPr>
          <w:ilvl w:val="0"/>
          <w:numId w:val="2"/>
        </w:numPr>
        <w:spacing w:after="80" w:line="276"/>
      </w:pPr>
      <w:r>
        <w:rPr>
          <w:rFonts w:ascii="Calibri" w:cs="Calibri" w:eastAsia="Calibri" w:hAnsi="Calibri"/>
          <w:sz w:val="21"/>
          <w:szCs w:val="21"/>
        </w:rPr>
        <w:t xml:space="preserve">R-11 (VIP) is evaluated against the CRM tier flag at time of complaint creation, not at time of original purchase, since tier status can change.</w:t>
      </w:r>
    </w:p>
    <w:p>
      <w:pPr>
        <w:pStyle w:val="ListParagraph"/>
        <w:numPr>
          <w:ilvl w:val="0"/>
          <w:numId w:val="2"/>
        </w:numPr>
        <w:spacing w:after="80" w:line="276"/>
      </w:pPr>
      <w:r>
        <w:rPr>
          <w:rFonts w:ascii="Calibri" w:cs="Calibri" w:eastAsia="Calibri" w:hAnsi="Calibri"/>
          <w:sz w:val="21"/>
          <w:szCs w:val="21"/>
        </w:rPr>
        <w:t xml:space="preserve">R-12 (Critical severity) is determined by the severity classifier described in Section 8.2 and includes safety hazards, allergic reactions, and data-breach-adjacent complaints.</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4. Confidence Routing</w:t>
      </w:r>
    </w:p>
    <w:p>
      <w:pPr>
        <w:spacing w:after="160" w:line="276"/>
      </w:pPr>
      <w:r>
        <w:rPr>
          <w:rFonts w:ascii="Calibri" w:cs="Calibri" w:eastAsia="Calibri" w:hAnsi="Calibri"/>
          <w:sz w:val="21"/>
          <w:szCs w:val="21"/>
        </w:rPr>
        <w:t xml:space="preserve">Every complaint processed by the Agent receives a resolution-confidence score between 0 and 100, representing the model's calibrated estimate that its proposed resolution is correct, policy-compliant, and appropriate for autonomous delivery. This score drives default routing in the absence of a mandatory trigger.</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4500"/>
      </w:tblGrid>
      <w:tr>
        <w:trPr>
          <w:tblHeader/>
        </w:trPr>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Confidence Band</w:t>
            </w:r>
          </w:p>
        </w:tc>
        <w:tc>
          <w:tcPr>
            <w:tcW w:type="dxa" w:w="2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Routing Outcome</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Owning Level</w:t>
            </w:r>
          </w:p>
        </w:tc>
        <w:tc>
          <w:tcPr>
            <w:tcW w:type="dxa" w:w="4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Notes</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 95%</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Automatic resolution</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Autonomous action permitted only if no mandatory trigger (Section 3) is present</w:t>
            </w:r>
          </w:p>
        </w:tc>
      </w:tr>
      <w:tr>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80% – 94.9%</w:t>
            </w:r>
          </w:p>
        </w:tc>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Mandatory CSR review</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c>
          <w:tcPr>
            <w:tcW w:type="dxa" w:w="4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draft required; CSR approves, edits, or rejects before customer contact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60% – 79.9%</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Mandatory Supervisor review</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draft optional; case notes and retrieved policy citations still required</w:t>
            </w:r>
          </w:p>
        </w:tc>
      </w:tr>
      <w:tr>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Below 60%</w:t>
            </w:r>
          </w:p>
        </w:tc>
        <w:tc>
          <w:tcPr>
            <w:tcW w:type="dxa" w:w="28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Mandatory escalation</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 minimum, elevated per Section 3 if applicable</w:t>
            </w:r>
          </w:p>
        </w:tc>
        <w:tc>
          <w:tcPr>
            <w:tcW w:type="dxa" w:w="4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must not draft a customer-facing resolution; internal notes only</w:t>
            </w:r>
          </w:p>
        </w:tc>
      </w:tr>
    </w:tbl>
    <w:p>
      <w:pPr>
        <w:pStyle w:val="Heading2"/>
        <w:spacing w:after="160" w:before="320"/>
      </w:pPr>
      <w:r>
        <w:rPr>
          <w:rFonts w:ascii="Calibri" w:cs="Calibri" w:eastAsia="Calibri" w:hAnsi="Calibri"/>
          <w:b/>
          <w:bCs/>
          <w:color w:val="2E5395"/>
          <w:sz w:val="26"/>
          <w:szCs w:val="26"/>
        </w:rPr>
        <w:t xml:space="preserve">4.1 Override Rule</w:t>
      </w:r>
    </w:p>
    <w:p>
      <w:pPr>
        <w:spacing w:after="160" w:line="276"/>
      </w:pPr>
      <w:r>
        <w:rPr>
          <w:rFonts w:ascii="Calibri" w:cs="Calibri" w:eastAsia="Calibri" w:hAnsi="Calibri"/>
          <w:sz w:val="21"/>
          <w:szCs w:val="21"/>
        </w:rPr>
        <w:t xml:space="preserve">Fraud suspicion (R-02) and any legal-category trigger (R-03 through R-07) always override confidence-based routing, including cases where the Agent reports 99% confidence in its proposed resolution. Confidence reflects resolution quality, not risk exposure, and must never be treated as a proxy for risk.</w:t>
      </w:r>
    </w:p>
    <w:p>
      <w:pPr>
        <w:pStyle w:val="Heading2"/>
        <w:spacing w:after="160" w:before="320"/>
      </w:pPr>
      <w:r>
        <w:rPr>
          <w:rFonts w:ascii="Calibri" w:cs="Calibri" w:eastAsia="Calibri" w:hAnsi="Calibri"/>
          <w:b/>
          <w:bCs/>
          <w:color w:val="2E5395"/>
          <w:sz w:val="26"/>
          <w:szCs w:val="26"/>
        </w:rPr>
        <w:t xml:space="preserve">4.2 Confidence Score Composition</w:t>
      </w:r>
    </w:p>
    <w:p>
      <w:pPr>
        <w:spacing w:after="160" w:line="276"/>
      </w:pPr>
      <w:r>
        <w:rPr>
          <w:rFonts w:ascii="Calibri" w:cs="Calibri" w:eastAsia="Calibri" w:hAnsi="Calibri"/>
          <w:sz w:val="21"/>
          <w:szCs w:val="21"/>
        </w:rPr>
        <w:t xml:space="preserve">The confidence score is a weighted composite of: intent-classification certainty, policy-retrieval relevance score, precedent-match strength, entity-extraction completeness (order ID, product SKU, dates), and internal self-consistency across revision attempts. The exact weighting is maintained by the Machine Learning team and is out of scope for this handbook; this handbook governs only the routing consequences of the resulting score.</w:t>
      </w:r>
    </w:p>
    <w:p>
      <w:pPr>
        <w:pStyle w:val="Heading2"/>
        <w:spacing w:after="160" w:before="320"/>
      </w:pPr>
      <w:r>
        <w:rPr>
          <w:rFonts w:ascii="Calibri" w:cs="Calibri" w:eastAsia="Calibri" w:hAnsi="Calibri"/>
          <w:b/>
          <w:bCs/>
          <w:color w:val="2E5395"/>
          <w:sz w:val="26"/>
          <w:szCs w:val="26"/>
        </w:rPr>
        <w:t xml:space="preserve">4.3 Confidence Threshold Configuration Reference</w:t>
      </w:r>
    </w:p>
    <w:p>
      <w:pPr>
        <w:spacing w:after="160" w:line="276"/>
      </w:pPr>
      <w:r>
        <w:rPr>
          <w:rFonts w:ascii="Calibri" w:cs="Calibri" w:eastAsia="Calibri" w:hAnsi="Calibri"/>
          <w:sz w:val="21"/>
          <w:szCs w:val="21"/>
        </w:rPr>
        <w:t xml:space="preserve">For LangGraph Escalation Node implementation, the following named constants apply:</w:t>
      </w:r>
    </w:p>
    <w:p>
      <w:pPr>
        <w:pStyle w:val="ListParagraph"/>
        <w:numPr>
          <w:ilvl w:val="0"/>
          <w:numId w:val="2"/>
        </w:numPr>
        <w:spacing w:after="80" w:line="276"/>
      </w:pPr>
      <w:r>
        <w:rPr>
          <w:rFonts w:ascii="Calibri" w:cs="Calibri" w:eastAsia="Calibri" w:hAnsi="Calibri"/>
          <w:sz w:val="21"/>
          <w:szCs w:val="21"/>
        </w:rPr>
        <w:t xml:space="preserve">CONF_AUTO = 0.95</w:t>
      </w:r>
    </w:p>
    <w:p>
      <w:pPr>
        <w:pStyle w:val="ListParagraph"/>
        <w:numPr>
          <w:ilvl w:val="0"/>
          <w:numId w:val="2"/>
        </w:numPr>
        <w:spacing w:after="80" w:line="276"/>
      </w:pPr>
      <w:r>
        <w:rPr>
          <w:rFonts w:ascii="Calibri" w:cs="Calibri" w:eastAsia="Calibri" w:hAnsi="Calibri"/>
          <w:sz w:val="21"/>
          <w:szCs w:val="21"/>
        </w:rPr>
        <w:t xml:space="preserve">CONF_CSR_MIN = 0.80</w:t>
      </w:r>
    </w:p>
    <w:p>
      <w:pPr>
        <w:pStyle w:val="ListParagraph"/>
        <w:numPr>
          <w:ilvl w:val="0"/>
          <w:numId w:val="2"/>
        </w:numPr>
        <w:spacing w:after="80" w:line="276"/>
      </w:pPr>
      <w:r>
        <w:rPr>
          <w:rFonts w:ascii="Calibri" w:cs="Calibri" w:eastAsia="Calibri" w:hAnsi="Calibri"/>
          <w:sz w:val="21"/>
          <w:szCs w:val="21"/>
        </w:rPr>
        <w:t xml:space="preserve">CONF_SUPERVISOR_MIN = 0.60</w:t>
      </w:r>
    </w:p>
    <w:p>
      <w:pPr>
        <w:pStyle w:val="ListParagraph"/>
        <w:numPr>
          <w:ilvl w:val="0"/>
          <w:numId w:val="2"/>
        </w:numPr>
        <w:spacing w:after="80" w:line="276"/>
      </w:pPr>
      <w:r>
        <w:rPr>
          <w:rFonts w:ascii="Calibri" w:cs="Calibri" w:eastAsia="Calibri" w:hAnsi="Calibri"/>
          <w:sz w:val="21"/>
          <w:szCs w:val="21"/>
        </w:rPr>
        <w:t xml:space="preserve">CONF_ESCALATE_BELOW = 0.60</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5. Revision Policy</w:t>
      </w:r>
    </w:p>
    <w:p>
      <w:pPr>
        <w:pStyle w:val="Heading2"/>
        <w:spacing w:after="160" w:before="320"/>
      </w:pPr>
      <w:r>
        <w:rPr>
          <w:rFonts w:ascii="Calibri" w:cs="Calibri" w:eastAsia="Calibri" w:hAnsi="Calibri"/>
          <w:b/>
          <w:bCs/>
          <w:color w:val="2E5395"/>
          <w:sz w:val="26"/>
          <w:szCs w:val="26"/>
        </w:rPr>
        <w:t xml:space="preserve">5.1 Maximum Revision Attempts</w:t>
      </w:r>
    </w:p>
    <w:p>
      <w:pPr>
        <w:spacing w:after="160" w:line="276"/>
      </w:pPr>
      <w:r>
        <w:rPr>
          <w:rFonts w:ascii="Calibri" w:cs="Calibri" w:eastAsia="Calibri" w:hAnsi="Calibri"/>
          <w:sz w:val="21"/>
          <w:szCs w:val="21"/>
        </w:rPr>
        <w:t xml:space="preserve">The Agent is permitted a maximum of two (2) autonomous revision attempts on any single draft resolution before mandatory escalation under trigger R-08. A revision attempt is defined as any regeneration of the proposed resolution content in response to a validation failure, policy-check failure, or reviewer rejection.</w:t>
      </w:r>
    </w:p>
    <w:p>
      <w:pPr>
        <w:pStyle w:val="Heading2"/>
        <w:spacing w:after="160" w:before="320"/>
      </w:pPr>
      <w:r>
        <w:rPr>
          <w:rFonts w:ascii="Calibri" w:cs="Calibri" w:eastAsia="Calibri" w:hAnsi="Calibri"/>
          <w:b/>
          <w:bCs/>
          <w:color w:val="2E5395"/>
          <w:sz w:val="26"/>
          <w:szCs w:val="26"/>
        </w:rPr>
        <w:t xml:space="preserve">5.2 Revision Instructions</w:t>
      </w:r>
    </w:p>
    <w:p>
      <w:pPr>
        <w:spacing w:after="160" w:line="276"/>
      </w:pPr>
      <w:r>
        <w:rPr>
          <w:rFonts w:ascii="Calibri" w:cs="Calibri" w:eastAsia="Calibri" w:hAnsi="Calibri"/>
          <w:sz w:val="21"/>
          <w:szCs w:val="21"/>
        </w:rPr>
        <w:t xml:space="preserve">When a revision is triggered, the Agent must:</w:t>
      </w:r>
    </w:p>
    <w:p>
      <w:pPr>
        <w:pStyle w:val="ListParagraph"/>
        <w:numPr>
          <w:ilvl w:val="0"/>
          <w:numId w:val="3"/>
        </w:numPr>
        <w:spacing w:after="80" w:line="276"/>
      </w:pPr>
      <w:r>
        <w:rPr>
          <w:rFonts w:ascii="Calibri" w:cs="Calibri" w:eastAsia="Calibri" w:hAnsi="Calibri"/>
          <w:sz w:val="21"/>
          <w:szCs w:val="21"/>
        </w:rPr>
        <w:t xml:space="preserve">Retain the original complaint classification and retrieved policy set unless the rejection reason explicitly indicates misclassification.</w:t>
      </w:r>
    </w:p>
    <w:p>
      <w:pPr>
        <w:pStyle w:val="ListParagraph"/>
        <w:numPr>
          <w:ilvl w:val="0"/>
          <w:numId w:val="3"/>
        </w:numPr>
        <w:spacing w:after="80" w:line="276"/>
      </w:pPr>
      <w:r>
        <w:rPr>
          <w:rFonts w:ascii="Calibri" w:cs="Calibri" w:eastAsia="Calibri" w:hAnsi="Calibri"/>
          <w:sz w:val="21"/>
          <w:szCs w:val="21"/>
        </w:rPr>
        <w:t xml:space="preserve">Incorporate the specific rejection reason (structured reason code plus free-text reviewer note, if provided) into the regeneration prompt context.</w:t>
      </w:r>
    </w:p>
    <w:p>
      <w:pPr>
        <w:pStyle w:val="ListParagraph"/>
        <w:numPr>
          <w:ilvl w:val="0"/>
          <w:numId w:val="3"/>
        </w:numPr>
        <w:spacing w:after="80" w:line="276"/>
      </w:pPr>
      <w:r>
        <w:rPr>
          <w:rFonts w:ascii="Calibri" w:cs="Calibri" w:eastAsia="Calibri" w:hAnsi="Calibri"/>
          <w:sz w:val="21"/>
          <w:szCs w:val="21"/>
        </w:rPr>
        <w:t xml:space="preserve">Re-run the compliance validation pass against the revised draft before resubmission.</w:t>
      </w:r>
    </w:p>
    <w:p>
      <w:pPr>
        <w:pStyle w:val="ListParagraph"/>
        <w:numPr>
          <w:ilvl w:val="0"/>
          <w:numId w:val="3"/>
        </w:numPr>
        <w:spacing w:after="80" w:line="276"/>
      </w:pPr>
      <w:r>
        <w:rPr>
          <w:rFonts w:ascii="Calibri" w:cs="Calibri" w:eastAsia="Calibri" w:hAnsi="Calibri"/>
          <w:sz w:val="21"/>
          <w:szCs w:val="21"/>
        </w:rPr>
        <w:t xml:space="preserve">Increment the case's revision counter and log the prior draft, the rejection reason, and the new draft in the audit trail.</w:t>
      </w:r>
    </w:p>
    <w:p>
      <w:pPr>
        <w:pStyle w:val="Heading2"/>
        <w:spacing w:after="160" w:before="320"/>
      </w:pPr>
      <w:r>
        <w:rPr>
          <w:rFonts w:ascii="Calibri" w:cs="Calibri" w:eastAsia="Calibri" w:hAnsi="Calibri"/>
          <w:b/>
          <w:bCs/>
          <w:color w:val="2E5395"/>
          <w:sz w:val="26"/>
          <w:szCs w:val="26"/>
        </w:rPr>
        <w:t xml:space="preserve">5.3 When Regeneration Is Allowed</w:t>
      </w:r>
    </w:p>
    <w:p>
      <w:pPr>
        <w:pStyle w:val="ListParagraph"/>
        <w:numPr>
          <w:ilvl w:val="0"/>
          <w:numId w:val="2"/>
        </w:numPr>
        <w:spacing w:after="80" w:line="276"/>
      </w:pPr>
      <w:r>
        <w:rPr>
          <w:rFonts w:ascii="Calibri" w:cs="Calibri" w:eastAsia="Calibri" w:hAnsi="Calibri"/>
          <w:sz w:val="21"/>
          <w:szCs w:val="21"/>
        </w:rPr>
        <w:t xml:space="preserve">A CSR or Supervisor has rejected a draft with a specific, actionable reason code (e.g., "incorrect refund amount," "tone mismatch," "missing policy citation").</w:t>
      </w:r>
    </w:p>
    <w:p>
      <w:pPr>
        <w:pStyle w:val="ListParagraph"/>
        <w:numPr>
          <w:ilvl w:val="0"/>
          <w:numId w:val="2"/>
        </w:numPr>
        <w:spacing w:after="80" w:line="276"/>
      </w:pPr>
      <w:r>
        <w:rPr>
          <w:rFonts w:ascii="Calibri" w:cs="Calibri" w:eastAsia="Calibri" w:hAnsi="Calibri"/>
          <w:sz w:val="21"/>
          <w:szCs w:val="21"/>
        </w:rPr>
        <w:t xml:space="preserve">An automated compliance check has failed on a factual or policy-citation basis that can plausibly be corrected by regeneration (e.g., a citation to a deprecated policy version).</w:t>
      </w:r>
    </w:p>
    <w:p>
      <w:pPr>
        <w:pStyle w:val="ListParagraph"/>
        <w:numPr>
          <w:ilvl w:val="0"/>
          <w:numId w:val="2"/>
        </w:numPr>
        <w:spacing w:after="80" w:line="276"/>
      </w:pPr>
      <w:r>
        <w:rPr>
          <w:rFonts w:ascii="Calibri" w:cs="Calibri" w:eastAsia="Calibri" w:hAnsi="Calibri"/>
          <w:sz w:val="21"/>
          <w:szCs w:val="21"/>
        </w:rPr>
        <w:t xml:space="preserve">The revision counter for the case is below 2.</w:t>
      </w:r>
    </w:p>
    <w:p>
      <w:pPr>
        <w:pStyle w:val="Heading2"/>
        <w:spacing w:after="160" w:before="320"/>
      </w:pPr>
      <w:r>
        <w:rPr>
          <w:rFonts w:ascii="Calibri" w:cs="Calibri" w:eastAsia="Calibri" w:hAnsi="Calibri"/>
          <w:b/>
          <w:bCs/>
          <w:color w:val="2E5395"/>
          <w:sz w:val="26"/>
          <w:szCs w:val="26"/>
        </w:rPr>
        <w:t xml:space="preserve">5.4 When Regeneration Must Stop</w:t>
      </w:r>
    </w:p>
    <w:p>
      <w:pPr>
        <w:pStyle w:val="ListParagraph"/>
        <w:numPr>
          <w:ilvl w:val="0"/>
          <w:numId w:val="2"/>
        </w:numPr>
        <w:spacing w:after="80" w:line="276"/>
      </w:pPr>
      <w:r>
        <w:rPr>
          <w:rFonts w:ascii="Calibri" w:cs="Calibri" w:eastAsia="Calibri" w:hAnsi="Calibri"/>
          <w:sz w:val="21"/>
          <w:szCs w:val="21"/>
        </w:rPr>
        <w:t xml:space="preserve">The revision counter has reached 2 (mandatory escalation to L3 Supervisor under R-08).</w:t>
      </w:r>
    </w:p>
    <w:p>
      <w:pPr>
        <w:pStyle w:val="ListParagraph"/>
        <w:numPr>
          <w:ilvl w:val="0"/>
          <w:numId w:val="2"/>
        </w:numPr>
        <w:spacing w:after="80" w:line="276"/>
      </w:pPr>
      <w:r>
        <w:rPr>
          <w:rFonts w:ascii="Calibri" w:cs="Calibri" w:eastAsia="Calibri" w:hAnsi="Calibri"/>
          <w:sz w:val="21"/>
          <w:szCs w:val="21"/>
        </w:rPr>
        <w:t xml:space="preserve">The rejection reason indicates a mandatory trigger from Section 3 (e.g., a reviewer notices fraud indicators) — escalate immediately rather than regenerating.</w:t>
      </w:r>
    </w:p>
    <w:p>
      <w:pPr>
        <w:pStyle w:val="ListParagraph"/>
        <w:numPr>
          <w:ilvl w:val="0"/>
          <w:numId w:val="2"/>
        </w:numPr>
        <w:spacing w:after="80" w:line="276"/>
      </w:pPr>
      <w:r>
        <w:rPr>
          <w:rFonts w:ascii="Calibri" w:cs="Calibri" w:eastAsia="Calibri" w:hAnsi="Calibri"/>
          <w:sz w:val="21"/>
          <w:szCs w:val="21"/>
        </w:rPr>
        <w:t xml:space="preserve">The rejection reason indicates the complaint was misclassified at intake — the case must be re-classified from scratch, not revised.</w:t>
      </w:r>
    </w:p>
    <w:p>
      <w:pPr>
        <w:pStyle w:val="ListParagraph"/>
        <w:numPr>
          <w:ilvl w:val="0"/>
          <w:numId w:val="2"/>
        </w:numPr>
        <w:spacing w:after="80" w:line="276"/>
      </w:pPr>
      <w:r>
        <w:rPr>
          <w:rFonts w:ascii="Calibri" w:cs="Calibri" w:eastAsia="Calibri" w:hAnsi="Calibri"/>
          <w:sz w:val="21"/>
          <w:szCs w:val="21"/>
        </w:rPr>
        <w:t xml:space="preserve">The customer has introduced a new mandatory trigger mid-conversation (e.g., mentions legal action) — halt regeneration and escalate under the relevant R-code immediately.</w:t>
      </w:r>
    </w:p>
    <w:p>
      <w:pPr>
        <w:pStyle w:val="Heading2"/>
        <w:spacing w:after="160" w:before="320"/>
      </w:pPr>
      <w:r>
        <w:rPr>
          <w:rFonts w:ascii="Calibri" w:cs="Calibri" w:eastAsia="Calibri" w:hAnsi="Calibri"/>
          <w:b/>
          <w:bCs/>
          <w:color w:val="2E5395"/>
          <w:sz w:val="26"/>
          <w:szCs w:val="26"/>
        </w:rPr>
        <w:t xml:space="preserve">5.5 Termination Conditions</w:t>
      </w:r>
    </w:p>
    <w:p>
      <w:pPr>
        <w:spacing w:after="160" w:line="276"/>
      </w:pPr>
      <w:r>
        <w:rPr>
          <w:rFonts w:ascii="Calibri" w:cs="Calibri" w:eastAsia="Calibri" w:hAnsi="Calibri"/>
          <w:sz w:val="21"/>
          <w:szCs w:val="21"/>
        </w:rPr>
        <w:t xml:space="preserve">A case is terminated from AI-autonomous processing (i.e., permanently removed from the Level 1 resolution path for its current lifecycle) when any of the following occurs:</w:t>
      </w:r>
    </w:p>
    <w:p>
      <w:pPr>
        <w:pStyle w:val="ListParagraph"/>
        <w:numPr>
          <w:ilvl w:val="0"/>
          <w:numId w:val="3"/>
        </w:numPr>
        <w:spacing w:after="80" w:line="276"/>
      </w:pPr>
      <w:r>
        <w:rPr>
          <w:rFonts w:ascii="Calibri" w:cs="Calibri" w:eastAsia="Calibri" w:hAnsi="Calibri"/>
          <w:sz w:val="21"/>
          <w:szCs w:val="21"/>
        </w:rPr>
        <w:t xml:space="preserve">Two consecutive revision attempts have failed to produce an approved draft (R-08).</w:t>
      </w:r>
    </w:p>
    <w:p>
      <w:pPr>
        <w:pStyle w:val="ListParagraph"/>
        <w:numPr>
          <w:ilvl w:val="0"/>
          <w:numId w:val="3"/>
        </w:numPr>
        <w:spacing w:after="80" w:line="276"/>
      </w:pPr>
      <w:r>
        <w:rPr>
          <w:rFonts w:ascii="Calibri" w:cs="Calibri" w:eastAsia="Calibri" w:hAnsi="Calibri"/>
          <w:sz w:val="21"/>
          <w:szCs w:val="21"/>
        </w:rPr>
        <w:t xml:space="preserve">A mandatory escalation trigger fires at any point (Section 3).</w:t>
      </w:r>
    </w:p>
    <w:p>
      <w:pPr>
        <w:pStyle w:val="ListParagraph"/>
        <w:numPr>
          <w:ilvl w:val="0"/>
          <w:numId w:val="3"/>
        </w:numPr>
        <w:spacing w:after="80" w:line="276"/>
      </w:pPr>
      <w:r>
        <w:rPr>
          <w:rFonts w:ascii="Calibri" w:cs="Calibri" w:eastAsia="Calibri" w:hAnsi="Calibri"/>
          <w:sz w:val="21"/>
          <w:szCs w:val="21"/>
        </w:rPr>
        <w:t xml:space="preserve">A human reviewer at any level explicitly marks the case "AI resolution not appropriate."</w:t>
      </w:r>
    </w:p>
    <w:p>
      <w:pPr>
        <w:pStyle w:val="ListParagraph"/>
        <w:numPr>
          <w:ilvl w:val="0"/>
          <w:numId w:val="3"/>
        </w:numPr>
        <w:spacing w:after="80" w:line="276"/>
      </w:pPr>
      <w:r>
        <w:rPr>
          <w:rFonts w:ascii="Calibri" w:cs="Calibri" w:eastAsia="Calibri" w:hAnsi="Calibri"/>
          <w:sz w:val="21"/>
          <w:szCs w:val="21"/>
        </w:rPr>
        <w:t xml:space="preserve">The case has been open beyond the maximum AI-handling window defined in the SLA table (Section 7) without resolution.</w:t>
      </w:r>
    </w:p>
    <w:p>
      <w:pPr>
        <w:pBdr>
          <w:left w:val="single" w:color="BF8F00" w:sz="24" w:space="8"/>
        </w:pBdr>
        <w:shd w:fill="F2F2F2" w:val="clear"/>
        <w:spacing w:after="200" w:before="120"/>
        <w:ind w:left="100"/>
      </w:pPr>
      <w:r>
        <w:rPr>
          <w:rFonts w:ascii="Calibri" w:cs="Calibri" w:eastAsia="Calibri" w:hAnsi="Calibri"/>
          <w:b/>
          <w:bCs/>
          <w:color w:val="BF8F00"/>
          <w:sz w:val="20"/>
          <w:szCs w:val="20"/>
        </w:rPr>
        <w:t xml:space="preserve">IMPORTANT: </w:t>
      </w:r>
      <w:r>
        <w:rPr>
          <w:rFonts w:ascii="Calibri" w:cs="Calibri" w:eastAsia="Calibri" w:hAnsi="Calibri"/>
          <w:i/>
          <w:iCs/>
          <w:sz w:val="20"/>
          <w:szCs w:val="20"/>
        </w:rPr>
        <w:t xml:space="preserve">Termination from the AI-autonomous path is permanent for that case lifecycle. A terminated case may only re-enter Level 1 processing if a human reviewer explicitly re-authorizes AI drafting for a clearly delineated sub-task (e.g., drafting a status update after a Supervisor has already resolved the substantive dispute).</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6. Human Handoff Packet</w:t>
      </w:r>
    </w:p>
    <w:p>
      <w:pPr>
        <w:spacing w:after="160" w:line="276"/>
      </w:pPr>
      <w:r>
        <w:rPr>
          <w:rFonts w:ascii="Calibri" w:cs="Calibri" w:eastAsia="Calibri" w:hAnsi="Calibri"/>
          <w:sz w:val="21"/>
          <w:szCs w:val="21"/>
        </w:rPr>
        <w:t xml:space="preserve">Every escalation, regardless of destination level, must be accompanied by a complete Human Handoff Packet. An escalation without a complete packet is treated as a system defect and must be logged as an incident; receiving teams are authorized to bounce back incomplete packets rather than accept a case missing required fields.</w:t>
      </w:r>
    </w:p>
    <w:p>
      <w:pPr>
        <w:pStyle w:val="Heading2"/>
        <w:spacing w:after="160" w:before="320"/>
      </w:pPr>
      <w:r>
        <w:rPr>
          <w:rFonts w:ascii="Calibri" w:cs="Calibri" w:eastAsia="Calibri" w:hAnsi="Calibri"/>
          <w:b/>
          <w:bCs/>
          <w:color w:val="2E5395"/>
          <w:sz w:val="26"/>
          <w:szCs w:val="26"/>
        </w:rPr>
        <w:t xml:space="preserve">6.1 Mandatory Packet Contents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4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5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Complaint (verbatim)</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Full original customer complaint text, unedited, including all follow-up messages in chronological order</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Order details</w:t>
            </w:r>
          </w:p>
        </w:tc>
        <w:tc>
          <w:tcPr>
            <w:tcW w:type="dxa" w:w="5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Order ID, SKU(s), order date, delivery status, payment method, order value</w:t>
            </w:r>
          </w:p>
        </w:tc>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Classification</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Complaint category, sub-category, and severity rating assigned by the Agent</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Retrieved policies</w:t>
            </w:r>
          </w:p>
        </w:tc>
        <w:tc>
          <w:tcPr>
            <w:tcW w:type="dxa" w:w="5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Full text and version identifiers of every policy clause retrieved and considered</w:t>
            </w:r>
          </w:p>
        </w:tc>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Retrieved precedents</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Case IDs and summaries of similar historical cases used to inform the draft</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Draft response</w:t>
            </w:r>
          </w:p>
        </w:tc>
        <w:tc>
          <w:tcPr>
            <w:tcW w:type="dxa" w:w="5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The Agent's most recent proposed resolution text, even if rejected</w:t>
            </w:r>
          </w:p>
        </w:tc>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Compliance violations</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Any compliance or policy-check failures identified during validation, with rule IDs</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 if any exist</w:t>
            </w:r>
          </w:p>
        </w:tc>
      </w:tr>
      <w:tr>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Reason for escalation</w:t>
            </w:r>
          </w:p>
        </w:tc>
        <w:tc>
          <w:tcPr>
            <w:tcW w:type="dxa" w:w="5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The specific trigger code(s) (R-01 through R-12) or confidence band that caused escalation</w:t>
            </w:r>
          </w:p>
        </w:tc>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Confidence score</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Numeric resolution-confidence score at time of escalation, plus its component breakdown if available</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r>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Revision history</w:t>
            </w:r>
          </w:p>
        </w:tc>
        <w:tc>
          <w:tcPr>
            <w:tcW w:type="dxa" w:w="5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All prior drafts and rejection reasons for this case</w:t>
            </w:r>
          </w:p>
        </w:tc>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 if revisions occurred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profile flags</w:t>
            </w:r>
          </w:p>
        </w:tc>
        <w:tc>
          <w:tcPr>
            <w:tcW w:type="dxa" w:w="5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VIP tier, prior complaint count, lifetime value tier, prior fraud flags</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Yes</w:t>
            </w:r>
          </w:p>
        </w:tc>
      </w:tr>
    </w:tbl>
    <w:p>
      <w:pPr>
        <w:pStyle w:val="Heading2"/>
        <w:spacing w:after="160" w:before="320"/>
      </w:pPr>
      <w:r>
        <w:rPr>
          <w:rFonts w:ascii="Calibri" w:cs="Calibri" w:eastAsia="Calibri" w:hAnsi="Calibri"/>
          <w:b/>
          <w:bCs/>
          <w:color w:val="2E5395"/>
          <w:sz w:val="26"/>
          <w:szCs w:val="26"/>
        </w:rPr>
        <w:t xml:space="preserve">6.2 Packet Formatting Requirements</w:t>
      </w:r>
    </w:p>
    <w:p>
      <w:pPr>
        <w:pStyle w:val="ListParagraph"/>
        <w:numPr>
          <w:ilvl w:val="0"/>
          <w:numId w:val="2"/>
        </w:numPr>
        <w:spacing w:after="80" w:line="276"/>
      </w:pPr>
      <w:r>
        <w:rPr>
          <w:rFonts w:ascii="Calibri" w:cs="Calibri" w:eastAsia="Calibri" w:hAnsi="Calibri"/>
          <w:sz w:val="21"/>
          <w:szCs w:val="21"/>
        </w:rPr>
        <w:t xml:space="preserve">The packet must be delivered as a structured object (JSON schema maintained by Engineering) attached to the case record, not solely as free text.</w:t>
      </w:r>
    </w:p>
    <w:p>
      <w:pPr>
        <w:pStyle w:val="ListParagraph"/>
        <w:numPr>
          <w:ilvl w:val="0"/>
          <w:numId w:val="2"/>
        </w:numPr>
        <w:spacing w:after="80" w:line="276"/>
      </w:pPr>
      <w:r>
        <w:rPr>
          <w:rFonts w:ascii="Calibri" w:cs="Calibri" w:eastAsia="Calibri" w:hAnsi="Calibri"/>
          <w:sz w:val="21"/>
          <w:szCs w:val="21"/>
        </w:rPr>
        <w:t xml:space="preserve">All monetary values must be presented in the order's original currency and in USD-equivalent for cross-team comparability.</w:t>
      </w:r>
    </w:p>
    <w:p>
      <w:pPr>
        <w:pStyle w:val="ListParagraph"/>
        <w:numPr>
          <w:ilvl w:val="0"/>
          <w:numId w:val="2"/>
        </w:numPr>
        <w:spacing w:after="80" w:line="276"/>
      </w:pPr>
      <w:r>
        <w:rPr>
          <w:rFonts w:ascii="Calibri" w:cs="Calibri" w:eastAsia="Calibri" w:hAnsi="Calibri"/>
          <w:sz w:val="21"/>
          <w:szCs w:val="21"/>
        </w:rPr>
        <w:t xml:space="preserve">Timestamps must be in ISO 8601 format with time zone, using the customer's local time zone alongside UTC.</w:t>
      </w:r>
    </w:p>
    <w:p>
      <w:pPr>
        <w:pStyle w:val="ListParagraph"/>
        <w:numPr>
          <w:ilvl w:val="0"/>
          <w:numId w:val="2"/>
        </w:numPr>
        <w:spacing w:after="80" w:line="276"/>
      </w:pPr>
      <w:r>
        <w:rPr>
          <w:rFonts w:ascii="Calibri" w:cs="Calibri" w:eastAsia="Calibri" w:hAnsi="Calibri"/>
          <w:sz w:val="21"/>
          <w:szCs w:val="21"/>
        </w:rPr>
        <w:t xml:space="preserve">Redaction of full payment card numbers and other PII beyond the last four digits is mandatory in any packet visible outside the secured case-management system.</w:t>
      </w:r>
    </w:p>
    <w:p>
      <w:pPr>
        <w:pBdr>
          <w:left w:val="single" w:color="BF8F00" w:sz="24" w:space="8"/>
        </w:pBdr>
        <w:shd w:fill="F2F2F2" w:val="clear"/>
        <w:spacing w:after="200" w:before="120"/>
        <w:ind w:left="100"/>
      </w:pPr>
      <w:r>
        <w:rPr>
          <w:rFonts w:ascii="Calibri" w:cs="Calibri" w:eastAsia="Calibri" w:hAnsi="Calibri"/>
          <w:b/>
          <w:bCs/>
          <w:color w:val="BF8F00"/>
          <w:sz w:val="20"/>
          <w:szCs w:val="20"/>
        </w:rPr>
        <w:t xml:space="preserve">OPERATING PRINCIPLE: </w:t>
      </w:r>
      <w:r>
        <w:rPr>
          <w:rFonts w:ascii="Calibri" w:cs="Calibri" w:eastAsia="Calibri" w:hAnsi="Calibri"/>
          <w:i/>
          <w:iCs/>
          <w:sz w:val="20"/>
          <w:szCs w:val="20"/>
        </w:rPr>
        <w:t xml:space="preserve">The Human Handoff Packet is the single source of truth for the receiving human. Receiving staff should not be expected to independently query upstream systems to reconstruct missing context; if the packet is incomplete, the correct action is to reject the handoff back to the queue with a specific missing-field reason, not to proceed with partial information.</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7. Escalation SLA</w:t>
      </w:r>
    </w:p>
    <w:p>
      <w:pPr>
        <w:pStyle w:val="Heading2"/>
        <w:spacing w:after="160" w:before="320"/>
      </w:pPr>
      <w:r>
        <w:rPr>
          <w:rFonts w:ascii="Calibri" w:cs="Calibri" w:eastAsia="Calibri" w:hAnsi="Calibri"/>
          <w:b/>
          <w:bCs/>
          <w:color w:val="2E5395"/>
          <w:sz w:val="26"/>
          <w:szCs w:val="26"/>
        </w:rPr>
        <w:t xml:space="preserve">7.1 Maximum Transfer Times and Response Expectations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3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Escalation Level</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Maximum Transfer Time</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First Human Response SLA</w:t>
            </w:r>
          </w:p>
        </w:tc>
        <w:tc>
          <w:tcPr>
            <w:tcW w:type="dxa" w:w="2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Full Resolution SLA</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 L2 (CSR)</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 minutes</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30 minutes</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 business hours</w:t>
            </w:r>
          </w:p>
        </w:tc>
      </w:tr>
      <w:tr>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 L3 (Supervisor)</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 minutes</w:t>
            </w:r>
          </w:p>
        </w:tc>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 business hour</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 business hours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 L4 (Duty Manager)</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 minutes</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 business hour</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24 hours</w:t>
            </w:r>
          </w:p>
        </w:tc>
      </w:tr>
      <w:tr>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Any → L5 (Trust &amp; Safety)</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 minutes</w:t>
            </w:r>
          </w:p>
        </w:tc>
        <w:tc>
          <w:tcPr>
            <w:tcW w:type="dxa" w:w="2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 business hour</w:t>
            </w:r>
          </w:p>
        </w:tc>
        <w:tc>
          <w:tcPr>
            <w:tcW w:type="dxa" w:w="2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48 hours (investigation may extend)</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Any → L6 (Legal)</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 minutes (5 minutes if Critical)</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 business hours</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 Legal case management; no fixed cap</w:t>
            </w:r>
          </w:p>
        </w:tc>
      </w:tr>
    </w:tbl>
    <w:p>
      <w:pPr>
        <w:pStyle w:val="Heading2"/>
        <w:spacing w:after="160" w:before="320"/>
      </w:pPr>
      <w:r>
        <w:rPr>
          <w:rFonts w:ascii="Calibri" w:cs="Calibri" w:eastAsia="Calibri" w:hAnsi="Calibri"/>
          <w:b/>
          <w:bCs/>
          <w:color w:val="2E5395"/>
          <w:sz w:val="26"/>
          <w:szCs w:val="26"/>
        </w:rPr>
        <w:t xml:space="preserve">7.2 Priority Matrix</w:t>
      </w:r>
    </w:p>
    <w:p>
      <w:pPr>
        <w:spacing w:after="160" w:line="276"/>
      </w:pPr>
      <w:r>
        <w:rPr>
          <w:rFonts w:ascii="Calibri" w:cs="Calibri" w:eastAsia="Calibri" w:hAnsi="Calibri"/>
          <w:sz w:val="21"/>
          <w:szCs w:val="21"/>
        </w:rPr>
        <w:t xml:space="preserve">Priority is assigned independently of escalation level and determines queue ordering within a receiving team. A P0 case escalated to L2 CSR takes precedence over a P2 case escalated to L2 CSR.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3200"/>
        <w:gridCol w:w="1800"/>
      </w:tblGrid>
      <w:tr>
        <w:trPr>
          <w:tblHeader/>
        </w:trPr>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c>
          <w:tcPr>
            <w:tcW w:type="dxa" w:w="2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Examples</w:t>
            </w:r>
          </w:p>
        </w:tc>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Max Transfer Time</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P0 — Critical</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Safety risk, legal/regulatory exposure, active fraud, media exposure</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Allergic reaction, active chargeback, police complaint</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 minutes</w:t>
            </w:r>
          </w:p>
        </w:tc>
      </w:tr>
      <w:tr>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P1 — High</w:t>
            </w:r>
          </w:p>
        </w:tc>
        <w:tc>
          <w:tcPr>
            <w:tcW w:type="dxa" w:w="2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Significant financial exposure or VIP customer, no immediate safety/legal risk</w:t>
            </w:r>
          </w:p>
        </w:tc>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VIP refund dispute &gt; $1,000</w:t>
            </w:r>
          </w:p>
        </w:tc>
        <w:tc>
          <w:tcPr>
            <w:tcW w:type="dxa" w:w="18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 minutes</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P2 — Standard</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Moderate complexity, standard monetary exposure</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Policy conflict, low confidence, repeated revision failure</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30 minutes</w:t>
            </w:r>
          </w:p>
        </w:tc>
      </w:tr>
      <w:tr>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P3 — Low</w:t>
            </w:r>
          </w:p>
        </w:tc>
        <w:tc>
          <w:tcPr>
            <w:tcW w:type="dxa" w:w="2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Routine review with no time-sensitive risk</w:t>
            </w:r>
          </w:p>
        </w:tc>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CSR spot-check of 80–95% confidence draft</w:t>
            </w:r>
          </w:p>
        </w:tc>
        <w:tc>
          <w:tcPr>
            <w:tcW w:type="dxa" w:w="18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 hours</w:t>
            </w:r>
          </w:p>
        </w:tc>
      </w:tr>
    </w:tbl>
    <w:p>
      <w:pPr>
        <w:pStyle w:val="Heading2"/>
        <w:spacing w:after="160" w:before="320"/>
      </w:pPr>
      <w:r>
        <w:rPr>
          <w:rFonts w:ascii="Calibri" w:cs="Calibri" w:eastAsia="Calibri" w:hAnsi="Calibri"/>
          <w:b/>
          <w:bCs/>
          <w:color w:val="2E5395"/>
          <w:sz w:val="26"/>
          <w:szCs w:val="26"/>
        </w:rPr>
        <w:t xml:space="preserve">7.3 SLA Breach Handling</w:t>
      </w:r>
    </w:p>
    <w:p>
      <w:pPr>
        <w:spacing w:after="160" w:line="276"/>
      </w:pPr>
      <w:r>
        <w:rPr>
          <w:rFonts w:ascii="Calibri" w:cs="Calibri" w:eastAsia="Calibri" w:hAnsi="Calibri"/>
          <w:sz w:val="21"/>
          <w:szCs w:val="21"/>
        </w:rPr>
        <w:t xml:space="preserve">If a maximum transfer time is at risk of breach (80% of the window elapsed with no human acknowledgment), the LangGraph Escalation Node must automatically re-route the notification to the next-level manager on the receiving team and log an SLA-risk event. A confirmed breach (100% of window elapsed with no acknowledgment) triggers an automatic escalation one level up the hierarchy, in addition to the original routing, and generates an operational incident ticket.</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8. Escalation Decision Matrix</w:t>
      </w:r>
    </w:p>
    <w:p>
      <w:pPr>
        <w:pStyle w:val="Heading2"/>
        <w:spacing w:after="160" w:before="320"/>
      </w:pPr>
      <w:r>
        <w:rPr>
          <w:rFonts w:ascii="Calibri" w:cs="Calibri" w:eastAsia="Calibri" w:hAnsi="Calibri"/>
          <w:b/>
          <w:bCs/>
          <w:color w:val="2E5395"/>
          <w:sz w:val="26"/>
          <w:szCs w:val="26"/>
        </w:rPr>
        <w:t xml:space="preserve">8.1 Complaint Type to Destination Team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2100"/>
        <w:gridCol w:w="2500"/>
      </w:tblGrid>
      <w:tr>
        <w:trPr>
          <w:tblHeader/>
        </w:trPr>
        <w:tc>
          <w:tcPr>
            <w:tcW w:type="dxa" w:w="3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Complaint Type</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Typical Severity</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Typical Confidence</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Default Destination</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Late delivery</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Low–Medium</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 (≥90%)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Wrong item shipped</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 (85–95%)</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 L2 CSR</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Damaged item</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 (70–85%)</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 not received</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 (80–95%)</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defect / malfunction</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Medium–High</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 (60–80%)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discrepancy</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 (65–85%)</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 / L3 Supervisor</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Counterfeit product allegation</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Low–Medium (below 70%)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 / L5 Trust &amp; Safety</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Account access issue</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 (70–85%)</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Suspected fraud on account</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Chargeback notification</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notice received</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Consumer court filing</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Police complaint referenced</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 + L6 Legal</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Media inquiry / threat</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 + Corp. Communications</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Safety hazard / injury</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N/A — overridden</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 + L5 Trust &amp; Safety</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VIP escalation request</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Medium–High</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Any</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Repeated complaint (3rd+ time, same issue)</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Any</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 minimum</w:t>
            </w:r>
          </w:p>
        </w:tc>
      </w:tr>
      <w:tr>
        <w:tc>
          <w:tcPr>
            <w:tcW w:type="dxa" w:w="3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Cross-border customs dispute</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Medium–High</w:t>
            </w:r>
          </w:p>
        </w:tc>
        <w:tc>
          <w:tcPr>
            <w:tcW w:type="dxa" w:w="21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Low–Medium</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 / L4 Duty Manager</w:t>
            </w:r>
          </w:p>
        </w:tc>
      </w:tr>
    </w:tbl>
    <w:p>
      <w:pPr>
        <w:pStyle w:val="Heading2"/>
        <w:spacing w:after="160" w:before="320"/>
      </w:pPr>
      <w:r>
        <w:rPr>
          <w:rFonts w:ascii="Calibri" w:cs="Calibri" w:eastAsia="Calibri" w:hAnsi="Calibri"/>
          <w:b/>
          <w:bCs/>
          <w:color w:val="2E5395"/>
          <w:sz w:val="26"/>
          <w:szCs w:val="26"/>
        </w:rPr>
        <w:t xml:space="preserve">8.2 Severity Classification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200"/>
        <w:gridCol w:w="1900"/>
      </w:tblGrid>
      <w:tr>
        <w:trPr>
          <w:tblHeader/>
        </w:trPr>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Severity</w:t>
            </w:r>
          </w:p>
        </w:tc>
        <w:tc>
          <w:tcPr>
            <w:tcW w:type="dxa" w:w="3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Financial Threshold</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Escalation Floor</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Low</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Minor inconvenience, no financial or safety impact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&lt; $50</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 eligible</w:t>
            </w:r>
          </w:p>
        </w:tc>
      </w:tr>
      <w:tr>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38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Moderate inconvenience or financial impact, recoverable via standard remedy</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$50 – $500</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 minimum</w:t>
            </w:r>
          </w:p>
        </w:tc>
      </w:tr>
      <w:t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Significant financial impact, customer relationship risk, or repeat pattern</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$501 – $2,500</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 minimum</w:t>
            </w:r>
          </w:p>
        </w:tc>
      </w:tr>
      <w:tr>
        <w:tc>
          <w:tcPr>
            <w:tcW w:type="dxa" w:w="1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c>
          <w:tcPr>
            <w:tcW w:type="dxa" w:w="38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Safety, legal, regulatory, fraud, or media exposure regardless of dollar value</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Any value</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 minimum; frequently L5/L6</w:t>
            </w:r>
          </w:p>
        </w:tc>
      </w:tr>
    </w:tbl>
    <w:p>
      <w:pPr>
        <w:pStyle w:val="Heading2"/>
        <w:spacing w:after="160" w:before="320"/>
      </w:pPr>
      <w:r>
        <w:rPr>
          <w:rFonts w:ascii="Calibri" w:cs="Calibri" w:eastAsia="Calibri" w:hAnsi="Calibri"/>
          <w:b/>
          <w:bCs/>
          <w:color w:val="2E5395"/>
          <w:sz w:val="26"/>
          <w:szCs w:val="26"/>
        </w:rPr>
        <w:t xml:space="preserve">8.3 Combined Routing Logic</w:t>
      </w:r>
    </w:p>
    <w:p>
      <w:pPr>
        <w:spacing w:after="160" w:line="276"/>
      </w:pPr>
      <w:r>
        <w:rPr>
          <w:rFonts w:ascii="Calibri" w:cs="Calibri" w:eastAsia="Calibri" w:hAnsi="Calibri"/>
          <w:sz w:val="21"/>
          <w:szCs w:val="21"/>
        </w:rPr>
        <w:t xml:space="preserve">Routing is determined by evaluating, in strict order: (1) mandatory triggers from Section 3; (2) severity floor from Section 8.2; (3) confidence band from Section 4; (4) complaint-type default from Section 8.1. The most restrictive (highest-authority) outcome across these four evaluations governs the final destination. This ensures that, for example, a high-confidence billing discrepancy that also triggers a fraud signal is correctly routed to Trust &amp; Safety rather than resolved automatically.</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9. Exception Cases</w:t>
      </w:r>
    </w:p>
    <w:p>
      <w:pPr>
        <w:spacing w:after="160" w:line="276"/>
      </w:pPr>
      <w:r>
        <w:rPr>
          <w:rFonts w:ascii="Calibri" w:cs="Calibri" w:eastAsia="Calibri" w:hAnsi="Calibri"/>
          <w:sz w:val="21"/>
          <w:szCs w:val="21"/>
        </w:rPr>
        <w:t xml:space="preserve">The following operating conditions temporarily modify standard escalation behavior. Exception mode is activated centrally by Customer Operations leadership and reflected as a global flag consumed by the LangGraph Escalation Node; individual agents or CSRs cannot self-declare exception mode.</w:t>
      </w:r>
    </w:p>
    <w:p>
      <w:pPr>
        <w:pStyle w:val="Heading2"/>
        <w:spacing w:after="160" w:before="320"/>
      </w:pPr>
      <w:r>
        <w:rPr>
          <w:rFonts w:ascii="Calibri" w:cs="Calibri" w:eastAsia="Calibri" w:hAnsi="Calibri"/>
          <w:b/>
          <w:bCs/>
          <w:color w:val="2E5395"/>
          <w:sz w:val="26"/>
          <w:szCs w:val="26"/>
        </w:rPr>
        <w:t xml:space="preserve">9.1 Natural Disaster</w:t>
      </w:r>
    </w:p>
    <w:p>
      <w:pPr>
        <w:spacing w:after="160" w:line="276"/>
      </w:pPr>
      <w:r>
        <w:rPr>
          <w:rFonts w:ascii="Calibri" w:cs="Calibri" w:eastAsia="Calibri" w:hAnsi="Calibri"/>
          <w:sz w:val="21"/>
          <w:szCs w:val="21"/>
        </w:rPr>
        <w:t xml:space="preserve">When a natural disaster is declared affecting a delivery region (flag: EXC_DISASTER), the Agent must suspend standard delivery-delay penalties and late-delivery auto-resolution for affected postal codes, and instead route all delivery-related complaints from the affected region to L2 CSR with a disaster-context note attached, regardless of confidence score. Refund/reship remedies remain governed by standard monetary thresholds.</w:t>
      </w:r>
    </w:p>
    <w:p>
      <w:pPr>
        <w:pStyle w:val="Heading2"/>
        <w:spacing w:after="160" w:before="320"/>
      </w:pPr>
      <w:r>
        <w:rPr>
          <w:rFonts w:ascii="Calibri" w:cs="Calibri" w:eastAsia="Calibri" w:hAnsi="Calibri"/>
          <w:b/>
          <w:bCs/>
          <w:color w:val="2E5395"/>
          <w:sz w:val="26"/>
          <w:szCs w:val="26"/>
        </w:rPr>
        <w:t xml:space="preserve">9.2 System Outage</w:t>
      </w:r>
    </w:p>
    <w:p>
      <w:pPr>
        <w:spacing w:after="160" w:line="276"/>
      </w:pPr>
      <w:r>
        <w:rPr>
          <w:rFonts w:ascii="Calibri" w:cs="Calibri" w:eastAsia="Calibri" w:hAnsi="Calibri"/>
          <w:sz w:val="21"/>
          <w:szCs w:val="21"/>
        </w:rPr>
        <w:t xml:space="preserve">When a NovaMart or third-party logistics/payment system outage is declared (flag: EXC_OUTAGE), the Agent must halt autonomous resolution of any complaint category dependent on the affected system (e.g., halt refund auto-approval if the payment gateway is down) and escalate affected cases to L2 CSR with an explicit outage-dependency note, so that human staff can apply manual workarounds or hold the case until systems recover.</w:t>
      </w:r>
    </w:p>
    <w:p>
      <w:pPr>
        <w:pStyle w:val="Heading2"/>
        <w:spacing w:after="160" w:before="320"/>
      </w:pPr>
      <w:r>
        <w:rPr>
          <w:rFonts w:ascii="Calibri" w:cs="Calibri" w:eastAsia="Calibri" w:hAnsi="Calibri"/>
          <w:b/>
          <w:bCs/>
          <w:color w:val="2E5395"/>
          <w:sz w:val="26"/>
          <w:szCs w:val="26"/>
        </w:rPr>
        <w:t xml:space="preserve">9.3 Warehouse Fire (or Comparable Physical Incident)</w:t>
      </w:r>
    </w:p>
    <w:p>
      <w:pPr>
        <w:spacing w:after="160" w:line="276"/>
      </w:pPr>
      <w:r>
        <w:rPr>
          <w:rFonts w:ascii="Calibri" w:cs="Calibri" w:eastAsia="Calibri" w:hAnsi="Calibri"/>
          <w:sz w:val="21"/>
          <w:szCs w:val="21"/>
        </w:rPr>
        <w:t xml:space="preserve">When a warehouse-incident flag is active (flag: EXC_WAREHOUSE), all complaints referencing orders fulfilled from or inventory located at the affected facility are automatically escalated to L4 Duty Manager, regardless of confidence or category, because such cases frequently involve inventory-loss accounting, insurance implications, and coordinated customer communications that exceed CSR authority.</w:t>
      </w:r>
    </w:p>
    <w:p>
      <w:pPr>
        <w:pStyle w:val="Heading2"/>
        <w:spacing w:after="160" w:before="320"/>
      </w:pPr>
      <w:r>
        <w:rPr>
          <w:rFonts w:ascii="Calibri" w:cs="Calibri" w:eastAsia="Calibri" w:hAnsi="Calibri"/>
          <w:b/>
          <w:bCs/>
          <w:color w:val="2E5395"/>
          <w:sz w:val="26"/>
          <w:szCs w:val="26"/>
        </w:rPr>
        <w:t xml:space="preserve">9.4 Product Recall</w:t>
      </w:r>
    </w:p>
    <w:p>
      <w:pPr>
        <w:spacing w:after="160" w:line="276"/>
      </w:pPr>
      <w:r>
        <w:rPr>
          <w:rFonts w:ascii="Calibri" w:cs="Calibri" w:eastAsia="Calibri" w:hAnsi="Calibri"/>
          <w:sz w:val="21"/>
          <w:szCs w:val="21"/>
        </w:rPr>
        <w:t xml:space="preserve">When a product recall is active for a SKU (flag: EXC_RECALL, tied to a specific SKU or SKU family), any complaint referencing that SKU is automatically escalated to L5 Trust &amp; Safety regardless of confidence score, because recalls carry safety and regulatory dimensions that require centralized handling and consistent customer communication approved by Legal and Trust &amp; Safety jointly.</w:t>
      </w:r>
    </w:p>
    <w:p>
      <w:pPr>
        <w:pStyle w:val="Heading2"/>
        <w:spacing w:after="160" w:before="320"/>
      </w:pPr>
      <w:r>
        <w:rPr>
          <w:rFonts w:ascii="Calibri" w:cs="Calibri" w:eastAsia="Calibri" w:hAnsi="Calibri"/>
          <w:b/>
          <w:bCs/>
          <w:color w:val="2E5395"/>
          <w:sz w:val="26"/>
          <w:szCs w:val="26"/>
        </w:rPr>
        <w:t xml:space="preserve">9.5 Cross-Border Orders</w:t>
      </w:r>
    </w:p>
    <w:p>
      <w:pPr>
        <w:spacing w:after="160" w:line="276"/>
      </w:pPr>
      <w:r>
        <w:rPr>
          <w:rFonts w:ascii="Calibri" w:cs="Calibri" w:eastAsia="Calibri" w:hAnsi="Calibri"/>
          <w:sz w:val="21"/>
          <w:szCs w:val="21"/>
        </w:rPr>
        <w:t xml:space="preserve">Complaints on cross-border orders are subject to additional routing considerations: customs disputes, import-duty disagreements, and country-specific consumer-protection variations. The Agent may auto-resolve only cross-border complaints in the "delivery status" and "tracking clarification" categories; all refund, customs, and duty-related cross-border complaints route to L3 Supervisor minimum, since remedy calculations differ by jurisdiction and currency-conversion rules require human verification.</w:t>
      </w:r>
    </w:p>
    <w:p>
      <w:pPr>
        <w:pBdr>
          <w:left w:val="single" w:color="C00000" w:sz="24" w:space="8"/>
        </w:pBdr>
        <w:shd w:fill="F2F2F2" w:val="clear"/>
        <w:spacing w:after="200" w:before="120"/>
        <w:ind w:left="100"/>
      </w:pPr>
      <w:r>
        <w:rPr>
          <w:rFonts w:ascii="Calibri" w:cs="Calibri" w:eastAsia="Calibri" w:hAnsi="Calibri"/>
          <w:b/>
          <w:bCs/>
          <w:color w:val="C00000"/>
          <w:sz w:val="20"/>
          <w:szCs w:val="20"/>
        </w:rPr>
        <w:t xml:space="preserve">CRITICAL RULE: </w:t>
      </w:r>
      <w:r>
        <w:rPr>
          <w:rFonts w:ascii="Calibri" w:cs="Calibri" w:eastAsia="Calibri" w:hAnsi="Calibri"/>
          <w:i/>
          <w:iCs/>
          <w:sz w:val="20"/>
          <w:szCs w:val="20"/>
        </w:rPr>
        <w:t xml:space="preserve">Exception flags are additive to, not a replacement for, mandatory triggers in Section 3. A fraud signal during a declared system outage still routes to Trust &amp; Safety, not merely to CSR under the outage exception.</w:t>
      </w:r>
    </w:p>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10. Worked Examples</w:t>
      </w:r>
    </w:p>
    <w:p>
      <w:pPr>
        <w:spacing w:after="160" w:line="276"/>
      </w:pPr>
      <w:r>
        <w:rPr>
          <w:rFonts w:ascii="Calibri" w:cs="Calibri" w:eastAsia="Calibri" w:hAnsi="Calibri"/>
          <w:sz w:val="21"/>
          <w:szCs w:val="21"/>
        </w:rPr>
        <w:t xml:space="preserve">The following 32 scenarios illustrate the application of this handbook's rules to representative complaint patterns. These examples are for internal training and LangGraph routing-logic validation purposes only and must never be reused as customer-facing text.</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900"/>
        <w:gridCol w:w="2200"/>
        <w:gridCol w:w="1600"/>
        <w:gridCol w:w="2600"/>
        <w:gridCol w:w="2500"/>
      </w:tblGrid>
      <w:tr>
        <w:trPr>
          <w:tblHeader/>
        </w:trPr>
        <w:tc>
          <w:tcPr>
            <w:tcW w:type="dxa" w:w="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Complaint</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Classification</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Triggered Rule</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Level</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Reason</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Outcome</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Package marked delivered but customer says not received; order value $32</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Delivery — Non-receipt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(standard, conf. 96%)</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High-confidence, low-value, standard remedy category</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auto-approves reshipment; case closed in 4 minutes</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requests refund of $875 for a damaged home appliance</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 Damaged Item</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R-01 Refund exceeds L1/L2 authority</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Remedy value ($875) exceeds CSR $250 authority, within Supervisor $1,000 limit</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approves partial refund plus replacement per policy</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Customer's message contains multiple rapid address changes and a mismatched billing name</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Account — Suspicious Activity</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R-02 Fraud suspicion</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Fraud-signal model score exceeds threshold on account velocity and identity mismatch</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Order placed on hold pending identity verification</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attaches a scanned cease-and-desist letter from an attorney regarding a data privacy claim</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 Formal Notice</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R-03 Legal notice</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Attached document is a formal legal notice</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Case transferred to Legal within 5 minutes per Critical SLA</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states they have filed a claim with the small-claims court over an undelivered order</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 Consumer Court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R-04 Consumer court</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Explicit statement of court filing</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opens formal case file; customer contact frozen pending Legal review</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Payment processor notifies NovaMart of a $210 chargeback on a completed order</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Chargeback</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R-05 Chargeback</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Chargeback notification received from processor</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coordinates with Finance to prepare dispute response</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7</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states they filed a police report after their package was stolen from their porch</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Delivery — Theft / Police Involvement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R-06 Police complaint</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 (cc Legal)</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referenced filing a police report</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Trust &amp; Safety opens investigation; reshipment held pending review</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threatens to "go to the local news" about a recurring billing error</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Escalation Threat</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R-07 Media complaint</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 + Corporate Communications</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Explicit reference to media outlet</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and Communications jointly prepare response strategy</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AI-drafted refund resolution rejected twice by CSR for incorrect amount calculation</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Refund Calculation</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R-08 Repeated failed revisions</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Two consecutive revision attempts failed (revision cap reached)</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manually recalculates and issues correct refund</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Complaint about a mis-sized clothing item; classifier confidence returns 54%</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 Sizing / Fit</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R-09 Low confidence</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Confidence below 60% mandatory escalation floor</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reviews product listing accuracy and approves exchange</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11</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Return request where warranty policy and regional return policy yield contradictory remedies</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Policy — Conflicting Clauses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R-10 Multiple policy conflicts</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Two retrieved policy clauses produced contradictory remedies</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applies regional policy per precedence rule and documents rationale</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12</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Platinum-tier VIP customer requests an exception to the standard 30-day return window</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Returns — Policy Exception</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R-11 VIP customer exception</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VIP tier flag present with out-of-policy request</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Duty Manager approves one-time exception as documented goodwill gesture</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13</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reports a foreign object found in a packaged food product</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Safety — Contamination</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R-12 Critical severity</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 + L5 Trust &amp; Safety</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Safety-hazard classification triggers Critical severity floor</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pulled for inspection; customer contacted by Duty Manager within SLA</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14</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asks for tracking status update on an in-transit order</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Delivery — Status Inquiry</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(standard, conf. 99%)</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Simple informational request, no monetary component</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provides tracking update automatically</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received the wrong color of an ordered item, requests correct item shipped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Fulfillment — Wrong Item</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(standard, conf. 91%)</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 confidence, standard remedy, value under $50 threshold</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auto-approves correct-item reshipment with prepaid return label</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16</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disputes a $180 restocking fee applied to a returned electronics item</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Fee Dispute</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(conf. 83%, standard remedy $180)</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Confidence in 80–95% band; remedy within CSR authority</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CSR reviews fee application and issues partial waiver per policy</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17</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reports item arrived with visible shipping damage, requests $95 partial refund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 Damaged Item</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(conf. 88%)</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Confidence in CSR review band</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CSR approves partial refund after reviewing photos</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18</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complains their loyalty points were not credited after a qualifying purchase</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Loyalty Program — Points Discrepancy</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(conf. 72%)</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Confidence in 60–80% Supervisor band due to ambiguous qualifying-purchase rules</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manually verifies purchase and credits points</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19</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Customer's complaint text includes an ambiguous, potentially threatening statement about "making NovaMart pay"</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Escalation — Ambiguous Threat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R-09 Low confidence + escalation for judgment</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Ambiguous severity requiring human judgment beyond Supervisor scope</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Duty Manager reviews full context; determines no genuine threat, resolves complaint</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Third complaint from the same customer this month regarding recurring late deliveries</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Delivery — Repeat Pattern</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Repeated complaint pattern (severity escalation)</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Repeat-complaint floor requires Supervisor minimum per Section 8.1</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issues account-level remedy and flags logistics route for review</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21</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in Germany disputes an unexpected customs duty charge on a cross-border order</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Cross-Border — Customs Dispute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Cross-border refund/duty routing rule (Section 9.5)</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Cross-border duty disputes require Supervisor minimum regardless of confidence</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verifies duty calculation and issues goodwill credit for the differential</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22</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requests refund during an active declared regional flood affecting their delivery area</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Delivery — Disaster-Affected Region</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EXC_DISASTER exception routing</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Active disaster flag suspends standard late-delivery auto-resolution</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CSR applies disaster-context policy and extends delivery window without penalty</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23</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requests refund while the payment gateway is under a declared system outage</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Refund During Outage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EXC_OUTAGE exception routing</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Refund category depends on the affected payment system</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CSR manually queues refund for processing once gateway is restored</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24</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Customer's order was fulfilled from a warehouse that experienced a declared fire incident</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Fulfillment — Warehouse Incident</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EXC_WAREHOUSE exception routing</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All complaints tied to the affected facility auto-escalate per Section 9.3</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Duty Manager coordinates replacement fulfillment from an alternate facility</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25</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reports illness after using a product later confirmed under an active recall</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Safety — Active Recall</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EXC_RECALL exception routing</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SKU is subject to an active recall flag</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Trust &amp; Safety opens formal case; Legal notified in parallel; refund and medical-contact information provided under approved recall script</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26</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requests a $45 refund but simultaneously references contacting their bank about a dispute</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Refund with Chargeback Signal</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R-05 Chargeback (override) supersedes low value</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Chargeback reference overrides standard low-value auto-resolution eligibility</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Case frozen from auto-resolution and transferred to Legal for coordinated response</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27</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classifies a complaint as a simple delivery delay, but confidence engine flags conflicting entity extraction (two different order IDs referenced)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Delivery — Ambiguous Order Reference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R-09 Low confidence (data ambiguity)</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L3 Supervisor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Entity-extraction inconsistency drives confidence below 60%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 manually confirms correct order ID and resolves delay complaint</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28</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with no prior complaint history requests a $40 courtesy credit for a minor packaging issue</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 Minor Issue</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(standard, conf. 97%)</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L1 AI Agent</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 confidence, low value, no triggers present</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AI auto-approves courtesy credit</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29</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VIP customer requests refund of $3,200 for a bulk corporate order damaged in transit</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Product — Damaged Item (VIP, High Value)</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R-01 Refund exceeds authority + R-11 VIP exception</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L4 Duty Manager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Both monetary threshold and VIP-exception triggers fire simultaneously; most restrictive governs</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Duty Manager approves full refund and arranges expedited replacement shipment</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30</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Customer's message references both a suspected fraudulent charge and a request for a $2,500 refund</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Billing — Suspected Fraud + High Value</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R-02 Fraud suspicion (override) + R-01</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L5 Trust &amp; Safety</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Fraud trigger overrides confidence and takes precedence over standard monetary routing</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Trust &amp; Safety investigates transaction before any refund is authorized</w:t>
            </w:r>
          </w:p>
        </w:tc>
      </w:tr>
      <w:tr>
        <w:tc>
          <w:tcPr>
            <w:tcW w:type="dxa" w:w="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31</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complains about competitor pricing and asks NovaMart to price-match retroactively</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Pricing — Price Match Request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None (standard, conf. 89%)</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L2 CSR</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Standard policy question within CSR discretion, confidence in CSR band</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CSR evaluates against price-match policy and issues partial credit</w:t>
            </w:r>
          </w:p>
        </w:tc>
      </w:tr>
      <w:tr>
        <w:tc>
          <w:tcPr>
            <w:tcW w:type="dxa" w:w="4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32</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Anonymous social-media-referenced complaint escalated internally after being tagged by Corporate Communications as high visibility</w:t>
            </w:r>
          </w:p>
        </w:tc>
        <w:tc>
          <w:tcPr>
            <w:tcW w:type="dxa" w:w="19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Escalation — High Visibility</w:t>
            </w:r>
          </w:p>
        </w:tc>
        <w:tc>
          <w:tcPr>
            <w:tcW w:type="dxa" w:w="2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R-07 Media complaint (adjacent) + Critical severity</w:t>
            </w:r>
          </w:p>
        </w:tc>
        <w:tc>
          <w:tcPr>
            <w:tcW w:type="dxa" w:w="1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L6 Legal + Corporate Communications</w:t>
            </w:r>
          </w:p>
        </w:tc>
        <w:tc>
          <w:tcPr>
            <w:tcW w:type="dxa" w:w="26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Case flagged externally as high-visibility, invoking media-complaint handling by analogy</w:t>
            </w:r>
          </w:p>
        </w:tc>
        <w:tc>
          <w:tcPr>
            <w:tcW w:type="dxa" w:w="2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Legal and Communications jointly approve a single coordinated response before any customer contact</w:t>
            </w:r>
          </w:p>
        </w:tc>
      </w:tr>
    </w:tbl>
    <w:p>
      <w:r>
        <w:br w:type="page"/>
      </w:r>
    </w:p>
    <w:p>
      <w:pPr>
        <w:pStyle w:val="Heading1"/>
        <w:pBdr>
          <w:bottom w:val="single" w:color="1F3864" w:sz="12" w:space="4"/>
        </w:pBdr>
        <w:spacing w:after="240" w:before="480"/>
      </w:pPr>
      <w:r>
        <w:rPr>
          <w:rFonts w:ascii="Calibri" w:cs="Calibri" w:eastAsia="Calibri" w:hAnsi="Calibri"/>
          <w:b/>
          <w:bCs/>
          <w:color w:val="1F3864"/>
          <w:sz w:val="32"/>
          <w:szCs w:val="32"/>
        </w:rPr>
        <w:t xml:space="preserve">A. Appendix A — 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3300"/>
      </w:tblGrid>
      <w:tr>
        <w:trPr>
          <w:tblHeader/>
        </w:trPr>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Version</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Date</w:t>
            </w:r>
          </w:p>
        </w:tc>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Author</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Summary of Changes</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2025-02-14</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Operations</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Initial release of escalation framework</w:t>
            </w:r>
          </w:p>
        </w:tc>
      </w:tr>
      <w:tr>
        <w:tc>
          <w:tcPr>
            <w:tcW w:type="dxa" w:w="1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2025-08-01</w:t>
            </w:r>
          </w:p>
        </w:tc>
        <w:tc>
          <w:tcPr>
            <w:tcW w:type="dxa" w:w="3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Operations / Risk</w:t>
            </w:r>
          </w:p>
        </w:tc>
        <w:tc>
          <w:tcPr>
            <w:tcW w:type="dxa" w:w="3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Added confidence routing thresholds and revision policy</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3.0</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2026-01-10</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Operations / Legal</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Added mandatory legal, fraud, and media triggers; expanded handoff packet requirements</w:t>
            </w:r>
          </w:p>
        </w:tc>
      </w:tr>
      <w:tr>
        <w:tc>
          <w:tcPr>
            <w:tcW w:type="dxa" w:w="1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3.1</w:t>
            </w:r>
          </w:p>
        </w:tc>
        <w:tc>
          <w:tcPr>
            <w:tcW w:type="dxa" w:w="15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2026-04-22</w:t>
            </w:r>
          </w:p>
        </w:tc>
        <w:tc>
          <w:tcPr>
            <w:tcW w:type="dxa" w:w="3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Operations</w:t>
            </w:r>
          </w:p>
        </w:tc>
        <w:tc>
          <w:tcPr>
            <w:tcW w:type="dxa" w:w="33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Added exception-case handling (disaster, outage, warehouse, recall, cross-border)</w:t>
            </w:r>
          </w:p>
        </w:tc>
      </w:tr>
      <w:tr>
        <w:tc>
          <w:tcPr>
            <w:tcW w:type="dxa" w:w="1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3.2</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2026-07-06</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Customer Operations</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Added worked examples for LangGraph Escalation Node validation; refreshed SLA table</w:t>
            </w:r>
          </w:p>
        </w:tc>
      </w:tr>
    </w:tbl>
    <w:p>
      <w:pPr>
        <w:spacing w:after="160" w:line="276"/>
      </w:pPr>
      <w:r>
        <w:rPr>
          <w:rFonts w:ascii="Calibri" w:cs="Calibri" w:eastAsia="Calibri" w:hAnsi="Calibri"/>
          <w:sz w:val="21"/>
          <w:szCs w:val="21"/>
        </w:rPr>
        <w:t xml:space="preserve"/>
      </w:r>
    </w:p>
    <w:p>
      <w:pPr>
        <w:pStyle w:val="Heading2"/>
        <w:spacing w:after="160" w:before="320"/>
      </w:pPr>
      <w:r>
        <w:rPr>
          <w:rFonts w:ascii="Calibri" w:cs="Calibri" w:eastAsia="Calibri" w:hAnsi="Calibri"/>
          <w:b/>
          <w:bCs/>
          <w:color w:val="2E5395"/>
          <w:sz w:val="26"/>
          <w:szCs w:val="26"/>
        </w:rPr>
        <w:t xml:space="preserve">A.1 Governance and Review</w:t>
      </w:r>
    </w:p>
    <w:p>
      <w:pPr>
        <w:spacing w:after="160" w:line="276"/>
      </w:pPr>
      <w:r>
        <w:rPr>
          <w:rFonts w:ascii="Calibri" w:cs="Calibri" w:eastAsia="Calibri" w:hAnsi="Calibri"/>
          <w:sz w:val="21"/>
          <w:szCs w:val="21"/>
        </w:rPr>
        <w:t xml:space="preserve">This handbook is jointly owned by Customer Operations, Risk, and Legal. Any modification to escalation thresholds, monetary authority limits, or mandatory trigger definitions requires written sign-off from all three functions prior to deployment into the LangGraph Escalation Node's production routing configuration. Routine review occurs quarterly; ad hoc review is triggered by any regulatory change, major incident post-mortem, or material shift in fraud patterns.</w:t>
      </w:r>
    </w:p>
    <w:p>
      <w:pPr>
        <w:pStyle w:val="Heading2"/>
        <w:spacing w:after="160" w:before="320"/>
      </w:pPr>
      <w:r>
        <w:rPr>
          <w:rFonts w:ascii="Calibri" w:cs="Calibri" w:eastAsia="Calibri" w:hAnsi="Calibri"/>
          <w:b/>
          <w:bCs/>
          <w:color w:val="2E5395"/>
          <w:sz w:val="26"/>
          <w:szCs w:val="26"/>
        </w:rPr>
        <w:t xml:space="preserve">A.2 Related Documents</w:t>
      </w:r>
    </w:p>
    <w:p>
      <w:pPr>
        <w:pStyle w:val="ListParagraph"/>
        <w:numPr>
          <w:ilvl w:val="0"/>
          <w:numId w:val="2"/>
        </w:numPr>
        <w:spacing w:after="80" w:line="276"/>
      </w:pPr>
      <w:r>
        <w:rPr>
          <w:rFonts w:ascii="Calibri" w:cs="Calibri" w:eastAsia="Calibri" w:hAnsi="Calibri"/>
          <w:sz w:val="21"/>
          <w:szCs w:val="21"/>
        </w:rPr>
        <w:t xml:space="preserve">NovaMart Refund and Returns Policy (Global) — v9.4</w:t>
      </w:r>
    </w:p>
    <w:p>
      <w:pPr>
        <w:pStyle w:val="ListParagraph"/>
        <w:numPr>
          <w:ilvl w:val="0"/>
          <w:numId w:val="2"/>
        </w:numPr>
        <w:spacing w:after="80" w:line="276"/>
      </w:pPr>
      <w:r>
        <w:rPr>
          <w:rFonts w:ascii="Calibri" w:cs="Calibri" w:eastAsia="Calibri" w:hAnsi="Calibri"/>
          <w:sz w:val="21"/>
          <w:szCs w:val="21"/>
        </w:rPr>
        <w:t xml:space="preserve">NovaMart Fraud and Account Security Playbook — v5.1</w:t>
      </w:r>
    </w:p>
    <w:p>
      <w:pPr>
        <w:pStyle w:val="ListParagraph"/>
        <w:numPr>
          <w:ilvl w:val="0"/>
          <w:numId w:val="2"/>
        </w:numPr>
        <w:spacing w:after="80" w:line="276"/>
      </w:pPr>
      <w:r>
        <w:rPr>
          <w:rFonts w:ascii="Calibri" w:cs="Calibri" w:eastAsia="Calibri" w:hAnsi="Calibri"/>
          <w:sz w:val="21"/>
          <w:szCs w:val="21"/>
        </w:rPr>
        <w:t xml:space="preserve">NovaMart Trust &amp; Safety Investigation Procedures — v4.0</w:t>
      </w:r>
    </w:p>
    <w:p>
      <w:pPr>
        <w:pStyle w:val="ListParagraph"/>
        <w:numPr>
          <w:ilvl w:val="0"/>
          <w:numId w:val="2"/>
        </w:numPr>
        <w:spacing w:after="80" w:line="276"/>
      </w:pPr>
      <w:r>
        <w:rPr>
          <w:rFonts w:ascii="Calibri" w:cs="Calibri" w:eastAsia="Calibri" w:hAnsi="Calibri"/>
          <w:sz w:val="21"/>
          <w:szCs w:val="21"/>
        </w:rPr>
        <w:t xml:space="preserve">NovaMart Legal Escalation and Litigation Hold Procedures — v6.2</w:t>
      </w:r>
    </w:p>
    <w:p>
      <w:pPr>
        <w:pStyle w:val="ListParagraph"/>
        <w:numPr>
          <w:ilvl w:val="0"/>
          <w:numId w:val="2"/>
        </w:numPr>
        <w:spacing w:after="80" w:line="276"/>
      </w:pPr>
      <w:r>
        <w:rPr>
          <w:rFonts w:ascii="Calibri" w:cs="Calibri" w:eastAsia="Calibri" w:hAnsi="Calibri"/>
          <w:sz w:val="21"/>
          <w:szCs w:val="21"/>
        </w:rPr>
        <w:t xml:space="preserve">LangGraph Escalation Node — Technical Routing Specification (Engineering-owned)</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Calibri" w:cs="Calibri" w:eastAsia="Calibri" w:hAnsi="Calibri"/>
        <w:color w:val="1A1A1A"/>
        <w:sz w:val="16"/>
        <w:szCs w:val="16"/>
      </w:rPr>
      <w:t xml:space="preserve">Page </w:t>
    </w:r>
    <w:r>
      <w:rPr>
        <w:rFonts w:ascii="Calibri" w:cs="Calibri" w:eastAsia="Calibri" w:hAnsi="Calibri"/>
        <w:color w:val="1A1A1A"/>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 of </w:t>
    </w:r>
    <w:r>
      <w:rPr>
        <w:rFonts w:ascii="Calibri" w:cs="Calibri" w:eastAsia="Calibri" w:hAnsi="Calibri"/>
        <w:color w:val="1A1A1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0"/>
      </w:tabs>
    </w:pPr>
    <w:r>
      <w:rPr>
        <w:rFonts w:ascii="Calibri" w:cs="Calibri" w:eastAsia="Calibri" w:hAnsi="Calibri"/>
        <w:color w:val="2E5395"/>
        <w:sz w:val="16"/>
        <w:szCs w:val="16"/>
      </w:rPr>
      <w:t xml:space="preserve">NovaMart Global Retail Inc. — Internal Escalation Handbook</w:t>
    </w:r>
    <w:r>
      <w:rPr>
        <w:rFonts w:ascii="Calibri" w:cs="Calibri" w:eastAsia="Calibri" w:hAnsi="Calibri"/>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2026-07-06T06:50:49.219Z</dcterms:created>
  <dcterms:modified xsi:type="dcterms:W3CDTF">2026-07-06T06:50:49.232Z</dcterms:modified>
</cp:coreProperties>
</file>

<file path=docProps/custom.xml><?xml version="1.0" encoding="utf-8"?>
<Properties xmlns="http://schemas.openxmlformats.org/officeDocument/2006/custom-properties" xmlns:vt="http://schemas.openxmlformats.org/officeDocument/2006/docPropsVTypes"/>
</file>