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F4E79"/>
          <w:sz w:val="48"/>
          <w:szCs w:val="48"/>
        </w:rPr>
        <w:t xml:space="preserve">BC HOUSING AFFORDABILITY</w:t>
      </w:r>
    </w:p>
    <w:p>
      <w:pPr>
        <w:spacing w:after="100" w:before="0"/>
        <w:jc w:val="center"/>
      </w:pPr>
      <w:r>
        <w:rPr>
          <w:rFonts w:ascii="Calibri" w:cs="Calibri" w:eastAsia="Calibri" w:hAnsi="Calibri"/>
          <w:color w:val="2E75B6"/>
          <w:sz w:val="30"/>
          <w:szCs w:val="30"/>
        </w:rPr>
        <w:t xml:space="preserve">Power BI Dashboard Report  |  2000 – 2025</w:t>
      </w:r>
    </w:p>
    <w:p>
      <w:pPr>
        <w:spacing w:after="600" w:before="100"/>
        <w:jc w:val="center"/>
      </w:pPr>
      <w:r>
        <w:rPr>
          <w:rFonts w:ascii="Calibri" w:cs="Calibri" w:eastAsia="Calibri" w:hAnsi="Calibri"/>
          <w:color w:val="777777"/>
          <w:sz w:val="20"/>
          <w:szCs w:val="20"/>
        </w:rPr>
        <w:t xml:space="preserve">Prepared by: Rajwinder Singh  |  July 2026  |  UCW MBA Graduate</w:t>
      </w:r>
    </w:p>
    <w:p>
      <w:pPr>
        <w:pBdr>
          <w:bottom w:val="single" w:color="2E75B6" w:sz="6"/>
        </w:pBdr>
        <w:spacing w:after="200" w:before="200"/>
      </w:pPr>
      <w:r>
        <w:t xml:space="preserve"/>
      </w:r>
    </w:p>
    <w:p>
      <w:pPr>
        <w:spacing w:after="100" w:before="100"/>
      </w:pPr>
      <w:r>
        <w:t xml:space="preserve"/>
      </w:r>
    </w:p>
    <w:p>
      <w:pPr>
        <w:spacing w:after="200" w:before="400"/>
      </w:pPr>
      <w:r>
        <w:rPr>
          <w:rFonts w:ascii="Calibri" w:cs="Calibri" w:eastAsia="Calibri" w:hAnsi="Calibri"/>
          <w:b/>
          <w:bCs/>
          <w:color w:val="1F4E79"/>
          <w:sz w:val="32"/>
          <w:szCs w:val="32"/>
        </w:rPr>
        <w:t xml:space="preserve">1. Executive Summary</w:t>
      </w:r>
    </w:p>
    <w:p>
      <w:pPr>
        <w:spacing w:after="100" w:before="100"/>
      </w:pPr>
      <w:r>
        <w:rPr>
          <w:rFonts w:ascii="Calibri" w:cs="Calibri" w:eastAsia="Calibri" w:hAnsi="Calibri"/>
          <w:color w:val="1A1A1A"/>
          <w:sz w:val="22"/>
          <w:szCs w:val="22"/>
        </w:rPr>
        <w:t xml:space="preserve">This report presents a 25-year analysis of housing affordability across British Columbia, using official quarterly data published by the BC Data Catalogue (BC Stats). The dataset spans January 2000 through Q4 2025, covering approximately 30 census metropolitan areas and census agglomerations across the province, tracking median housing prices, median family income, mortgage interest rates, and a calculated affordability index (mortgage payment as a percentage of income).</w:t>
      </w:r>
    </w:p>
    <w:p>
      <w:pPr>
        <w:spacing w:after="100" w:before="100"/>
      </w:pPr>
      <w:r>
        <w:t xml:space="preserve"/>
      </w:r>
    </w:p>
    <w:p>
      <w:pPr>
        <w:spacing w:after="100" w:before="100"/>
      </w:pPr>
      <w:r>
        <w:rPr>
          <w:rFonts w:ascii="Calibri" w:cs="Calibri" w:eastAsia="Calibri" w:hAnsi="Calibri"/>
          <w:color w:val="1A1A1A"/>
          <w:sz w:val="22"/>
          <w:szCs w:val="22"/>
        </w:rPr>
        <w:t xml:space="preserve">This dashboard was built using Microsoft Power BI Desktop as part of a data analytics portfolio project, applying Power Query transformation, custom DAX date modeling, and interactive visualization design to a real, publicly available government dataset.</w:t>
      </w:r>
    </w:p>
    <w:p>
      <w:pPr>
        <w:spacing w:after="100" w:before="100"/>
      </w:pPr>
      <w:r>
        <w:t xml:space="preserve"/>
      </w:r>
    </w:p>
    <w:p>
      <w:pPr>
        <w:spacing w:after="200" w:before="400"/>
      </w:pPr>
      <w:r>
        <w:rPr>
          <w:rFonts w:ascii="Calibri" w:cs="Calibri" w:eastAsia="Calibri" w:hAnsi="Calibri"/>
          <w:b/>
          <w:bCs/>
          <w:color w:val="1F4E79"/>
          <w:sz w:val="32"/>
          <w:szCs w:val="32"/>
        </w:rPr>
        <w:t xml:space="preserve">2. Key Performance Indicators</w:t>
      </w:r>
    </w:p>
    <w:p>
      <w:pPr>
        <w:spacing w:after="100" w:before="10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shd w:fill="D6E4F0" w:color="auto" w:val="clear"/>
            <w:tcMar>
              <w:top w:type="dxa" w:w="120"/>
              <w:left w:type="dxa" w:w="120"/>
              <w:bottom w:type="dxa" w:w="120"/>
              <w:right w:type="dxa" w:w="120"/>
            </w:tcMar>
          </w:tcPr>
          <w:p>
            <w:pPr>
              <w:jc w:val="center"/>
            </w:pPr>
            <w:r>
              <w:rPr>
                <w:rFonts w:ascii="Calibri" w:cs="Calibri" w:eastAsia="Calibri" w:hAnsi="Calibri"/>
                <w:b/>
                <w:bCs/>
                <w:color w:val="1F4E79"/>
                <w:sz w:val="32"/>
                <w:szCs w:val="32"/>
              </w:rPr>
              <w:t xml:space="preserve">$355.94K</w:t>
            </w:r>
          </w:p>
          <w:p>
            <w:pPr>
              <w:jc w:val="center"/>
            </w:pPr>
            <w:r>
              <w:rPr>
                <w:rFonts w:ascii="Calibri" w:cs="Calibri" w:eastAsia="Calibri" w:hAnsi="Calibri"/>
                <w:color w:val="555555"/>
                <w:sz w:val="18"/>
                <w:szCs w:val="18"/>
              </w:rPr>
              <w:t xml:space="preserve">Avg Median Price</w:t>
            </w:r>
          </w:p>
        </w:tc>
        <w:tc>
          <w:tcPr>
            <w:tcW w:type="dxa" w:w="2268"/>
            <w:shd w:fill="D6E4F0" w:color="auto" w:val="clear"/>
            <w:tcMar>
              <w:top w:type="dxa" w:w="120"/>
              <w:left w:type="dxa" w:w="120"/>
              <w:bottom w:type="dxa" w:w="120"/>
              <w:right w:type="dxa" w:w="120"/>
            </w:tcMar>
          </w:tcPr>
          <w:p>
            <w:pPr>
              <w:jc w:val="center"/>
            </w:pPr>
            <w:r>
              <w:rPr>
                <w:rFonts w:ascii="Calibri" w:cs="Calibri" w:eastAsia="Calibri" w:hAnsi="Calibri"/>
                <w:b/>
                <w:bCs/>
                <w:color w:val="1F4E79"/>
                <w:sz w:val="32"/>
                <w:szCs w:val="32"/>
              </w:rPr>
              <w:t xml:space="preserve">$69.33K</w:t>
            </w:r>
          </w:p>
          <w:p>
            <w:pPr>
              <w:jc w:val="center"/>
            </w:pPr>
            <w:r>
              <w:rPr>
                <w:rFonts w:ascii="Calibri" w:cs="Calibri" w:eastAsia="Calibri" w:hAnsi="Calibri"/>
                <w:color w:val="555555"/>
                <w:sz w:val="18"/>
                <w:szCs w:val="18"/>
              </w:rPr>
              <w:t xml:space="preserve">Avg Family Income</w:t>
            </w:r>
          </w:p>
        </w:tc>
        <w:tc>
          <w:tcPr>
            <w:tcW w:type="dxa" w:w="2268"/>
            <w:shd w:fill="D6E4F0" w:color="auto" w:val="clear"/>
            <w:tcMar>
              <w:top w:type="dxa" w:w="120"/>
              <w:left w:type="dxa" w:w="120"/>
              <w:bottom w:type="dxa" w:w="120"/>
              <w:right w:type="dxa" w:w="120"/>
            </w:tcMar>
          </w:tcPr>
          <w:p>
            <w:pPr>
              <w:jc w:val="center"/>
            </w:pPr>
            <w:r>
              <w:rPr>
                <w:rFonts w:ascii="Calibri" w:cs="Calibri" w:eastAsia="Calibri" w:hAnsi="Calibri"/>
                <w:b/>
                <w:bCs/>
                <w:color w:val="1F4E79"/>
                <w:sz w:val="32"/>
                <w:szCs w:val="32"/>
              </w:rPr>
              <w:t xml:space="preserve">30.06%</w:t>
            </w:r>
          </w:p>
          <w:p>
            <w:pPr>
              <w:jc w:val="center"/>
            </w:pPr>
            <w:r>
              <w:rPr>
                <w:rFonts w:ascii="Calibri" w:cs="Calibri" w:eastAsia="Calibri" w:hAnsi="Calibri"/>
                <w:color w:val="555555"/>
                <w:sz w:val="18"/>
                <w:szCs w:val="18"/>
              </w:rPr>
              <w:t xml:space="preserve">Avg Affordability Index</w:t>
            </w:r>
          </w:p>
        </w:tc>
        <w:tc>
          <w:tcPr>
            <w:tcW w:type="dxa" w:w="2268"/>
            <w:shd w:fill="D6E4F0" w:color="auto" w:val="clear"/>
            <w:tcMar>
              <w:top w:type="dxa" w:w="120"/>
              <w:left w:type="dxa" w:w="120"/>
              <w:bottom w:type="dxa" w:w="120"/>
              <w:right w:type="dxa" w:w="120"/>
            </w:tcMar>
          </w:tcPr>
          <w:p>
            <w:pPr>
              <w:jc w:val="center"/>
            </w:pPr>
            <w:r>
              <w:rPr>
                <w:rFonts w:ascii="Calibri" w:cs="Calibri" w:eastAsia="Calibri" w:hAnsi="Calibri"/>
                <w:b/>
                <w:bCs/>
                <w:color w:val="1F4E79"/>
                <w:sz w:val="32"/>
                <w:szCs w:val="32"/>
              </w:rPr>
              <w:t xml:space="preserve">3.77M</w:t>
            </w:r>
          </w:p>
          <w:p>
            <w:pPr>
              <w:jc w:val="center"/>
            </w:pPr>
            <w:r>
              <w:rPr>
                <w:rFonts w:ascii="Calibri" w:cs="Calibri" w:eastAsia="Calibri" w:hAnsi="Calibri"/>
                <w:color w:val="555555"/>
                <w:sz w:val="18"/>
                <w:szCs w:val="18"/>
              </w:rPr>
              <w:t xml:space="preserve">Total Resales</w:t>
            </w:r>
          </w:p>
        </w:tc>
      </w:tr>
    </w:tbl>
    <w:p>
      <w:pPr>
        <w:spacing w:after="100" w:before="100"/>
      </w:pPr>
      <w:r>
        <w:t xml:space="preserve"/>
      </w:r>
    </w:p>
    <w:p>
      <w:pPr>
        <w:spacing w:after="100" w:before="100"/>
      </w:pPr>
      <w:r>
        <w:rPr>
          <w:rFonts w:ascii="Calibri" w:cs="Calibri" w:eastAsia="Calibri" w:hAnsi="Calibri"/>
          <w:color w:val="1A1A1A"/>
          <w:sz w:val="22"/>
          <w:szCs w:val="22"/>
        </w:rPr>
        <w:t xml:space="preserve">Across all BC regions and the full 25-year period, the average median home price sits at $355,940, against an average median family income of $69,330. This produces an average affordability index of 30.06% — meaning the typical BC family spends roughly 30 cents of every after-tax dollar on mortgage payments. A total of 3.77 million home resales are captured in the dataset over the period.</w:t>
      </w:r>
    </w:p>
    <w:p>
      <w:pPr>
        <w:spacing w:after="100" w:before="100"/>
      </w:pPr>
      <w:r>
        <w:t xml:space="preserve"/>
      </w:r>
    </w:p>
    <w:p>
      <w:pPr>
        <w:spacing w:after="200" w:before="400"/>
      </w:pPr>
      <w:r>
        <w:rPr>
          <w:rFonts w:ascii="Calibri" w:cs="Calibri" w:eastAsia="Calibri" w:hAnsi="Calibri"/>
          <w:b/>
          <w:bCs/>
          <w:color w:val="1F4E79"/>
          <w:sz w:val="32"/>
          <w:szCs w:val="32"/>
        </w:rPr>
        <w:t xml:space="preserve">3. Regional Affordability Trends</w:t>
      </w:r>
    </w:p>
    <w:p>
      <w:pPr>
        <w:spacing w:after="100" w:before="100"/>
      </w:pPr>
      <w:r>
        <w:rPr>
          <w:rFonts w:ascii="Calibri" w:cs="Calibri" w:eastAsia="Calibri" w:hAnsi="Calibri"/>
          <w:color w:val="1A1A1A"/>
          <w:sz w:val="22"/>
          <w:szCs w:val="22"/>
        </w:rPr>
        <w:t xml:space="preserve">The dashboard tracks affordability trends for five representative regions: Vancouver, Victoria, Kelowna, Kamloops, and Abbotsford-Mission. Across all five, a consistent pattern emerges:</w:t>
      </w:r>
    </w:p>
    <w:p>
      <w:pPr>
        <w:spacing w:after="100" w:before="100"/>
      </w:pPr>
      <w:r>
        <w:t xml:space="preserve"/>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Vancouver has remained the least affordable market in every year of the dataset, with its affordability index consistently 15-20 points higher than the other tracked regions.</w:t>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All regions show a sharp affordability decline (rising index) beginning around 2020, coinciding with historically low interest rates and pandemic-era demand surges.</w:t>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A partial recovery in affordability is visible around 2022-2023 as interest rates rose, temporarily cooling home prices relative to income.</w:t>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By 2025, affordability pressure has climbed again across all tracked regions, approaching or exceeding prior peaks.</w:t>
      </w:r>
    </w:p>
    <w:p>
      <w:pPr>
        <w:spacing w:after="100" w:before="100"/>
      </w:pPr>
      <w:r>
        <w:t xml:space="preserve"/>
      </w:r>
    </w:p>
    <w:p>
      <w:pPr>
        <w:spacing w:after="200" w:before="400"/>
      </w:pPr>
      <w:r>
        <w:rPr>
          <w:rFonts w:ascii="Calibri" w:cs="Calibri" w:eastAsia="Calibri" w:hAnsi="Calibri"/>
          <w:b/>
          <w:bCs/>
          <w:color w:val="1F4E79"/>
          <w:sz w:val="32"/>
          <w:szCs w:val="32"/>
        </w:rPr>
        <w:t xml:space="preserve">4. Regional Price Comparison</w:t>
      </w:r>
    </w:p>
    <w:p>
      <w:pPr>
        <w:spacing w:after="100" w:before="100"/>
      </w:pPr>
      <w:r>
        <w:rPr>
          <w:rFonts w:ascii="Calibri" w:cs="Calibri" w:eastAsia="Calibri" w:hAnsi="Calibri"/>
          <w:color w:val="1A1A1A"/>
          <w:sz w:val="22"/>
          <w:szCs w:val="22"/>
        </w:rPr>
        <w:t xml:space="preserve">The average home price by region (2000-2025) reveals notable variation across the province:</w:t>
      </w:r>
    </w:p>
    <w:p>
      <w:pPr>
        <w:spacing w:after="100" w:before="100"/>
      </w:pPr>
      <w: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Region</w:t>
            </w:r>
          </w:p>
        </w:tc>
        <w:tc>
          <w:tcPr>
            <w:tcW w:type="dxa" w:w="4536"/>
            <w:shd w:fill="2E75B6" w:color="auto" w:val="clear"/>
            <w:tcMar>
              <w:top w:type="dxa" w:w="100"/>
              <w:left w:type="dxa" w:w="120"/>
              <w:bottom w:type="dxa" w:w="100"/>
              <w:right w:type="dxa" w:w="120"/>
            </w:tcMar>
          </w:tcPr>
          <w:p>
            <w:r>
              <w:rPr>
                <w:rFonts w:ascii="Calibri" w:cs="Calibri" w:eastAsia="Calibri" w:hAnsi="Calibri"/>
                <w:b/>
                <w:bCs/>
                <w:color w:val="FFFFFF"/>
                <w:sz w:val="22"/>
                <w:szCs w:val="22"/>
              </w:rPr>
              <w:t xml:space="preserve">Relative Price Level</w:t>
            </w:r>
          </w:p>
        </w:tc>
      </w:tr>
      <w:tr>
        <w:tc>
          <w:tcPr>
            <w:tcW w:type="dxa" w:w="4536"/>
            <w:shd w:fill="FFFFFF" w:color="auto" w:val="clear"/>
            <w:tcMar>
              <w:top w:type="dxa" w:w="100"/>
              <w:left w:type="dxa" w:w="120"/>
              <w:bottom w:type="dxa" w:w="100"/>
              <w:right w:type="dxa" w:w="120"/>
            </w:tcMar>
          </w:tcPr>
          <w:p>
            <w:r>
              <w:rPr>
                <w:rFonts w:ascii="Calibri" w:cs="Calibri" w:eastAsia="Calibri" w:hAnsi="Calibri"/>
                <w:color w:val="1A1A1A"/>
                <w:sz w:val="21"/>
                <w:szCs w:val="21"/>
              </w:rPr>
              <w:t xml:space="preserve">Vancouver</w:t>
            </w:r>
          </w:p>
        </w:tc>
        <w:tc>
          <w:tcPr>
            <w:tcW w:type="dxa" w:w="4536"/>
            <w:shd w:fill="FFFFFF" w:color="auto" w:val="clear"/>
            <w:tcMar>
              <w:top w:type="dxa" w:w="100"/>
              <w:left w:type="dxa" w:w="120"/>
              <w:bottom w:type="dxa" w:w="100"/>
              <w:right w:type="dxa" w:w="120"/>
            </w:tcMar>
          </w:tcPr>
          <w:p>
            <w:r>
              <w:rPr>
                <w:rFonts w:ascii="Calibri" w:cs="Calibri" w:eastAsia="Calibri" w:hAnsi="Calibri"/>
                <w:color w:val="1A1A1A"/>
                <w:sz w:val="21"/>
                <w:szCs w:val="21"/>
              </w:rPr>
              <w:t xml:space="preserve">Highest — consistently the top or near-top market</w:t>
            </w:r>
          </w:p>
        </w:tc>
      </w:tr>
      <w:tr>
        <w:tc>
          <w:tcPr>
            <w:tcW w:type="dxa" w:w="4536"/>
            <w:shd w:fill="F2F2F2" w:color="auto" w:val="clear"/>
            <w:tcMar>
              <w:top w:type="dxa" w:w="100"/>
              <w:left w:type="dxa" w:w="120"/>
              <w:bottom w:type="dxa" w:w="100"/>
              <w:right w:type="dxa" w:w="120"/>
            </w:tcMar>
          </w:tcPr>
          <w:p>
            <w:r>
              <w:rPr>
                <w:rFonts w:ascii="Calibri" w:cs="Calibri" w:eastAsia="Calibri" w:hAnsi="Calibri"/>
                <w:color w:val="1A1A1A"/>
                <w:sz w:val="21"/>
                <w:szCs w:val="21"/>
              </w:rPr>
              <w:t xml:space="preserve">Squamish</w:t>
            </w:r>
          </w:p>
        </w:tc>
        <w:tc>
          <w:tcPr>
            <w:tcW w:type="dxa" w:w="4536"/>
            <w:shd w:fill="F2F2F2" w:color="auto" w:val="clear"/>
            <w:tcMar>
              <w:top w:type="dxa" w:w="100"/>
              <w:left w:type="dxa" w:w="120"/>
              <w:bottom w:type="dxa" w:w="100"/>
              <w:right w:type="dxa" w:w="120"/>
            </w:tcMar>
          </w:tcPr>
          <w:p>
            <w:r>
              <w:rPr>
                <w:rFonts w:ascii="Calibri" w:cs="Calibri" w:eastAsia="Calibri" w:hAnsi="Calibri"/>
                <w:color w:val="1A1A1A"/>
                <w:sz w:val="21"/>
                <w:szCs w:val="21"/>
              </w:rPr>
              <w:t xml:space="preserve">High — proximity to Vancouver drives elevated pricing</w:t>
            </w:r>
          </w:p>
        </w:tc>
      </w:tr>
      <w:tr>
        <w:tc>
          <w:tcPr>
            <w:tcW w:type="dxa" w:w="4536"/>
            <w:shd w:fill="FFFFFF" w:color="auto" w:val="clear"/>
            <w:tcMar>
              <w:top w:type="dxa" w:w="100"/>
              <w:left w:type="dxa" w:w="120"/>
              <w:bottom w:type="dxa" w:w="100"/>
              <w:right w:type="dxa" w:w="120"/>
            </w:tcMar>
          </w:tcPr>
          <w:p>
            <w:r>
              <w:rPr>
                <w:rFonts w:ascii="Calibri" w:cs="Calibri" w:eastAsia="Calibri" w:hAnsi="Calibri"/>
                <w:color w:val="1A1A1A"/>
                <w:sz w:val="21"/>
                <w:szCs w:val="21"/>
              </w:rPr>
              <w:t xml:space="preserve">Victoria</w:t>
            </w:r>
          </w:p>
        </w:tc>
        <w:tc>
          <w:tcPr>
            <w:tcW w:type="dxa" w:w="4536"/>
            <w:shd w:fill="FFFFFF" w:color="auto" w:val="clear"/>
            <w:tcMar>
              <w:top w:type="dxa" w:w="100"/>
              <w:left w:type="dxa" w:w="120"/>
              <w:bottom w:type="dxa" w:w="100"/>
              <w:right w:type="dxa" w:w="120"/>
            </w:tcMar>
          </w:tcPr>
          <w:p>
            <w:r>
              <w:rPr>
                <w:rFonts w:ascii="Calibri" w:cs="Calibri" w:eastAsia="Calibri" w:hAnsi="Calibri"/>
                <w:color w:val="1A1A1A"/>
                <w:sz w:val="21"/>
                <w:szCs w:val="21"/>
              </w:rPr>
              <w:t xml:space="preserve">High — Vancouver Island's largest urban market</w:t>
            </w:r>
          </w:p>
        </w:tc>
      </w:tr>
      <w:tr>
        <w:tc>
          <w:tcPr>
            <w:tcW w:type="dxa" w:w="4536"/>
            <w:shd w:fill="F2F2F2" w:color="auto" w:val="clear"/>
            <w:tcMar>
              <w:top w:type="dxa" w:w="100"/>
              <w:left w:type="dxa" w:w="120"/>
              <w:bottom w:type="dxa" w:w="100"/>
              <w:right w:type="dxa" w:w="120"/>
            </w:tcMar>
          </w:tcPr>
          <w:p>
            <w:r>
              <w:rPr>
                <w:rFonts w:ascii="Calibri" w:cs="Calibri" w:eastAsia="Calibri" w:hAnsi="Calibri"/>
                <w:color w:val="1A1A1A"/>
                <w:sz w:val="21"/>
                <w:szCs w:val="21"/>
              </w:rPr>
              <w:t xml:space="preserve">Nelson</w:t>
            </w:r>
          </w:p>
        </w:tc>
        <w:tc>
          <w:tcPr>
            <w:tcW w:type="dxa" w:w="4536"/>
            <w:shd w:fill="F2F2F2" w:color="auto" w:val="clear"/>
            <w:tcMar>
              <w:top w:type="dxa" w:w="100"/>
              <w:left w:type="dxa" w:w="120"/>
              <w:bottom w:type="dxa" w:w="100"/>
              <w:right w:type="dxa" w:w="120"/>
            </w:tcMar>
          </w:tcPr>
          <w:p>
            <w:r>
              <w:rPr>
                <w:rFonts w:ascii="Calibri" w:cs="Calibri" w:eastAsia="Calibri" w:hAnsi="Calibri"/>
                <w:color w:val="1A1A1A"/>
                <w:sz w:val="21"/>
                <w:szCs w:val="21"/>
              </w:rPr>
              <w:t xml:space="preserve">Moderate — smaller interior market with rising demand</w:t>
            </w:r>
          </w:p>
        </w:tc>
      </w:tr>
      <w:tr>
        <w:tc>
          <w:tcPr>
            <w:tcW w:type="dxa" w:w="4536"/>
            <w:shd w:fill="FFFFFF" w:color="auto" w:val="clear"/>
            <w:tcMar>
              <w:top w:type="dxa" w:w="100"/>
              <w:left w:type="dxa" w:w="120"/>
              <w:bottom w:type="dxa" w:w="100"/>
              <w:right w:type="dxa" w:w="120"/>
            </w:tcMar>
          </w:tcPr>
          <w:p>
            <w:r>
              <w:rPr>
                <w:rFonts w:ascii="Calibri" w:cs="Calibri" w:eastAsia="Calibri" w:hAnsi="Calibri"/>
                <w:color w:val="1A1A1A"/>
                <w:sz w:val="21"/>
                <w:szCs w:val="21"/>
              </w:rPr>
              <w:t xml:space="preserve">Ladysmith</w:t>
            </w:r>
          </w:p>
        </w:tc>
        <w:tc>
          <w:tcPr>
            <w:tcW w:type="dxa" w:w="4536"/>
            <w:shd w:fill="FFFFFF" w:color="auto" w:val="clear"/>
            <w:tcMar>
              <w:top w:type="dxa" w:w="100"/>
              <w:left w:type="dxa" w:w="120"/>
              <w:bottom w:type="dxa" w:w="100"/>
              <w:right w:type="dxa" w:w="120"/>
            </w:tcMar>
          </w:tcPr>
          <w:p>
            <w:r>
              <w:rPr>
                <w:rFonts w:ascii="Calibri" w:cs="Calibri" w:eastAsia="Calibri" w:hAnsi="Calibri"/>
                <w:color w:val="1A1A1A"/>
                <w:sz w:val="21"/>
                <w:szCs w:val="21"/>
              </w:rPr>
              <w:t xml:space="preserve">Notable full-period average due to later data start</w:t>
            </w:r>
          </w:p>
        </w:tc>
      </w:tr>
    </w:tbl>
    <w:p>
      <w:pPr>
        <w:spacing w:after="100" w:before="100"/>
      </w:pPr>
      <w:r>
        <w:t xml:space="preserve"/>
      </w:r>
    </w:p>
    <w:p>
      <w:pPr>
        <w:spacing w:after="100" w:before="100"/>
      </w:pPr>
      <w:r>
        <w:rPr>
          <w:rFonts w:ascii="Calibri" w:cs="Calibri" w:eastAsia="Calibri" w:hAnsi="Calibri"/>
          <w:color w:val="1A1A1A"/>
          <w:sz w:val="22"/>
          <w:szCs w:val="22"/>
        </w:rPr>
        <w:t xml:space="preserve">Note: Smaller regions with shorter historical records can show a higher full-period average than Vancouver, since their data may only begin in years when prices were already elevated, while Vancouver's average blends in significantly lower prices from the early 2000s. When filtered to a single recent year, Vancouver returns to the top of the ranking as expected.</w:t>
      </w:r>
    </w:p>
    <w:p>
      <w:pPr>
        <w:spacing w:after="100" w:before="100"/>
      </w:pPr>
      <w:r>
        <w:t xml:space="preserve"/>
      </w:r>
    </w:p>
    <w:p>
      <w:pPr>
        <w:spacing w:after="200" w:before="400"/>
      </w:pPr>
      <w:r>
        <w:rPr>
          <w:rFonts w:ascii="Calibri" w:cs="Calibri" w:eastAsia="Calibri" w:hAnsi="Calibri"/>
          <w:b/>
          <w:bCs/>
          <w:color w:val="1F4E79"/>
          <w:sz w:val="32"/>
          <w:szCs w:val="32"/>
        </w:rPr>
        <w:t xml:space="preserve">5. Resales by Housing Type</w:t>
      </w:r>
    </w:p>
    <w:p>
      <w:pPr>
        <w:spacing w:after="100" w:before="100"/>
      </w:pPr>
      <w:r>
        <w:rPr>
          <w:rFonts w:ascii="Calibri" w:cs="Calibri" w:eastAsia="Calibri" w:hAnsi="Calibri"/>
          <w:color w:val="1A1A1A"/>
          <w:sz w:val="22"/>
          <w:szCs w:val="22"/>
        </w:rPr>
        <w:t xml:space="preserve">A funnel breakdown of total resales by housing type shows the relative trading volume across property categories:</w:t>
      </w:r>
    </w:p>
    <w:p>
      <w:pPr>
        <w:spacing w:after="100" w:before="100"/>
      </w:pPr>
      <w:r>
        <w:t xml:space="preserve"/>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Detached Homes — the largest share of resale volume across most BC regions</w:t>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Condos — second-largest, concentrated heavily in Vancouver and Victoria</w:t>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Row Homes — the smallest category, reflecting more limited supply of this housing type provincially</w:t>
      </w:r>
    </w:p>
    <w:p>
      <w:pPr>
        <w:spacing w:after="100" w:before="100"/>
      </w:pPr>
      <w:r>
        <w:t xml:space="preserve"/>
      </w:r>
    </w:p>
    <w:p>
      <w:pPr>
        <w:spacing w:after="200" w:before="400"/>
      </w:pPr>
      <w:r>
        <w:rPr>
          <w:rFonts w:ascii="Calibri" w:cs="Calibri" w:eastAsia="Calibri" w:hAnsi="Calibri"/>
          <w:b/>
          <w:bCs/>
          <w:color w:val="1F4E79"/>
          <w:sz w:val="32"/>
          <w:szCs w:val="32"/>
        </w:rPr>
        <w:t xml:space="preserve">6. Dashboard Features</w:t>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KPI cards — Avg Median Price, Avg Family Income, Avg Affordability Index, Total Resales</w:t>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Affordability trend line chart — 25-year view across 5 key regions</w:t>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Regional price comparison bar chart, sorted descending</w:t>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Funnel chart — resales by housing type</w:t>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Interactive slicers — Region (CMA), Housing Type, and Year range</w:t>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Custom date modeling — quarterly YEAR/QUARTER fields converted into a true Period Date for accurate time-series charting</w:t>
      </w:r>
    </w:p>
    <w:p>
      <w:pPr>
        <w:spacing w:after="100" w:before="100"/>
      </w:pPr>
      <w:r>
        <w:t xml:space="preserve"/>
      </w:r>
    </w:p>
    <w:p>
      <w:pPr>
        <w:spacing w:after="200" w:before="400"/>
      </w:pPr>
      <w:r>
        <w:rPr>
          <w:rFonts w:ascii="Calibri" w:cs="Calibri" w:eastAsia="Calibri" w:hAnsi="Calibri"/>
          <w:b/>
          <w:bCs/>
          <w:color w:val="1F4E79"/>
          <w:sz w:val="32"/>
          <w:szCs w:val="32"/>
        </w:rPr>
        <w:t xml:space="preserve">7. Tools and Methodology</w:t>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Tool: Microsoft Power BI Desktop</w:t>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Data source: BC Data Catalogue — Housing Affordability for Homeowners in B.C. (BC Stats, Government of British Columbia)</w:t>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Data transformation: Power Query Editor — type correction, custom Period Date column via #date() function</w:t>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DAX measures: Avg Median Price, Avg Family Income, Avg Affordability Index, Total Resales</w:t>
      </w:r>
    </w:p>
    <w:p>
      <w:pPr>
        <w:spacing w:after="80" w:before="80"/>
        <w:ind w:left="431"/>
      </w:pPr>
      <w:r>
        <w:rPr>
          <w:rFonts w:ascii="Calibri" w:cs="Calibri" w:eastAsia="Calibri" w:hAnsi="Calibri"/>
          <w:b/>
          <w:bCs/>
          <w:color w:val="2E75B6"/>
          <w:sz w:val="22"/>
          <w:szCs w:val="22"/>
        </w:rPr>
        <w:t xml:space="preserve">•  </w:t>
      </w:r>
      <w:r>
        <w:rPr>
          <w:rFonts w:ascii="Calibri" w:cs="Calibri" w:eastAsia="Calibri" w:hAnsi="Calibri"/>
          <w:color w:val="1A1A1A"/>
          <w:sz w:val="22"/>
          <w:szCs w:val="22"/>
        </w:rPr>
        <w:t xml:space="preserve">Visuals used: Card, Line Chart, Clustered Bar Chart, Funnel Chart, Slicers</w:t>
      </w:r>
    </w:p>
    <w:p>
      <w:pPr>
        <w:spacing w:after="100" w:before="100"/>
      </w:pPr>
      <w:r>
        <w:t xml:space="preserve"/>
      </w:r>
    </w:p>
    <w:p>
      <w:pPr>
        <w:spacing w:after="200" w:before="400"/>
      </w:pPr>
      <w:r>
        <w:rPr>
          <w:rFonts w:ascii="Calibri" w:cs="Calibri" w:eastAsia="Calibri" w:hAnsi="Calibri"/>
          <w:b/>
          <w:bCs/>
          <w:color w:val="1F4E79"/>
          <w:sz w:val="32"/>
          <w:szCs w:val="32"/>
        </w:rPr>
        <w:t xml:space="preserve">8. Key Insight</w:t>
      </w:r>
    </w:p>
    <w:p>
      <w:pPr>
        <w:spacing w:after="100" w:before="100"/>
      </w:pPr>
      <w:r>
        <w:rPr>
          <w:rFonts w:ascii="Calibri" w:cs="Calibri" w:eastAsia="Calibri" w:hAnsi="Calibri"/>
          <w:color w:val="1A1A1A"/>
          <w:sz w:val="22"/>
          <w:szCs w:val="22"/>
        </w:rPr>
        <w:t xml:space="preserve">The data confirms what many British Columbians experience directly: housing affordability has structurally worsened over the past 25 years, with Vancouver consistently the most expensive market in the province. The 30% affordability threshold — a widely cited benchmark for financial strain — is now the provincial average, not the exception, underscoring the scale of the affordability challenge facing BC communities.</w:t>
      </w:r>
    </w:p>
    <w:p>
      <w:pPr>
        <w:spacing w:after="100" w:before="100"/>
      </w:pPr>
      <w:r>
        <w:t xml:space="preserve"/>
      </w:r>
    </w:p>
    <w:p>
      <w:pPr>
        <w:spacing w:after="200" w:before="400"/>
      </w:pPr>
      <w:r>
        <w:rPr>
          <w:rFonts w:ascii="Calibri" w:cs="Calibri" w:eastAsia="Calibri" w:hAnsi="Calibri"/>
          <w:b/>
          <w:bCs/>
          <w:color w:val="1F4E79"/>
          <w:sz w:val="32"/>
          <w:szCs w:val="32"/>
        </w:rPr>
        <w:t xml:space="preserve">9. Conclusion</w:t>
      </w:r>
    </w:p>
    <w:p>
      <w:pPr>
        <w:spacing w:after="100" w:before="100"/>
      </w:pPr>
      <w:r>
        <w:rPr>
          <w:rFonts w:ascii="Calibri" w:cs="Calibri" w:eastAsia="Calibri" w:hAnsi="Calibri"/>
          <w:color w:val="1A1A1A"/>
          <w:sz w:val="22"/>
          <w:szCs w:val="22"/>
        </w:rPr>
        <w:t xml:space="preserve">This project demonstrates the ability to source, clean, model, and visualize real government open data into a decision-ready dashboard. It reflects both technical proficiency in Power BI and an understanding of a policy-relevant issue directly connected to British Columbia's public sector and community priorities.</w:t>
      </w:r>
    </w:p>
    <w:p>
      <w:pPr>
        <w:spacing w:after="100" w:before="100"/>
      </w:pPr>
      <w:r>
        <w:t xml:space="preserve"/>
      </w:r>
    </w:p>
    <w:p>
      <w:pPr>
        <w:pBdr>
          <w:bottom w:val="single" w:color="2E75B6" w:sz="6"/>
        </w:pBdr>
        <w:spacing w:after="200" w:before="200"/>
      </w:pPr>
      <w:r>
        <w:t xml:space="preserve"/>
      </w:r>
    </w:p>
    <w:p>
      <w:pPr>
        <w:spacing w:before="200"/>
        <w:jc w:val="center"/>
      </w:pPr>
      <w:r>
        <w:rPr>
          <w:rFonts w:ascii="Calibri" w:cs="Calibri" w:eastAsia="Calibri" w:hAnsi="Calibri"/>
          <w:i/>
          <w:iCs/>
          <w:color w:val="777777"/>
          <w:sz w:val="18"/>
          <w:szCs w:val="18"/>
        </w:rPr>
        <w:t xml:space="preserve">Rajwinder Singh  |  linkedin.com/in/rajwinder-singh-571051108  |  github.com/Raj-DataScience  |  Surrey, BC</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2026-07-14T06:50:21.832Z</dcterms:created>
  <dcterms:modified xsi:type="dcterms:W3CDTF">2026-07-14T06:50:21.843Z</dcterms:modified>
</cp:coreProperties>
</file>

<file path=docProps/custom.xml><?xml version="1.0" encoding="utf-8"?>
<Properties xmlns="http://schemas.openxmlformats.org/officeDocument/2006/custom-properties" xmlns:vt="http://schemas.openxmlformats.org/officeDocument/2006/docPropsVTypes"/>
</file>