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SUPERSTORE SALES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Power BI Dashboard Report</w:t>
      </w:r>
    </w:p>
    <w:p>
      <w:pPr>
        <w:spacing w:after="600" w:before="10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Prepared by: Rajwinder Singh  |  July 2026  |  UCW MBA Graduate</w:t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1. Executive Summary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report presents a comprehensive sales performance analysis of a US-based retail superstore covering the period from January 2015 to December 2018. The analysis was conducted using Microsoft Power BI Desktop and is based on a dataset of 9,800 transaction records spanning three product categories, four geographic regions, and three customer segments.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dashboard was built as part of a data analytics portfolio project to demonstrate proficiency in data transformation, DAX measure creation, data modeling, and interactive report design — skills directly aligned with the Microsoft PL-300 Power BI Data Analyst Associate certification.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2. Key Performance Indicators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Key Performance Indicators</w:t>
      </w:r>
    </w:p>
    <w:p>
      <w:pPr>
        <w:spacing w:after="100" w:before="10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6E4F0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2"/>
                <w:szCs w:val="32"/>
              </w:rPr>
              <w:t xml:space="preserve">$2.26M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Total Sales</w:t>
            </w:r>
          </w:p>
        </w:tc>
        <w:tc>
          <w:tcPr>
            <w:tcW w:type="dxa" w:w="2268"/>
            <w:shd w:fill="D6E4F0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2"/>
                <w:szCs w:val="32"/>
              </w:rPr>
              <w:t xml:space="preserve">4,922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2268"/>
            <w:shd w:fill="D6E4F0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2"/>
                <w:szCs w:val="32"/>
              </w:rPr>
              <w:t xml:space="preserve">793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2268"/>
            <w:shd w:fill="D6E4F0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2"/>
                <w:szCs w:val="32"/>
              </w:rPr>
              <w:t xml:space="preserve">$459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Avg Order Value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Total revenue over the four-year period reached $2.26 million across 4,922 unique orders from 793 customers. The average order value of $459 indicates a mid-to-high ticket purchase behaviour, consistent with a B2B and consumer hybrid retail model.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3. Sales Performance by Category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Sales Performance by Category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Category Breakdown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536"/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Sales</w:t>
            </w:r>
          </w:p>
        </w:tc>
      </w:tr>
      <w:tr>
        <w:tc>
          <w:tcPr>
            <w:tcW w:type="dxa" w:w="453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53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$827,456</w:t>
            </w:r>
          </w:p>
        </w:tc>
      </w:tr>
      <w:tr>
        <w:tc>
          <w:tcPr>
            <w:tcW w:type="dxa" w:w="453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Furniture</w:t>
            </w:r>
          </w:p>
        </w:tc>
        <w:tc>
          <w:tcPr>
            <w:tcW w:type="dxa" w:w="453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$728,659</w:t>
            </w:r>
          </w:p>
        </w:tc>
      </w:tr>
      <w:tr>
        <w:tc>
          <w:tcPr>
            <w:tcW w:type="dxa" w:w="453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Office Supplies</w:t>
            </w:r>
          </w:p>
        </w:tc>
        <w:tc>
          <w:tcPr>
            <w:tcW w:type="dxa" w:w="453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$705,422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Technology leads all three categories with $827,456 in total sales, representing approximately 36.6% of overall revenue. Furniture follows closely at $728,659 (32.2%), while Office Supplies contributes $705,422 (31.2%). The near-equal distribution across categories suggests a well-diversified product portfolio with no single category dominating revenue.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Key insight: Despite Office Supplies having the highest number of transactions (5,909 orders), Technology generates the most revenue — indicating a significantly higher average transaction value per Technology order.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4. Regional Sales Analysis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Regional Sales Analysis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Region Breakdown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4536"/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Sales</w:t>
            </w:r>
          </w:p>
        </w:tc>
      </w:tr>
      <w:tr>
        <w:tc>
          <w:tcPr>
            <w:tcW w:type="dxa" w:w="453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West</w:t>
            </w:r>
          </w:p>
        </w:tc>
        <w:tc>
          <w:tcPr>
            <w:tcW w:type="dxa" w:w="453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$725,458</w:t>
            </w:r>
          </w:p>
        </w:tc>
      </w:tr>
      <w:tr>
        <w:tc>
          <w:tcPr>
            <w:tcW w:type="dxa" w:w="453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East</w:t>
            </w:r>
          </w:p>
        </w:tc>
        <w:tc>
          <w:tcPr>
            <w:tcW w:type="dxa" w:w="453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$678,781</w:t>
            </w:r>
          </w:p>
        </w:tc>
      </w:tr>
      <w:tr>
        <w:tc>
          <w:tcPr>
            <w:tcW w:type="dxa" w:w="453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Central</w:t>
            </w:r>
          </w:p>
        </w:tc>
        <w:tc>
          <w:tcPr>
            <w:tcW w:type="dxa" w:w="453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$499,663</w:t>
            </w:r>
          </w:p>
        </w:tc>
      </w:tr>
      <w:tr>
        <w:tc>
          <w:tcPr>
            <w:tcW w:type="dxa" w:w="453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South</w:t>
            </w:r>
          </w:p>
        </w:tc>
        <w:tc>
          <w:tcPr>
            <w:tcW w:type="dxa" w:w="453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$357,635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West region is the top-performing geography with $725,458 in sales, driven largely by California which alone contributes $446,306 — the single highest state-level sales figure in the dataset. The East region follows at $678,781, anchored by New York at $306,361.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South region is the lowest-performing at $357,635, representing only 15.8% of total revenue. This presents a significant growth opportunity for targeted regional sales strategies and marketing investment.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5. Customer Segment Analysis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Customer Segment Analysis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Consumer segment: $1,148,061 (50.8% of total sales) — largest and most valuable segment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Corporate segment: $688,494 (30.4%) — strong B2B revenue stream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Home Office segment: $424,982 (18.8%) — smallest but growing segment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Consumer segment dominates revenue, which is typical for retail superstores. However, Corporate clients represent high-value accounts with potential for bulk purchasing and long-term relationships. A targeted corporate sales strategy could significantly increase revenue in this segment.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6. Monthly Sales Trend Analysis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Monthly Sales Trend Analysis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monthly sales trend from 2015 to 2018 reveals a consistent seasonal pattern across all four years: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Sales peak consistently in Q4 (October–December) — driven by end-of-year purchasing cycles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Q1 of each year shows a dip — typical post-holiday spending slowdown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steady year-over-year growth trend is visible — indicating healthy business momentum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June shows a notable mid-year spike — suggesting a mid-year promotion or seasonal demand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seasonality insight is critical for inventory planning, staffing, and promotional budgeting. The Q4 peak should be leveraged with targeted campaigns and stock preparation.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7. Dashboard Features &amp; Interactivity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Dashboard Features &amp; Interactivity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Power BI dashboard was designed with the following interactive features: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Region slicer — filters all visuals by West, East, Central, or South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Segment slicer — filters by Consumer, Corporate, or Home Office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Category slicer — filters by Furniture, Office Supplies, or Technology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Tooltip on line chart — shows exact monthly sales on hover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Cross-filtering — clicking any chart element filters all other visuals simultaneously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8. Tools &amp; Methodology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Tools &amp; Methodology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Tool: Microsoft Power BI Desktop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Data source: Superstore Sales dataset (train.csv) — 9,800 rows, 18 columns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Data transformation: Power Query Editor — date formatting, column cleanup, error removal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Data modeling: Star schema with Superstore fact table and Date Table dimension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DAX measures: Total Sales, Total Orders, Total Customers, Avg Order Value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Visuals used: Card, Clustered Bar Chart, Line Chart, Donut Chart, Slicer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9. Key Recommendations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Key Recommendations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Based on the analysis, the following strategic recommendations are proposed: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Invest in the South region — it is significantly underperforming relative to its population size and represents the largest untapped geographic opportunity.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Expand Technology product lines — highest revenue per transaction, strong growth potential, especially in Corporate accounts.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Prepare Q4 inventory and promotions early — consistent seasonal peak across all years confirms Q4 as the most critical revenue period.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Develop a Corporate segment strategy — at 30% of revenue, corporate clients are high-value and represent a scalable growth channel.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10. Conclusion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Conclusion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Power BI dashboard demonstrates the ability to transform raw transactional data into meaningful business insights through effective data modeling, DAX calculations, and interactive visualisation. The Superstore dataset, while a training dataset, mirrors real-world retail analytics challenges and provides a strong foundation for demonstrating data analyst competencies.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project is part of an ongoing data analytics portfolio being developed in preparation for roles in healthcare and business analytics in British Columbia, Canada.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Rajwinder Singh  |  linkedin.com/in/rajwinder-singh-571051108  |  Surrey, BC, Canada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2026-07-05T20:43:31.214Z</dcterms:created>
  <dcterms:modified xsi:type="dcterms:W3CDTF">2026-07-05T20:43:31.214Z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