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1' Type='http://schemas.openxmlformats.org/officeDocument/2006/relationships/officeDocument' Target='word/document.xml'/>
</Relationships>
</file>

<file path=word/document.xml><?xml version="1.0" encoding="utf-8"?>
<w:document xmlns:w="http://schemas.openxmlformats.org/wordprocessingml/2006/main">
  <w:body>
    <w:p>
      <w:pPr>
        <w:jc w:val="center"/>
      </w:pPr>
      <w:r>
        <w:rPr>
          <w:b/>
          <w:sz w:val="36"/>
        </w:rPr>
        <w:t>RevRecover Test Guide</w:t>
      </w:r>
    </w:p>
    <w:p>
      <w:pPr>
        <w:jc w:val="center"/>
      </w:pPr>
      <w:r>
        <w:rPr>
          <w:i/>
          <w:sz w:val="22"/>
        </w:rPr>
        <w:t>How the app works and how to test it end to end</w:t>
      </w:r>
    </w:p>
    <w:p>
      <w:pPr>
        <w:spacing w:after="120"/>
      </w:pPr>
      <w:r>
        <w:rPr>
          <w:b/>
          <w:sz w:val="28"/>
        </w:rPr>
        <w:t>1. What this app does</w:t>
      </w:r>
    </w:p>
    <w:p>
      <w:pPr>
        <w:spacing w:after="80"/>
      </w:pPr>
      <w:r>
        <w:rPr>
          <w:sz w:val="22"/>
        </w:rPr>
        <w:t xml:space="preserve">RevRecover is a Razorpay recovery simulator and operator dashboard. It ingests webhook-like events, scores them with a policy engine, decides whether to act, records every decision in an audit trail, and shows the result in a UI built for demonstration and verification.</w:t>
      </w:r>
    </w:p>
    <w:p>
      <w:pPr>
        <w:spacing w:after="120"/>
      </w:pPr>
      <w:r>
        <w:rPr>
          <w:b/>
          <w:sz w:val="28"/>
        </w:rPr>
        <w:t>2. Main moving parts</w:t>
      </w:r>
    </w:p>
    <w:p>
      <w:pPr>
        <w:spacing w:after="80"/>
      </w:pPr>
      <w:r>
        <w:rPr>
          <w:sz w:val="22"/>
        </w:rPr>
        <w:t xml:space="preserve">Frontend: the React app renders a command-desk style dashboard with a case queue, a live event trigger, an audit timeline, a batch simulator, a compliance view, receivables, and a system report.</w:t>
      </w:r>
    </w:p>
    <w:p>
      <w:pPr>
        <w:spacing w:after="80"/>
      </w:pPr>
      <w:r>
        <w:rPr>
          <w:sz w:val="22"/>
        </w:rPr>
        <w:t xml:space="preserve">Backend: the Express server exposes state, batch, webhook, clock, opt-out, link-event, acceptance-test, and receivables endpoints.</w:t>
      </w:r>
    </w:p>
    <w:p>
      <w:pPr>
        <w:spacing w:after="80"/>
      </w:pPr>
      <w:r>
        <w:rPr>
          <w:sz w:val="22"/>
        </w:rPr>
        <w:t xml:space="preserve">Engine: the recovery engine keeps mocked time, enforces quiet hours, deduplicates actions, tracks mandate restoration, and persists its state to SQLite.</w:t>
      </w:r>
    </w:p>
    <w:p>
      <w:pPr>
        <w:spacing w:after="120"/>
      </w:pPr>
      <w:r>
        <w:rPr>
          <w:b/>
          <w:sz w:val="28"/>
        </w:rPr>
        <w:t>3. The user-visible workflow</w:t>
      </w:r>
    </w:p>
    <w:p>
      <w:pPr>
        <w:spacing w:after="80"/>
      </w:pPr>
      <w:r>
        <w:rPr>
          <w:sz w:val="22"/>
        </w:rPr>
        <w:t xml:space="preserve">Start the dev server at localhost:3000, open the dashboard, inspect the current state, and use the live trigger or batch tools to simulate events. The UI should update the at-risk queue, headline metrics, audit trail, and acceptance status together.</w:t>
      </w:r>
    </w:p>
    <w:p>
      <w:pPr>
        <w:spacing w:after="120"/>
      </w:pPr>
      <w:r>
        <w:rPr>
          <w:b/>
          <w:sz w:val="28"/>
        </w:rPr>
        <w:t>4. What to verify in the browser</w:t>
      </w:r>
    </w:p>
    <w:p>
      <w:pPr>
        <w:spacing w:after="80"/>
      </w:pPr>
      <w:r>
        <w:rPr>
          <w:sz w:val="22"/>
        </w:rPr>
        <w:t xml:space="preserve">Check that the header, dashboard cards, and panel layout load without clipping. Open the case timeline to confirm event history is readable. Run the batch simulator and confirm the treatment/control numbers update. Trigger a webhook and confirm the audit log records the decision and outcome. Advance the mocked clock and confirm quiet-hours and halted-stage behavior change as expected.</w:t>
      </w:r>
    </w:p>
    <w:p>
      <w:pPr>
        <w:spacing w:after="120"/>
      </w:pPr>
      <w:r>
        <w:rPr>
          <w:b/>
          <w:sz w:val="28"/>
        </w:rPr>
        <w:t>5. Backend routes worth testing</w:t>
      </w:r>
    </w:p>
    <w:p>
      <w:pPr>
        <w:spacing w:after="80"/>
      </w:pPr>
      <w:r>
        <w:rPr>
          <w:sz w:val="22"/>
        </w:rPr>
        <w:t xml:space="preserve">GET /api/state for the current engine snapshot. POST /api/webhook/razorpay for webhook ingestion. POST /api/batch/run for a fresh synthetic batch. POST /api/settings/advance-clock to move mocked time forward. POST /api/case/opt-out and POST /api/case/link-event for case-level actions. GET /api/acceptance-tests for the automated verification suite. GET /api/receivables for the B2B stretch module.</w:t>
      </w:r>
    </w:p>
    <w:p>
      <w:pPr>
        <w:spacing w:after="120"/>
      </w:pPr>
      <w:r>
        <w:rPr>
          <w:b/>
          <w:sz w:val="28"/>
        </w:rPr>
        <w:t>6. Feature checks that matter most</w:t>
      </w:r>
    </w:p>
    <w:p>
      <w:pPr>
        <w:spacing w:after="80"/>
      </w:pPr>
      <w:r>
        <w:rPr>
          <w:sz w:val="22"/>
        </w:rPr>
        <w:t xml:space="preserve">Confirm that duplicate webhooks do not create duplicate actions. Confirm quiet-hours suppression, dry-run suppression, and opt-out stopping behavior. Confirm mandate-restoration is tracked separately from invoice payment. Confirm the simulated control arm and sensitivity views are labeled clearly. Confirm the acceptance suite passes end to end.</w:t>
      </w:r>
    </w:p>
    <w:p>
      <w:pPr>
        <w:spacing w:after="120"/>
      </w:pPr>
      <w:r>
        <w:rPr>
          <w:b/>
          <w:sz w:val="28"/>
        </w:rPr>
        <w:t>7. Known caveat</w:t>
      </w:r>
    </w:p>
    <w:p>
      <w:pPr>
        <w:spacing w:after="80"/>
      </w:pPr>
      <w:r>
        <w:rPr>
          <w:sz w:val="22"/>
        </w:rPr>
        <w:t xml:space="preserve">The startup logs may mention Gemini fallback because the current environment does not have a valid API key. That does not block the local app, because the code falls back to deterministic message generation.</w:t>
      </w:r>
    </w:p>
    <w:p>
      <w:pPr>
        <w:spacing w:after="120"/>
      </w:pPr>
      <w:r>
        <w:rPr>
          <w:b/>
          <w:sz w:val="28"/>
        </w:rPr>
        <w:t>8. Suggested test order</w:t>
      </w:r>
    </w:p>
    <w:p>
      <w:pPr>
        <w:spacing w:after="80"/>
      </w:pPr>
      <w:r>
        <w:rPr>
          <w:sz w:val="22"/>
        </w:rPr>
        <w:t xml:space="preserve">First confirm the dashboard loads. Then inspect the state endpoint. Next trigger one live event and one duplicate event. After that run the batch simulator and the acceptance suite. Finish by checking the receivables panel and the report/export view.</w:t>
      </w:r>
    </w:p>
    <w:sectPr>
      <w:pgSz w:w="12240" w:h="15840"/>
      <w:pgMar w:top="1440" w:right="1440" w:bottom="1440" w:left="1440" w:header="720" w:footer="720" w:gutter="0"/>
    </w:sectPr>
  </w:body>
</w:document>
</file>