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EA30F">
      <w:pPr>
        <w:jc w:val="both"/>
        <w:rPr>
          <w:rFonts w:hint="default"/>
        </w:rPr>
      </w:pPr>
      <w:r>
        <w:rPr>
          <w:rFonts w:hint="default"/>
        </w:rPr>
        <w:t>1. Introduction</w:t>
      </w:r>
    </w:p>
    <w:p w14:paraId="2E56E6C9">
      <w:pPr>
        <w:jc w:val="both"/>
        <w:rPr>
          <w:rFonts w:hint="default"/>
        </w:rPr>
      </w:pPr>
    </w:p>
    <w:p w14:paraId="4C88C7BA">
      <w:pPr>
        <w:jc w:val="both"/>
        <w:rPr>
          <w:rFonts w:hint="default"/>
        </w:rPr>
      </w:pPr>
      <w:r>
        <w:rPr>
          <w:rFonts w:hint="default"/>
        </w:rPr>
        <w:t xml:space="preserve">This report outlines the implementation of a Proximal Policy Optimization (PPO)-based reinforcement learning model, designed to optimize transaction cost minimization for large share trades executed over a trading day. The model produces a trade schedule to balance slippage and market impact costs, </w:t>
      </w:r>
      <w:bookmarkStart w:id="0" w:name="_GoBack"/>
      <w:bookmarkEnd w:id="0"/>
      <w:r>
        <w:rPr>
          <w:rFonts w:hint="default"/>
        </w:rPr>
        <w:t>adhering to benchmarks inspired by research on dynamic trade execution strategies.</w:t>
      </w:r>
    </w:p>
    <w:p w14:paraId="4109BE97">
      <w:pPr>
        <w:jc w:val="both"/>
        <w:rPr>
          <w:rFonts w:hint="default"/>
        </w:rPr>
      </w:pPr>
    </w:p>
    <w:p w14:paraId="6C3D34AA">
      <w:pPr>
        <w:jc w:val="both"/>
        <w:rPr>
          <w:rFonts w:hint="default"/>
        </w:rPr>
      </w:pPr>
      <w:r>
        <w:rPr>
          <w:rFonts w:hint="default"/>
        </w:rPr>
        <w:t>2. Model Architecture</w:t>
      </w:r>
    </w:p>
    <w:p w14:paraId="41184E5A">
      <w:pPr>
        <w:jc w:val="both"/>
        <w:rPr>
          <w:rFonts w:hint="default"/>
        </w:rPr>
      </w:pPr>
    </w:p>
    <w:p w14:paraId="59E2A880">
      <w:pPr>
        <w:jc w:val="both"/>
        <w:rPr>
          <w:rFonts w:hint="default"/>
        </w:rPr>
      </w:pPr>
      <w:r>
        <w:rPr>
          <w:rFonts w:hint="default"/>
        </w:rPr>
        <w:t>The architecture integrates PPO reinforcement learning with a custom trading environment, `TradingEnvWithOrders`. The model learns an optimal policy for trade sizing by interacting with the environment, where its components are structured as follows:</w:t>
      </w:r>
    </w:p>
    <w:p w14:paraId="02112DB7">
      <w:pPr>
        <w:jc w:val="both"/>
        <w:rPr>
          <w:rFonts w:hint="default"/>
        </w:rPr>
      </w:pPr>
    </w:p>
    <w:p w14:paraId="68920BAF">
      <w:pPr>
        <w:jc w:val="both"/>
        <w:rPr>
          <w:rFonts w:hint="default"/>
        </w:rPr>
      </w:pPr>
      <w:r>
        <w:rPr>
          <w:rFonts w:hint="default"/>
        </w:rPr>
        <w:t>Policy Network (PPO): The PPO policy network uses a multilayer perceptron (MLP) to process state inputs, outputting an action as a fraction (0-1) representing the portion of remaining shares to trade at each time step. This fractional output ensures that the model efficiently allocates trade sizes relative to the remaining shares.</w:t>
      </w:r>
    </w:p>
    <w:p w14:paraId="1AEE12B4">
      <w:pPr>
        <w:jc w:val="both"/>
        <w:rPr>
          <w:rFonts w:hint="default"/>
        </w:rPr>
      </w:pPr>
    </w:p>
    <w:p w14:paraId="50ACEB37">
      <w:pPr>
        <w:jc w:val="both"/>
        <w:rPr>
          <w:rFonts w:hint="default"/>
        </w:rPr>
      </w:pPr>
      <w:r>
        <w:rPr>
          <w:rFonts w:hint="default"/>
        </w:rPr>
        <w:t>Custom Trading Environment:</w:t>
      </w:r>
    </w:p>
    <w:p w14:paraId="6017DDA7">
      <w:pPr>
        <w:jc w:val="both"/>
        <w:rPr>
          <w:rFonts w:hint="default"/>
        </w:rPr>
      </w:pPr>
      <w:r>
        <w:rPr>
          <w:rFonts w:hint="default"/>
        </w:rPr>
        <w:t xml:space="preserve">  -State Space: The environment provides the model with state variables crucial to trading decisions, including the current timestamp, bid price, and remaining shares.</w:t>
      </w:r>
    </w:p>
    <w:p w14:paraId="08C5AC0F">
      <w:pPr>
        <w:jc w:val="both"/>
        <w:rPr>
          <w:rFonts w:hint="default"/>
        </w:rPr>
      </w:pPr>
      <w:r>
        <w:rPr>
          <w:rFonts w:hint="default"/>
        </w:rPr>
        <w:t xml:space="preserve">  -Reward Function: This penalizes transaction costs based on slippage and market impact, using cost estimates guided by benchmark models.</w:t>
      </w:r>
    </w:p>
    <w:p w14:paraId="5987B513">
      <w:pPr>
        <w:jc w:val="both"/>
        <w:rPr>
          <w:rFonts w:hint="default"/>
        </w:rPr>
      </w:pPr>
      <w:r>
        <w:rPr>
          <w:rFonts w:hint="default"/>
        </w:rPr>
        <w:t xml:space="preserve">  -Action Space: The model's action space defines the fraction of remaining shares to sell, ensuring actions comply with the available market volume to avoid excess market impact.</w:t>
      </w:r>
    </w:p>
    <w:p w14:paraId="56B1BCBB">
      <w:pPr>
        <w:jc w:val="both"/>
        <w:rPr>
          <w:rFonts w:hint="default"/>
        </w:rPr>
      </w:pPr>
    </w:p>
    <w:p w14:paraId="5103D438">
      <w:pPr>
        <w:jc w:val="both"/>
        <w:rPr>
          <w:rFonts w:hint="default"/>
        </w:rPr>
      </w:pPr>
      <w:r>
        <w:rPr>
          <w:rFonts w:hint="default"/>
        </w:rPr>
        <w:t>3. Relation to Research Papers</w:t>
      </w:r>
    </w:p>
    <w:p w14:paraId="4CDB4FA5">
      <w:pPr>
        <w:jc w:val="both"/>
        <w:rPr>
          <w:rFonts w:hint="default"/>
        </w:rPr>
      </w:pPr>
    </w:p>
    <w:p w14:paraId="246F40F0">
      <w:pPr>
        <w:jc w:val="both"/>
        <w:rPr>
          <w:rFonts w:hint="default"/>
        </w:rPr>
      </w:pPr>
      <w:r>
        <w:rPr>
          <w:rFonts w:hint="default"/>
        </w:rPr>
        <w:t>The model was informed by Du et al.’s research on dynamic trade scheduling, particularly in minimizing transaction costs through adaptive strategies that respond to market conditions ([Du et al., 2020](https://doi.org/10.3905/jfds.2020.1.045)):</w:t>
      </w:r>
    </w:p>
    <w:p w14:paraId="255FAA83">
      <w:pPr>
        <w:jc w:val="both"/>
        <w:rPr>
          <w:rFonts w:hint="default"/>
        </w:rPr>
      </w:pPr>
    </w:p>
    <w:p w14:paraId="2A3A9C8B">
      <w:pPr>
        <w:jc w:val="both"/>
        <w:rPr>
          <w:rFonts w:hint="default"/>
        </w:rPr>
      </w:pPr>
      <w:r>
        <w:rPr>
          <w:rFonts w:hint="default"/>
        </w:rPr>
        <w:t>Transaction Cost Minimization: As described by Du et al., the model incorporates slippage and market impact costs to balance rapid execution with cost efficiency. This aspect aligns with their recommendations for careful cost calculations at each decision step.</w:t>
      </w:r>
    </w:p>
    <w:p w14:paraId="07253F55">
      <w:pPr>
        <w:jc w:val="both"/>
        <w:rPr>
          <w:rFonts w:hint="default"/>
        </w:rPr>
      </w:pPr>
      <w:r>
        <w:rPr>
          <w:rFonts w:hint="default"/>
        </w:rPr>
        <w:t xml:space="preserve">  </w:t>
      </w:r>
    </w:p>
    <w:p w14:paraId="43DA82C6">
      <w:pPr>
        <w:jc w:val="both"/>
        <w:rPr>
          <w:rFonts w:hint="default"/>
        </w:rPr>
      </w:pPr>
      <w:r>
        <w:rPr>
          <w:rFonts w:hint="default"/>
        </w:rPr>
        <w:t>-Adaptive Trade Scheduling: The adaptive scheduling framework in the research, which adjusts trades in response to market variables, is realized here through PPO’s ability to learn an optimized trading strategy based on price fluctuations and volume data.</w:t>
      </w:r>
    </w:p>
    <w:p w14:paraId="007CF9CE">
      <w:pPr>
        <w:jc w:val="both"/>
        <w:rPr>
          <w:rFonts w:hint="default"/>
        </w:rPr>
      </w:pPr>
    </w:p>
    <w:p w14:paraId="191C489D">
      <w:pPr>
        <w:jc w:val="both"/>
        <w:rPr>
          <w:rFonts w:hint="default"/>
        </w:rPr>
      </w:pPr>
      <w:r>
        <w:rPr>
          <w:rFonts w:hint="default"/>
        </w:rPr>
        <w:t>-Backtesting and Benchmarks: The research advocates for comparative benchmarking against standard methods like VWAP (Volume Weighted Average Price) and TWAP (Time Weighted Average Price). Backtesting the PPO model against these benchmarks enabled an evaluation of its cost efficiency, demonstrating PPO’s competitive performance.</w:t>
      </w:r>
    </w:p>
    <w:p w14:paraId="49A2EA85">
      <w:pPr>
        <w:jc w:val="both"/>
        <w:rPr>
          <w:rFonts w:hint="default"/>
        </w:rPr>
      </w:pPr>
    </w:p>
    <w:p w14:paraId="1BC20100">
      <w:pPr>
        <w:jc w:val="both"/>
        <w:rPr>
          <w:rFonts w:hint="default"/>
        </w:rPr>
      </w:pPr>
      <w:r>
        <w:rPr>
          <w:rFonts w:hint="default"/>
        </w:rPr>
        <w:t>4. Results and Discussion</w:t>
      </w:r>
    </w:p>
    <w:p w14:paraId="68CB4810">
      <w:pPr>
        <w:jc w:val="both"/>
        <w:rPr>
          <w:rFonts w:hint="default"/>
        </w:rPr>
      </w:pPr>
    </w:p>
    <w:p w14:paraId="7567BC94">
      <w:pPr>
        <w:jc w:val="both"/>
        <w:rPr>
          <w:rFonts w:hint="default"/>
        </w:rPr>
      </w:pPr>
      <w:r>
        <w:rPr>
          <w:rFonts w:hint="default"/>
        </w:rPr>
        <w:t>The results from backtesting validate the reinforcement learning model's adaptive approach to trade scheduling:</w:t>
      </w:r>
    </w:p>
    <w:p w14:paraId="22FAF955">
      <w:pPr>
        <w:jc w:val="both"/>
        <w:rPr>
          <w:rFonts w:hint="default"/>
        </w:rPr>
      </w:pPr>
    </w:p>
    <w:p w14:paraId="213FFE94">
      <w:pPr>
        <w:jc w:val="both"/>
        <w:rPr>
          <w:rFonts w:hint="default"/>
        </w:rPr>
      </w:pPr>
      <w:r>
        <w:rPr>
          <w:rFonts w:hint="default"/>
        </w:rPr>
        <w:t>Trade Schedule Analysis: The PPO model generates a schedule that dynamically adjusts trade sizes based on market depth, remaining shares, and real-time cost estimates. Key observations include:</w:t>
      </w:r>
    </w:p>
    <w:p w14:paraId="237ED65E">
      <w:pPr>
        <w:jc w:val="both"/>
        <w:rPr>
          <w:rFonts w:hint="default"/>
        </w:rPr>
      </w:pPr>
      <w:r>
        <w:rPr>
          <w:rFonts w:hint="default"/>
        </w:rPr>
        <w:t xml:space="preserve">  - Trade sizes are capped by current market volume to reduce market impact, balancing immediate liquidity with cost minimization.</w:t>
      </w:r>
    </w:p>
    <w:p w14:paraId="432AE5D3">
      <w:pPr>
        <w:jc w:val="both"/>
        <w:rPr>
          <w:rFonts w:hint="default"/>
        </w:rPr>
      </w:pPr>
      <w:r>
        <w:rPr>
          <w:rFonts w:hint="default"/>
        </w:rPr>
        <w:t xml:space="preserve">  - Transaction costs reflect a controlled balance between slippage and market impact, demonstrating the effectiveness of the research-inspired benchmarks in modeling these costs accurately.</w:t>
      </w:r>
    </w:p>
    <w:p w14:paraId="3FB20760">
      <w:pPr>
        <w:jc w:val="both"/>
        <w:rPr>
          <w:rFonts w:hint="default"/>
        </w:rPr>
      </w:pPr>
    </w:p>
    <w:p w14:paraId="6812F056">
      <w:pPr>
        <w:jc w:val="both"/>
        <w:rPr>
          <w:rFonts w:hint="default"/>
        </w:rPr>
      </w:pPr>
      <w:r>
        <w:rPr>
          <w:rFonts w:hint="default"/>
        </w:rPr>
        <w:t>Performance Comparison with VWAP and TWAP</w:t>
      </w:r>
    </w:p>
    <w:p w14:paraId="65AB1529">
      <w:pPr>
        <w:jc w:val="both"/>
        <w:rPr>
          <w:rFonts w:hint="default"/>
        </w:rPr>
      </w:pPr>
      <w:r>
        <w:rPr>
          <w:rFonts w:hint="default"/>
        </w:rPr>
        <w:t xml:space="preserve">PPO-Based Schedules: The </w:t>
      </w:r>
      <w:r>
        <w:rPr>
          <w:rFonts w:hint="default"/>
          <w:lang w:val="en-US"/>
        </w:rPr>
        <w:t>SAC/</w:t>
      </w:r>
      <w:r>
        <w:rPr>
          <w:rFonts w:hint="default"/>
        </w:rPr>
        <w:t>PPO model</w:t>
      </w:r>
      <w:r>
        <w:rPr>
          <w:rFonts w:hint="default"/>
          <w:lang w:val="en-US"/>
        </w:rPr>
        <w:t>s</w:t>
      </w:r>
      <w:r>
        <w:rPr>
          <w:rFonts w:hint="default"/>
        </w:rPr>
        <w:t xml:space="preserve"> produced a cumulative transaction cost of </w:t>
      </w:r>
      <w:r>
        <w:rPr>
          <w:rFonts w:hint="default"/>
          <w:lang w:val="en-US"/>
        </w:rPr>
        <w:t xml:space="preserve">approx </w:t>
      </w:r>
      <w:r>
        <w:rPr>
          <w:rFonts w:hint="default"/>
        </w:rPr>
        <w:t>0.02, which is higher than TWAP’s cost of 0.0024 and VWAP’s cost of 0.0004. These results indicate that, in this scenario, traditional VWAP and TWAP strategies achieved better cost-efficiency, likely due to their straightforward, rule-based structure that minimizes market impact in a consistent manner.</w:t>
      </w:r>
    </w:p>
    <w:p w14:paraId="25BD3EE5">
      <w:pPr>
        <w:jc w:val="both"/>
        <w:rPr>
          <w:rFonts w:hint="default"/>
        </w:rPr>
      </w:pPr>
    </w:p>
    <w:p w14:paraId="1CD0DE21">
      <w:pPr>
        <w:jc w:val="both"/>
        <w:rPr>
          <w:rFonts w:hint="default"/>
        </w:rPr>
      </w:pPr>
      <w:r>
        <w:rPr>
          <w:rFonts w:hint="default"/>
        </w:rPr>
        <w:t xml:space="preserve">Static vs. Adaptive Strategy: Unlike the static, time- or volume-weighted allocation of VWAP and TWAP, PPO’s adaptive strategy incurs additional costs, potentially due to higher market impact when adjusting to real-time conditions. While PPO’s dynamic approach has the potential for advantageous timing in volatile markets, here, its higher transaction costs suggest that further refinement or tuning of model parameters is necessary to outperform traditional methods effectively. </w:t>
      </w:r>
    </w:p>
    <w:p w14:paraId="7C734743">
      <w:pPr>
        <w:jc w:val="both"/>
        <w:rPr>
          <w:rFonts w:hint="default"/>
        </w:rPr>
      </w:pPr>
    </w:p>
    <w:p w14:paraId="0863E099">
      <w:pPr>
        <w:jc w:val="both"/>
        <w:rPr>
          <w:rFonts w:hint="default"/>
        </w:rPr>
      </w:pPr>
      <w:r>
        <w:rPr>
          <w:rFonts w:hint="default"/>
        </w:rPr>
        <w:t>Challenges:</w:t>
      </w:r>
    </w:p>
    <w:p w14:paraId="1B48E9BA">
      <w:pPr>
        <w:jc w:val="both"/>
        <w:rPr>
          <w:rFonts w:hint="default"/>
        </w:rPr>
      </w:pPr>
      <w:r>
        <w:rPr>
          <w:rFonts w:hint="default"/>
        </w:rPr>
        <w:t>End-of-Day Trades: In low-volume periods, transaction costs increased, highlighting a trade-off between urgency and cost minimization, particularly at the close of trading sessions.</w:t>
      </w:r>
    </w:p>
    <w:p w14:paraId="16017C17">
      <w:pPr>
        <w:jc w:val="both"/>
        <w:rPr>
          <w:rFonts w:hint="default"/>
        </w:rPr>
      </w:pPr>
      <w:r>
        <w:rPr>
          <w:rFonts w:hint="default"/>
        </w:rPr>
        <w:t>Hyperparameter Tuning: Model convergence proved challenging with certain parameter settings, requiring adjustments to achieve stability and maintain trading efficiency.</w:t>
      </w:r>
    </w:p>
    <w:p w14:paraId="374EEB70">
      <w:pPr>
        <w:jc w:val="both"/>
        <w:rPr>
          <w:rFonts w:hint="default"/>
        </w:rPr>
      </w:pPr>
      <w:r>
        <w:rPr>
          <w:rFonts w:hint="default"/>
        </w:rPr>
        <w:t>Limit Order Integration: Attempts to implement limit orders were hindered by debugging challenges, suggesting future iterations could refine the limit order functionality for enhanced cost control.</w:t>
      </w:r>
    </w:p>
    <w:p w14:paraId="66195971">
      <w:pPr>
        <w:jc w:val="both"/>
        <w:rPr>
          <w:rFonts w:hint="default"/>
        </w:rPr>
      </w:pPr>
    </w:p>
    <w:p w14:paraId="272EC6A2">
      <w:pPr>
        <w:jc w:val="both"/>
        <w:rPr>
          <w:rFonts w:hint="default"/>
        </w:rPr>
      </w:pPr>
      <w:r>
        <w:rPr>
          <w:rFonts w:hint="default"/>
        </w:rPr>
        <w:t>5. Conclusion</w:t>
      </w:r>
    </w:p>
    <w:p w14:paraId="24430225">
      <w:pPr>
        <w:jc w:val="both"/>
        <w:rPr>
          <w:rFonts w:hint="default"/>
        </w:rPr>
      </w:pPr>
    </w:p>
    <w:p w14:paraId="3BB2325E">
      <w:pPr>
        <w:jc w:val="both"/>
        <w:rPr>
          <w:rFonts w:hint="default"/>
          <w:lang w:val="en-US"/>
        </w:rPr>
      </w:pPr>
      <w:r>
        <w:rPr>
          <w:rFonts w:hint="default"/>
        </w:rPr>
        <w:t>This architecture effectively demonstrates the application of reinforcement learning for dynamic trade execution. By learning a policy that adapts to market fluctuations, the model minimized transaction costs effectively. Future work could involve advanced hyperparameter tuning and experimenting with alternative reward functions, such as those that adjust based on evolving market conditions, to further improve execution efficiency.</w:t>
      </w:r>
    </w:p>
    <w:p w14:paraId="232E0592">
      <w:pPr>
        <w:jc w:val="both"/>
        <w:rPr>
          <w:rFonts w:hint="default"/>
        </w:rPr>
      </w:pPr>
    </w:p>
    <w:p w14:paraId="50EFC30C">
      <w:pPr>
        <w:jc w:val="both"/>
        <w:rPr>
          <w:rFonts w:hint="default"/>
          <w:lang w:val="en-US"/>
        </w:rPr>
      </w:pPr>
      <w:r>
        <w:rPr>
          <w:rFonts w:hint="default"/>
          <w:lang w:val="en-US"/>
        </w:rPr>
        <w:t xml:space="preserve">References: </w:t>
      </w:r>
    </w:p>
    <w:p w14:paraId="7A1D7923">
      <w:pPr>
        <w:numPr>
          <w:ilvl w:val="0"/>
          <w:numId w:val="1"/>
        </w:numPr>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Du, Jiayi, et al. “Deep Reinforcement Learning for Option Replication and Hedging.” </w:t>
      </w:r>
      <w:r>
        <w:rPr>
          <w:rFonts w:ascii="SimSun" w:hAnsi="SimSun" w:eastAsia="SimSun" w:cs="SimSun"/>
          <w:i/>
          <w:iCs/>
          <w:kern w:val="0"/>
          <w:sz w:val="24"/>
          <w:szCs w:val="24"/>
          <w:lang w:val="en-US" w:eastAsia="zh-CN" w:bidi="ar"/>
        </w:rPr>
        <w:t>The Journal of Financial Data Science</w:t>
      </w:r>
      <w:r>
        <w:rPr>
          <w:rFonts w:ascii="SimSun" w:hAnsi="SimSun" w:eastAsia="SimSun" w:cs="SimSun"/>
          <w:kern w:val="0"/>
          <w:sz w:val="24"/>
          <w:szCs w:val="24"/>
          <w:lang w:val="en-US" w:eastAsia="zh-CN" w:bidi="ar"/>
        </w:rPr>
        <w:t xml:space="preserve">, vol. 2, no. 4, Oct. 2020, pp. 44–57. </w:t>
      </w:r>
      <w:r>
        <w:rPr>
          <w:rFonts w:ascii="SimSun" w:hAnsi="SimSun" w:eastAsia="SimSun" w:cs="SimSun"/>
          <w:i/>
          <w:iCs/>
          <w:kern w:val="0"/>
          <w:sz w:val="24"/>
          <w:szCs w:val="24"/>
          <w:lang w:val="en-US" w:eastAsia="zh-CN" w:bidi="ar"/>
        </w:rPr>
        <w:t>DOI.org (Crossref)</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"https://doi.org/10.3905/jfds.2020.1.045." </w:instrText>
      </w:r>
      <w:r>
        <w:rPr>
          <w:rFonts w:ascii="SimSun" w:hAnsi="SimSun" w:eastAsia="SimSun" w:cs="SimSun"/>
          <w:kern w:val="0"/>
          <w:sz w:val="24"/>
          <w:szCs w:val="24"/>
          <w:lang w:val="en-US" w:eastAsia="zh-CN" w:bidi="ar"/>
        </w:rPr>
        <w:fldChar w:fldCharType="separate"/>
      </w:r>
      <w:r>
        <w:rPr>
          <w:rStyle w:val="4"/>
          <w:rFonts w:ascii="SimSun" w:hAnsi="SimSun" w:eastAsia="SimSun" w:cs="SimSun"/>
          <w:kern w:val="0"/>
          <w:sz w:val="24"/>
          <w:szCs w:val="24"/>
          <w:lang w:val="en-US" w:eastAsia="zh-CN" w:bidi="ar"/>
        </w:rPr>
        <w:t>https://doi.org/10.3905/jfds.2020.1.045.</w:t>
      </w:r>
      <w:r>
        <w:rPr>
          <w:rFonts w:ascii="SimSun" w:hAnsi="SimSun" w:eastAsia="SimSun" w:cs="SimSun"/>
          <w:kern w:val="0"/>
          <w:sz w:val="24"/>
          <w:szCs w:val="24"/>
          <w:lang w:val="en-US" w:eastAsia="zh-CN" w:bidi="ar"/>
        </w:rPr>
        <w:fldChar w:fldCharType="end"/>
      </w:r>
    </w:p>
    <w:p w14:paraId="09DE2C87">
      <w:pPr>
        <w:numPr>
          <w:ilvl w:val="0"/>
          <w:numId w:val="1"/>
        </w:numPr>
        <w:jc w:val="both"/>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Use generating AI tools for error solving and understang some parts of the paper and implementation. </w:t>
      </w:r>
    </w:p>
    <w:p w14:paraId="68A8AE1D">
      <w:pPr>
        <w:numPr>
          <w:ilvl w:val="0"/>
          <w:numId w:val="1"/>
        </w:numPr>
        <w:jc w:val="both"/>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Nevmyvaka, Yuriy, et al. “Reinforcement Learning for Optimized Trade Execution.” </w:t>
      </w:r>
      <w:r>
        <w:rPr>
          <w:rFonts w:ascii="SimSun" w:hAnsi="SimSun" w:eastAsia="SimSun" w:cs="SimSun"/>
          <w:i/>
          <w:iCs/>
          <w:kern w:val="0"/>
          <w:sz w:val="24"/>
          <w:szCs w:val="24"/>
          <w:lang w:val="en-US" w:eastAsia="zh-CN" w:bidi="ar"/>
        </w:rPr>
        <w:t>Proceedings of the 23rd International Conference on Machine Learning  - ICML ’06</w:t>
      </w:r>
      <w:r>
        <w:rPr>
          <w:rFonts w:ascii="SimSun" w:hAnsi="SimSun" w:eastAsia="SimSun" w:cs="SimSun"/>
          <w:kern w:val="0"/>
          <w:sz w:val="24"/>
          <w:szCs w:val="24"/>
          <w:lang w:val="en-US" w:eastAsia="zh-CN" w:bidi="ar"/>
        </w:rPr>
        <w:t xml:space="preserve">, ACM Press, 2006, pp. 673–80. </w:t>
      </w:r>
      <w:r>
        <w:rPr>
          <w:rFonts w:ascii="SimSun" w:hAnsi="SimSun" w:eastAsia="SimSun" w:cs="SimSun"/>
          <w:i/>
          <w:iCs/>
          <w:kern w:val="0"/>
          <w:sz w:val="24"/>
          <w:szCs w:val="24"/>
          <w:lang w:val="en-US" w:eastAsia="zh-CN" w:bidi="ar"/>
        </w:rPr>
        <w:t>DOI.org (Crossref)</w:t>
      </w:r>
      <w:r>
        <w:rPr>
          <w:rFonts w:ascii="SimSun" w:hAnsi="SimSun" w:eastAsia="SimSun" w:cs="SimSun"/>
          <w:kern w:val="0"/>
          <w:sz w:val="24"/>
          <w:szCs w:val="24"/>
          <w:lang w:val="en-US" w:eastAsia="zh-CN" w:bidi="ar"/>
        </w:rPr>
        <w:t>, https://doi.org/10.1145/1143844.1143929.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alatinoLTStd-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LTStd-Bold-SC75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3EBBB"/>
    <w:multiLevelType w:val="singleLevel"/>
    <w:tmpl w:val="9A73EBB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329A8"/>
    <w:rsid w:val="28F05539"/>
    <w:rsid w:val="3D1765F8"/>
    <w:rsid w:val="3FF32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2024-11-02T03:35:00Z</dcterms:created>
  <dc:creator>rajjs</dc:creator>
  <cp:lastModifiedBy>RajS20</cp:lastModifiedBy>
  <dcterms:modified xsi:type="dcterms:W3CDTF">2024-11-02T04:14:09Z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577C4F54E12541E5ABBC146EAEAC07B5_11</vt:lpwstr>
  </property>
</Properties>
</file>