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0F1B2D"/>
          <w:sz w:val="96"/>
          <w:szCs w:val="96"/>
        </w:rPr>
        <w:t xml:space="preserve">AutoStack</w:t>
      </w:r>
    </w:p>
    <w:p>
      <w:pPr>
        <w:spacing w:after="200" w:before="0"/>
        <w:jc w:val="center"/>
      </w:pPr>
      <w:r>
        <w:rPr>
          <w:rFonts w:ascii="Arial" w:cs="Arial" w:eastAsia="Arial" w:hAnsi="Arial"/>
          <w:b w:val="false"/>
          <w:bCs w:val="false"/>
          <w:i/>
          <w:iCs/>
          <w:color w:val="2E4057"/>
          <w:sz w:val="40"/>
          <w:szCs w:val="40"/>
        </w:rPr>
        <w:t xml:space="preserve">Intelligent Kubernetes Operations Platform</w:t>
      </w:r>
    </w:p>
    <w:p>
      <w:pPr>
        <w:pBdr>
          <w:bottom w:val="single" w:color="0EA5E9" w:sz="4" w:space="0"/>
        </w:pBdr>
        <w:spacing w:after="240" w:before="0"/>
        <w:jc w:val="center"/>
      </w:pPr>
      <w:r>
        <w:t xml:space="preserve"/>
      </w:r>
    </w:p>
    <w:p>
      <w:pPr>
        <w:spacing w:after="0" w:before="160"/>
      </w:pPr>
      <w:r>
        <w:t xml:space="preserve"/>
      </w:r>
    </w:p>
    <w:p>
      <w:pPr>
        <w:spacing w:after="100" w:before="0"/>
        <w:jc w:val="center"/>
      </w:pPr>
      <w:r>
        <w:rPr>
          <w:rFonts w:ascii="Arial" w:cs="Arial" w:eastAsia="Arial" w:hAnsi="Arial"/>
          <w:b/>
          <w:bCs/>
          <w:color w:val="475569"/>
          <w:spacing w:val="80"/>
          <w:sz w:val="24"/>
          <w:szCs w:val="24"/>
        </w:rPr>
        <w:t xml:space="preserve">PROJECT OVERVIEW &amp; TECHNICAL SPECIFICATION</w:t>
      </w:r>
    </w:p>
    <w:p>
      <w:pPr>
        <w:spacing w:after="0" w:before="32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b/>
                <w:bCs/>
                <w:color w:val="94A3B8"/>
                <w:sz w:val="20"/>
                <w:szCs w:val="20"/>
              </w:rPr>
              <w:t xml:space="preserve">Version</w:t>
            </w:r>
          </w:p>
        </w:tc>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0"/>
            </w:tcMar>
          </w:tcPr>
          <w:p>
            <w:r>
              <w:rPr>
                <w:rFonts w:ascii="Arial" w:cs="Arial" w:eastAsia="Arial" w:hAnsi="Arial"/>
                <w:color w:val="2E4057"/>
                <w:sz w:val="20"/>
                <w:szCs w:val="20"/>
              </w:rPr>
              <w:t xml:space="preserve">1.0  —  Final</w:t>
            </w:r>
          </w:p>
        </w:tc>
      </w:tr>
      <w:tr>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b/>
                <w:bCs/>
                <w:color w:val="94A3B8"/>
                <w:sz w:val="20"/>
                <w:szCs w:val="20"/>
              </w:rPr>
              <w:t xml:space="preserve">Category</w:t>
            </w:r>
          </w:p>
        </w:tc>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0"/>
            </w:tcMar>
          </w:tcPr>
          <w:p>
            <w:r>
              <w:rPr>
                <w:rFonts w:ascii="Arial" w:cs="Arial" w:eastAsia="Arial" w:hAnsi="Arial"/>
                <w:color w:val="2E4057"/>
                <w:sz w:val="20"/>
                <w:szCs w:val="20"/>
              </w:rPr>
              <w:t xml:space="preserve">DevOps / Cloud-Native SaaS</w:t>
            </w:r>
          </w:p>
        </w:tc>
      </w:tr>
      <w:tr>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b/>
                <w:bCs/>
                <w:color w:val="94A3B8"/>
                <w:sz w:val="20"/>
                <w:szCs w:val="20"/>
              </w:rPr>
              <w:t xml:space="preserve">Status</w:t>
            </w:r>
          </w:p>
        </w:tc>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0"/>
            </w:tcMar>
          </w:tcPr>
          <w:p>
            <w:r>
              <w:rPr>
                <w:rFonts w:ascii="Arial" w:cs="Arial" w:eastAsia="Arial" w:hAnsi="Arial"/>
                <w:color w:val="059669"/>
                <w:sz w:val="20"/>
                <w:szCs w:val="20"/>
              </w:rPr>
              <w:t xml:space="preserve">Production-Ready Specification</w:t>
            </w:r>
          </w:p>
        </w:tc>
      </w:tr>
      <w:tr>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b/>
                <w:bCs/>
                <w:color w:val="94A3B8"/>
                <w:sz w:val="20"/>
                <w:szCs w:val="20"/>
              </w:rPr>
              <w:t xml:space="preserve">Date</w:t>
            </w:r>
          </w:p>
        </w:tc>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0"/>
            </w:tcMar>
          </w:tcPr>
          <w:p>
            <w:r>
              <w:rPr>
                <w:rFonts w:ascii="Arial" w:cs="Arial" w:eastAsia="Arial" w:hAnsi="Arial"/>
                <w:color w:val="2E4057"/>
                <w:sz w:val="20"/>
                <w:szCs w:val="20"/>
              </w:rPr>
              <w:t xml:space="preserve">March 2026</w:t>
            </w:r>
          </w:p>
        </w:tc>
      </w:tr>
    </w:tbl>
    <w:p>
      <w:r>
        <w:br w:type="page"/>
      </w:r>
    </w:p>
    <w:p>
      <w:pPr>
        <w:pStyle w:val="Heading1"/>
        <w:pBdr>
          <w:bottom w:val="single" w:color="1A56DB" w:sz="6" w:space="8"/>
        </w:pBdr>
        <w:spacing w:after="200" w:before="400"/>
      </w:pPr>
      <w:r>
        <w:rPr>
          <w:rFonts w:ascii="Arial" w:cs="Arial" w:eastAsia="Arial" w:hAnsi="Arial"/>
          <w:b/>
          <w:bCs/>
          <w:color w:val="0F1B2D"/>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spacing w:after="60" w:before="0"/>
      </w:pPr>
      <w:r>
        <w:rPr>
          <w:rFonts w:ascii="Arial" w:cs="Arial" w:eastAsia="Arial" w:hAnsi="Arial"/>
          <w:b/>
          <w:bCs/>
          <w:color w:val="0EA5E9"/>
          <w:spacing w:val="120"/>
          <w:sz w:val="18"/>
          <w:szCs w:val="18"/>
        </w:rPr>
        <w:t xml:space="preserve">SECTION 01</w:t>
      </w:r>
    </w:p>
    <w:p>
      <w:pPr>
        <w:pStyle w:val="Heading1"/>
        <w:pBdr>
          <w:bottom w:val="single" w:color="1A56DB" w:sz="6" w:space="8"/>
        </w:pBdr>
        <w:spacing w:after="200" w:before="400"/>
      </w:pPr>
      <w:r>
        <w:rPr>
          <w:rFonts w:ascii="Arial" w:cs="Arial" w:eastAsia="Arial" w:hAnsi="Arial"/>
          <w:b/>
          <w:bCs/>
          <w:color w:val="0F1B2D"/>
          <w:sz w:val="36"/>
          <w:szCs w:val="36"/>
        </w:rPr>
        <w:t xml:space="preserve">Executive Summary</w:t>
      </w:r>
    </w:p>
    <w:p>
      <w:pPr>
        <w:spacing w:after="100" w:before="60"/>
      </w:pPr>
      <w:r>
        <w:rPr>
          <w:rFonts w:ascii="Arial" w:cs="Arial" w:eastAsia="Arial" w:hAnsi="Arial"/>
          <w:b w:val="false"/>
          <w:bCs w:val="false"/>
          <w:color w:val="0F172A"/>
          <w:sz w:val="22"/>
          <w:szCs w:val="22"/>
        </w:rPr>
        <w:t xml:space="preserve">AutoStack is an Intelligent Kubernetes Operations Platform. It connects to any existing Kubernetes cluster — whether hosted on AWS EKS, Google GKE, Azure AKS, or bare metal — and makes it self-aware, self-healing, and continuously self-optimizing through three purpose-built automation engines.</w:t>
      </w:r>
    </w:p>
    <w:p>
      <w:pPr>
        <w:spacing w:after="0" w:before="80"/>
      </w:pPr>
      <w:r>
        <w:t xml:space="preserve"/>
      </w:r>
    </w:p>
    <w:p>
      <w:pPr>
        <w:spacing w:after="100" w:before="60"/>
      </w:pPr>
      <w:r>
        <w:rPr>
          <w:rFonts w:ascii="Arial" w:cs="Arial" w:eastAsia="Arial" w:hAnsi="Arial"/>
          <w:b w:val="false"/>
          <w:bCs w:val="false"/>
          <w:color w:val="0F172A"/>
          <w:sz w:val="22"/>
          <w:szCs w:val="22"/>
        </w:rPr>
        <w:t xml:space="preserve">The platform is not a hosting company. It does not provision cloud infrastructure. It does not replace your cloud provider. It is an intelligence layer — a persistent operational brain that watches your cluster around the clock, scores its health across four measurable dimensions, and produces real, actionable work products rather than dashboards full of alerts that engineers still have to diagnose manually.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
              <w:bottom w:val="none" w:color="FFFFFF" w:sz="0"/>
              <w:right w:val="none" w:color="FFFFFF" w:sz="0"/>
            </w:tcBorders>
            <w:shd w:fill="EBF5FF" w:val="clear"/>
            <w:tcMar>
              <w:top w:type="dxa" w:w="80"/>
              <w:left w:type="dxa" w:w="200"/>
              <w:bottom w:type="dxa" w:w="60"/>
              <w:right w:type="dxa" w:w="200"/>
            </w:tcMar>
          </w:tcPr>
          <w:p>
            <w:pPr>
              <w:spacing w:after="20" w:before="20"/>
            </w:pPr>
            <w:r>
              <w:rPr>
                <w:rFonts w:ascii="Arial" w:cs="Arial" w:eastAsia="Arial" w:hAnsi="Arial"/>
                <w:color w:val="2E4057"/>
                <w:sz w:val="20"/>
                <w:szCs w:val="20"/>
              </w:rPr>
              <w:t xml:space="preserve">Core Thesis: The hard problem in Kubernetes is not deployment. Every developer can deploy once. The hard problem is Day 2 operations — keeping workloads alive, secure, right-sized, and diagnosable at 3 AM when something breaks. AutoStack solves Day 2.</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What AutoStack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Capability</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What It Does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Deployment Engine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Analyzes any Git repository, generates production-grade Kubernetes manifests and Dockerfiles, opens a GitOps pull request, and hands deployment to ArgoCD — no YAML written by hand, no kubectl run by a human.</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Operational Scoring</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Runs a continuous evaluation loop on every cluster dimension: Security, Cost Efficiency, Reliability, and Performance. Every finding generates a PR with the exact fix. Cluster health becomes a tracked, improvable number.</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Incident Response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When a pod crashes or a rollout stalls, AutoStack runs a structured diagnosis pipeline correlating logs, events, and metrics against a curated failure pattern library, produces a Root Cause Report, and optionally auto-remediates.</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Why This Matters in the Market</w:t>
      </w:r>
    </w:p>
    <w:p>
      <w:pPr>
        <w:spacing w:after="100" w:before="60"/>
      </w:pPr>
      <w:r>
        <w:rPr>
          <w:rFonts w:ascii="Arial" w:cs="Arial" w:eastAsia="Arial" w:hAnsi="Arial"/>
          <w:b w:val="false"/>
          <w:bCs w:val="false"/>
          <w:color w:val="0F172A"/>
          <w:sz w:val="22"/>
          <w:szCs w:val="22"/>
        </w:rPr>
        <w:t xml:space="preserve">Kubernetes has become the de-facto standard for production workloads. As of 2025, over 96% of organizations running containers use Kubernetes. But the tooling ecosystem that supports operations after deployment is fragmented, expensive, and requires senior DevOps expertise to configure and maintain.</w:t>
      </w:r>
    </w:p>
    <w:p>
      <w:pPr>
        <w:spacing w:after="0" w:before="80"/>
      </w:pPr>
      <w:r>
        <w:t xml:space="preserve"/>
      </w:r>
    </w:p>
    <w:p>
      <w:pPr>
        <w:spacing w:after="100" w:before="60"/>
      </w:pPr>
      <w:r>
        <w:rPr>
          <w:rFonts w:ascii="Arial" w:cs="Arial" w:eastAsia="Arial" w:hAnsi="Arial"/>
          <w:b w:val="false"/>
          <w:bCs w:val="false"/>
          <w:color w:val="0F172A"/>
          <w:sz w:val="22"/>
          <w:szCs w:val="22"/>
        </w:rPr>
        <w:t xml:space="preserve">AutoStack consolidates the operational work that today requires a senior SRE, a security engineer, a FinOps analyst, and an on-call incident manager into a single automated platform with a clear, transparent output model. The result is measurable: reduced MTTR on incidents, reduced cloud spend waste, reduced security risk exposure, and reduced dependency on specialized headcount.</w:t>
      </w:r>
    </w:p>
    <w:p>
      <w:r>
        <w:br w:type="page"/>
      </w:r>
    </w:p>
    <w:p>
      <w:pPr>
        <w:spacing w:after="60" w:before="0"/>
      </w:pPr>
      <w:r>
        <w:rPr>
          <w:rFonts w:ascii="Arial" w:cs="Arial" w:eastAsia="Arial" w:hAnsi="Arial"/>
          <w:b/>
          <w:bCs/>
          <w:color w:val="0EA5E9"/>
          <w:spacing w:val="120"/>
          <w:sz w:val="18"/>
          <w:szCs w:val="18"/>
        </w:rPr>
        <w:t xml:space="preserve">SECTION 02</w:t>
      </w:r>
    </w:p>
    <w:p>
      <w:pPr>
        <w:pStyle w:val="Heading1"/>
        <w:pBdr>
          <w:bottom w:val="single" w:color="1A56DB" w:sz="6" w:space="8"/>
        </w:pBdr>
        <w:spacing w:after="200" w:before="400"/>
      </w:pPr>
      <w:r>
        <w:rPr>
          <w:rFonts w:ascii="Arial" w:cs="Arial" w:eastAsia="Arial" w:hAnsi="Arial"/>
          <w:b/>
          <w:bCs/>
          <w:color w:val="0F1B2D"/>
          <w:sz w:val="36"/>
          <w:szCs w:val="36"/>
        </w:rPr>
        <w:t xml:space="preserve">Problem Statement</w:t>
      </w:r>
    </w:p>
    <w:p>
      <w:pPr>
        <w:pStyle w:val="Heading2"/>
        <w:spacing w:after="160" w:before="300"/>
      </w:pPr>
      <w:r>
        <w:rPr>
          <w:rFonts w:ascii="Arial" w:cs="Arial" w:eastAsia="Arial" w:hAnsi="Arial"/>
          <w:b/>
          <w:bCs/>
          <w:color w:val="2E4057"/>
          <w:sz w:val="28"/>
          <w:szCs w:val="28"/>
        </w:rPr>
        <w:t xml:space="preserve">The Day 2 Operations Gap</w:t>
      </w:r>
    </w:p>
    <w:p>
      <w:pPr>
        <w:spacing w:after="100" w:before="60"/>
      </w:pPr>
      <w:r>
        <w:rPr>
          <w:rFonts w:ascii="Arial" w:cs="Arial" w:eastAsia="Arial" w:hAnsi="Arial"/>
          <w:b w:val="false"/>
          <w:bCs w:val="false"/>
          <w:color w:val="0F172A"/>
          <w:sz w:val="22"/>
          <w:szCs w:val="22"/>
        </w:rPr>
        <w:t xml:space="preserve">Deploying an application to Kubernetes once is a solved problem. Helm charts, GitHub Actions, and dozens of PaaS platforms have addressed Day 1 deployment. The gap that remains — and that costs engineering teams real money and time — is everything that happens after the first deployment.</w:t>
      </w:r>
    </w:p>
    <w:p>
      <w:pPr>
        <w:spacing w:after="0" w:before="80"/>
      </w:pPr>
      <w:r>
        <w:t xml:space="preserve"/>
      </w:r>
    </w:p>
    <w:p>
      <w:pPr>
        <w:spacing w:after="100" w:before="60"/>
      </w:pPr>
      <w:r>
        <w:rPr>
          <w:rFonts w:ascii="Arial" w:cs="Arial" w:eastAsia="Arial" w:hAnsi="Arial"/>
          <w:b w:val="false"/>
          <w:bCs w:val="false"/>
          <w:color w:val="0F172A"/>
          <w:sz w:val="22"/>
          <w:szCs w:val="22"/>
        </w:rPr>
        <w:t xml:space="preserve">A production Kubernetes cluster is not a static artifact. It degrades. Images accumulate CVEs. Resource limits drift out of sync with actual usage. Pods crash and the reasons are buried in log streams that no one has time to read. HPA configurations fail silently. NetworkPolicies are added and then never reviewed. Costs balloon because resource requests were set once conservatively and never right-sized. Security posture erodes as teams ship features and stop caring about pod security contexts.</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How Engineers Cope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Problem Area</w:t>
            </w:r>
          </w:p>
        </w:tc>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Current Tooling</w:t>
            </w:r>
          </w:p>
        </w:tc>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Why It Falls Short</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Security Drift</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Trivy, Falco, kube-bench run periodically</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Results are reports, not fixes. Someone still reads them and writes YAML manually.</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Cost Waste</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Kubecost, CAST AI, Spot instances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Requires dedicated FinOps analysis. Savings are identified but implementation is manual.</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Incident Response</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Alertmanager → PagerDuty → On-call engineer</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Engineer spends 30–90 min reconstructing what happened. High MTTR, high burnout.</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Reliability Gaps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Occasional cluster audits by senior engineers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Happens quarterly at best. Gaps accumulate between audits.</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Deployment Configuration</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Helm charts, Kustomize, hand-written manifests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Every team has a slightly different setup. No baseline enforcement.</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The Cost of the Gap</w:t>
      </w:r>
    </w:p>
    <w:p>
      <w:pPr>
        <w:spacing w:after="100" w:before="60"/>
      </w:pPr>
      <w:r>
        <w:rPr>
          <w:rFonts w:ascii="Arial" w:cs="Arial" w:eastAsia="Arial" w:hAnsi="Arial"/>
          <w:b w:val="false"/>
          <w:bCs w:val="false"/>
          <w:color w:val="0F172A"/>
          <w:sz w:val="22"/>
          <w:szCs w:val="22"/>
        </w:rPr>
        <w:t xml:space="preserve">The cost is not abstract. A single Kubernetes incident misdiagnosed for 2 hours at a mid-size company translates to roughly $15,000–$40,000 in engineering time, user impact, and revenue loss depending on service criticality. A cluster where 40% of pods are over-provisioned by 2x wastes thousands of dollars per month in cloud spend. A privilege escalation vulnerability left unchecked because no one reviewed security contexts can result in a breach that costs orders of magnitude more.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
              <w:bottom w:val="none" w:color="FFFFFF" w:sz="0"/>
              <w:right w:val="none" w:color="FFFFFF" w:sz="0"/>
            </w:tcBorders>
            <w:shd w:fill="FFFBEB" w:val="clear"/>
            <w:tcMar>
              <w:top w:type="dxa" w:w="80"/>
              <w:left w:type="dxa" w:w="200"/>
              <w:bottom w:type="dxa" w:w="60"/>
              <w:right w:type="dxa" w:w="200"/>
            </w:tcMar>
          </w:tcPr>
          <w:p>
            <w:pPr>
              <w:spacing w:after="20" w:before="20"/>
            </w:pPr>
            <w:r>
              <w:rPr>
                <w:rFonts w:ascii="Arial" w:cs="Arial" w:eastAsia="Arial" w:hAnsi="Arial"/>
                <w:color w:val="2E4057"/>
                <w:sz w:val="20"/>
                <w:szCs w:val="20"/>
              </w:rPr>
              <w:t xml:space="preserve">Survey data from the CNCF 2024 report: 52% of organizations cite operational complexity as the primary barrier to wider Kubernetes adoption. 61% report that security misconfiguration is their top Kubernetes concern. Average MTTR for Kubernetes incidents is 4.2 hours.</w:t>
            </w:r>
          </w:p>
        </w:tc>
      </w:tr>
    </w:tbl>
    <w:p>
      <w:r>
        <w:br w:type="page"/>
      </w:r>
    </w:p>
    <w:p>
      <w:pPr>
        <w:spacing w:after="60" w:before="0"/>
      </w:pPr>
      <w:r>
        <w:rPr>
          <w:rFonts w:ascii="Arial" w:cs="Arial" w:eastAsia="Arial" w:hAnsi="Arial"/>
          <w:b/>
          <w:bCs/>
          <w:color w:val="0EA5E9"/>
          <w:spacing w:val="120"/>
          <w:sz w:val="18"/>
          <w:szCs w:val="18"/>
        </w:rPr>
        <w:t xml:space="preserve">SECTION 03</w:t>
      </w:r>
    </w:p>
    <w:p>
      <w:pPr>
        <w:pStyle w:val="Heading1"/>
        <w:pBdr>
          <w:bottom w:val="single" w:color="1A56DB" w:sz="6" w:space="8"/>
        </w:pBdr>
        <w:spacing w:after="200" w:before="400"/>
      </w:pPr>
      <w:r>
        <w:rPr>
          <w:rFonts w:ascii="Arial" w:cs="Arial" w:eastAsia="Arial" w:hAnsi="Arial"/>
          <w:b/>
          <w:bCs/>
          <w:color w:val="0F1B2D"/>
          <w:sz w:val="36"/>
          <w:szCs w:val="36"/>
        </w:rPr>
        <w:t xml:space="preserve">Solution Overview</w:t>
      </w:r>
    </w:p>
    <w:p>
      <w:pPr>
        <w:pStyle w:val="Heading2"/>
        <w:spacing w:after="160" w:before="300"/>
      </w:pPr>
      <w:r>
        <w:rPr>
          <w:rFonts w:ascii="Arial" w:cs="Arial" w:eastAsia="Arial" w:hAnsi="Arial"/>
          <w:b/>
          <w:bCs/>
          <w:color w:val="2E4057"/>
          <w:sz w:val="28"/>
          <w:szCs w:val="28"/>
        </w:rPr>
        <w:t xml:space="preserve">The AutoStack Model</w:t>
      </w:r>
    </w:p>
    <w:p>
      <w:pPr>
        <w:spacing w:after="100" w:before="60"/>
      </w:pPr>
      <w:r>
        <w:rPr>
          <w:rFonts w:ascii="Arial" w:cs="Arial" w:eastAsia="Arial" w:hAnsi="Arial"/>
          <w:b w:val="false"/>
          <w:bCs w:val="false"/>
          <w:color w:val="0F172A"/>
          <w:sz w:val="22"/>
          <w:szCs w:val="22"/>
        </w:rPr>
        <w:t xml:space="preserve">AutoStack is structured around three engines, a GitOps contract, and a two-component deployment model. Each of these is described in detail in later sections. At the highest level, the platform operates as follows.</w:t>
      </w:r>
    </w:p>
    <w:p>
      <w:pPr>
        <w:spacing w:after="0" w:before="80"/>
      </w:pPr>
      <w:r>
        <w:t xml:space="preserve"/>
      </w:r>
    </w:p>
    <w:p>
      <w:pPr>
        <w:spacing w:after="100" w:before="60"/>
      </w:pPr>
      <w:r>
        <w:rPr>
          <w:rFonts w:ascii="Arial" w:cs="Arial" w:eastAsia="Arial" w:hAnsi="Arial"/>
          <w:b w:val="false"/>
          <w:bCs w:val="false"/>
          <w:color w:val="0F172A"/>
          <w:sz w:val="22"/>
          <w:szCs w:val="22"/>
        </w:rPr>
        <w:t xml:space="preserve">A user connects their cluster by installing the AutoStack Cluster Agent via a single Helm chart. The agent establishes an outbound-only secure connection to the AutoStack Control Plane. No inbound firewall rules are required. No cluster credentials are stored externally.</w:t>
      </w:r>
    </w:p>
    <w:p>
      <w:pPr>
        <w:spacing w:after="0" w:before="80"/>
      </w:pPr>
      <w:r>
        <w:t xml:space="preserve"/>
      </w:r>
    </w:p>
    <w:p>
      <w:pPr>
        <w:spacing w:after="100" w:before="60"/>
      </w:pPr>
      <w:r>
        <w:rPr>
          <w:rFonts w:ascii="Arial" w:cs="Arial" w:eastAsia="Arial" w:hAnsi="Arial"/>
          <w:b w:val="false"/>
          <w:bCs w:val="false"/>
          <w:color w:val="0F172A"/>
          <w:sz w:val="22"/>
          <w:szCs w:val="22"/>
        </w:rPr>
        <w:t xml:space="preserve">From that point forward, three continuous loops run in parallel. The Deployment Intelligence Engine activates whenever a new Git repository is connected, analyzing the codebase and generating manifests. The Continuous Operational Intelligence Engine runs on a 5-minute cadence, scoring the cluster across Security, Cost, Reliability, and Performance dimensions and generating fix PRs. The Autonomous Incident Response Engine watches for anomalies in real time, triggers the diagnosis pipeline on incidents, and produces Root Cause Reports.</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The GitOps Contract</w:t>
      </w:r>
    </w:p>
    <w:p>
      <w:pPr>
        <w:spacing w:after="100" w:before="60"/>
      </w:pPr>
      <w:r>
        <w:rPr>
          <w:rFonts w:ascii="Arial" w:cs="Arial" w:eastAsia="Arial" w:hAnsi="Arial"/>
          <w:b w:val="false"/>
          <w:bCs w:val="false"/>
          <w:color w:val="0F172A"/>
          <w:sz w:val="22"/>
          <w:szCs w:val="22"/>
        </w:rPr>
        <w:t xml:space="preserve">AutoStack's most important architectural decision is that it never applies changes directly to a cluster. All changes — generated manifests, security fixes, right-sizing adjustments, probe additions — are opened as pull requests against the user's Git repository. ArgoCD, already running in the cluster, detects the merged PR and applies the change through its normal sync process.</w:t>
      </w:r>
    </w:p>
    <w:p>
      <w:pPr>
        <w:spacing w:after="0" w:before="80"/>
      </w:pPr>
      <w:r>
        <w:t xml:space="preserve"/>
      </w:r>
    </w:p>
    <w:p>
      <w:pPr>
        <w:spacing w:after="100" w:before="60"/>
      </w:pPr>
      <w:r>
        <w:rPr>
          <w:rFonts w:ascii="Arial" w:cs="Arial" w:eastAsia="Arial" w:hAnsi="Arial"/>
          <w:b w:val="false"/>
          <w:bCs w:val="false"/>
          <w:color w:val="0F172A"/>
          <w:sz w:val="22"/>
          <w:szCs w:val="22"/>
        </w:rPr>
        <w:t xml:space="preserve">This constraint means that every change AutoStack recommends is reviewed by a human before it is applied, every change is versioned in Git with a clear commit message, every change is auditable and rollback-able, and AutoStack never needs cluster write access for routine operations. The blast radius of any error is contained by the PR review step.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1"/>
              <w:bottom w:val="none" w:color="FFFFFF" w:sz="0"/>
              <w:right w:val="none" w:color="FFFFFF" w:sz="0"/>
            </w:tcBorders>
            <w:shd w:fill="ECFDF5" w:val="clear"/>
            <w:tcMar>
              <w:top w:type="dxa" w:w="80"/>
              <w:left w:type="dxa" w:w="200"/>
              <w:bottom w:type="dxa" w:w="60"/>
              <w:right w:type="dxa" w:w="200"/>
            </w:tcMar>
          </w:tcPr>
          <w:p>
            <w:pPr>
              <w:spacing w:after="20" w:before="20"/>
            </w:pPr>
            <w:r>
              <w:rPr>
                <w:rFonts w:ascii="Arial" w:cs="Arial" w:eastAsia="Arial" w:hAnsi="Arial"/>
                <w:color w:val="2E4057"/>
                <w:sz w:val="20"/>
                <w:szCs w:val="20"/>
              </w:rPr>
              <w:t xml:space="preserve">GitOps First: AutoStack generates the work product (the PR). The human owns the merge decision. This is a deliberate design choice — not a limitation.</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Platform</w:t>
            </w:r>
          </w:p>
        </w:tc>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What It Does</w:t>
            </w:r>
          </w:p>
        </w:tc>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Where It Stops</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Railway / Render / Fly.io</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Day 1 deployment PaaS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No Day 2 operations. No incident response. No security scoring. Hosts your app.</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Kubecost</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Kubernetes cost visibility</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Cost only. No security, no incidents, no deployment generation.</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Falco / Trivy</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Runtime security / image scanning</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Produces reports. No remediation. No correlation with other dimensions.</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Grafana + Prometheus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Observability stack</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Metrics and dashboards. No diagnosis. Engineer still does root cause analysis.</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AutoStack</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Operational intelligence layer</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All four dimensions. GitOps-native fix generation. Automated incident diagnosis. Cluster-agnostic.</w:t>
            </w:r>
          </w:p>
        </w:tc>
      </w:tr>
    </w:tbl>
    <w:p>
      <w:r>
        <w:br w:type="page"/>
      </w:r>
    </w:p>
    <w:p>
      <w:pPr>
        <w:spacing w:after="60" w:before="0"/>
      </w:pPr>
      <w:r>
        <w:rPr>
          <w:rFonts w:ascii="Arial" w:cs="Arial" w:eastAsia="Arial" w:hAnsi="Arial"/>
          <w:b/>
          <w:bCs/>
          <w:color w:val="0EA5E9"/>
          <w:spacing w:val="120"/>
          <w:sz w:val="18"/>
          <w:szCs w:val="18"/>
        </w:rPr>
        <w:t xml:space="preserve">SECTION 04</w:t>
      </w:r>
    </w:p>
    <w:p>
      <w:pPr>
        <w:pStyle w:val="Heading1"/>
        <w:pBdr>
          <w:bottom w:val="single" w:color="1A56DB" w:sz="6" w:space="8"/>
        </w:pBdr>
        <w:spacing w:after="200" w:before="400"/>
      </w:pPr>
      <w:r>
        <w:rPr>
          <w:rFonts w:ascii="Arial" w:cs="Arial" w:eastAsia="Arial" w:hAnsi="Arial"/>
          <w:b/>
          <w:bCs/>
          <w:color w:val="0F1B2D"/>
          <w:sz w:val="36"/>
          <w:szCs w:val="36"/>
        </w:rPr>
        <w:t xml:space="preserve">Platform Architecture</w:t>
      </w:r>
    </w:p>
    <w:p>
      <w:pPr>
        <w:pStyle w:val="Heading2"/>
        <w:spacing w:after="160" w:before="300"/>
      </w:pPr>
      <w:r>
        <w:rPr>
          <w:rFonts w:ascii="Arial" w:cs="Arial" w:eastAsia="Arial" w:hAnsi="Arial"/>
          <w:b/>
          <w:bCs/>
          <w:color w:val="2E4057"/>
          <w:sz w:val="28"/>
          <w:szCs w:val="28"/>
        </w:rPr>
        <w:t xml:space="preserve">Two-Component Model</w:t>
      </w:r>
    </w:p>
    <w:p>
      <w:pPr>
        <w:spacing w:after="100" w:before="60"/>
      </w:pPr>
      <w:r>
        <w:rPr>
          <w:rFonts w:ascii="Arial" w:cs="Arial" w:eastAsia="Arial" w:hAnsi="Arial"/>
          <w:b w:val="false"/>
          <w:bCs w:val="false"/>
          <w:color w:val="0F172A"/>
          <w:sz w:val="22"/>
          <w:szCs w:val="22"/>
        </w:rPr>
        <w:t xml:space="preserve">AutoStack consists of two components: the Control Plane, which runs on AutoStack's SaaS infrastructure, and the Cluster Agent, which runs inside the user's cluster. This separation is fundamental to the platform's security model and cluster-agnostic design.</w:t>
      </w:r>
    </w:p>
    <w:p>
      <w:pPr>
        <w:spacing w:after="0" w:before="160"/>
      </w:pPr>
      <w:r>
        <w:t xml:space="preserve"/>
      </w:r>
    </w:p>
    <w:p>
      <w:pPr>
        <w:pStyle w:val="Heading3"/>
        <w:spacing w:after="120" w:before="200"/>
      </w:pPr>
      <w:r>
        <w:rPr>
          <w:rFonts w:ascii="Arial" w:cs="Arial" w:eastAsia="Arial" w:hAnsi="Arial"/>
          <w:b/>
          <w:bCs/>
          <w:color w:val="475569"/>
          <w:sz w:val="24"/>
          <w:szCs w:val="24"/>
        </w:rPr>
        <w:t xml:space="preserve">Control Plane</w:t>
      </w:r>
    </w:p>
    <w:p>
      <w:pPr>
        <w:spacing w:after="100" w:before="60"/>
      </w:pPr>
      <w:r>
        <w:rPr>
          <w:rFonts w:ascii="Arial" w:cs="Arial" w:eastAsia="Arial" w:hAnsi="Arial"/>
          <w:b w:val="false"/>
          <w:bCs w:val="false"/>
          <w:color w:val="0F172A"/>
          <w:sz w:val="22"/>
          <w:szCs w:val="22"/>
        </w:rPr>
        <w:t xml:space="preserve">The Control Plane is a multi-tenant SaaS service hosted on AWS. It runs the three engines, hosts the web dashboard, manages Git integrations, stores all derived state (scores, incident history, recommendations), and serves the REST and WebSocket APIs consumed by the frontend.</w:t>
      </w:r>
    </w:p>
    <w:p>
      <w:pPr>
        <w:spacing w:after="0" w:before="80"/>
      </w:pPr>
      <w:r>
        <w:t xml:space="preserve"/>
      </w:r>
    </w:p>
    <w:p>
      <w:pPr>
        <w:spacing w:after="100" w:before="60"/>
      </w:pPr>
      <w:r>
        <w:rPr>
          <w:rFonts w:ascii="Arial" w:cs="Arial" w:eastAsia="Arial" w:hAnsi="Arial"/>
          <w:b w:val="false"/>
          <w:bCs w:val="false"/>
          <w:color w:val="0F172A"/>
          <w:sz w:val="22"/>
          <w:szCs w:val="22"/>
        </w:rPr>
        <w:t xml:space="preserve">The Control Plane is entirely stateless with respect to cluster state — it holds no Kubernetes credentials, no kubeconfig files, no cluster secrets. All cluster data flows inbound from the Agent over an encrypted channel and is stored only as derived metrics and event records in the Control Plane database. Raw cluster data is never stored permanently.</w:t>
      </w:r>
    </w:p>
    <w:p>
      <w:pPr>
        <w:spacing w:after="0" w:before="160"/>
      </w:pPr>
      <w:r>
        <w:t xml:space="preserve"/>
      </w:r>
    </w:p>
    <w:p>
      <w:pPr>
        <w:pStyle w:val="Heading3"/>
        <w:spacing w:after="120" w:before="200"/>
      </w:pPr>
      <w:r>
        <w:rPr>
          <w:rFonts w:ascii="Arial" w:cs="Arial" w:eastAsia="Arial" w:hAnsi="Arial"/>
          <w:b/>
          <w:bCs/>
          <w:color w:val="475569"/>
          <w:sz w:val="24"/>
          <w:szCs w:val="24"/>
        </w:rPr>
        <w:t xml:space="preserve">Cluster Agent</w:t>
      </w:r>
    </w:p>
    <w:p>
      <w:pPr>
        <w:spacing w:after="100" w:before="60"/>
      </w:pPr>
      <w:r>
        <w:rPr>
          <w:rFonts w:ascii="Arial" w:cs="Arial" w:eastAsia="Arial" w:hAnsi="Arial"/>
          <w:b w:val="false"/>
          <w:bCs w:val="false"/>
          <w:color w:val="0F172A"/>
          <w:sz w:val="22"/>
          <w:szCs w:val="22"/>
        </w:rPr>
        <w:t xml:space="preserve">The Cluster Agent is a Kubernetes controller deployed via Helm into the user's cluster under a dedicated autostack-system namespace. It runs as a Deployment with a single replica and communicates exclusively outbound to the Control Plane over a persistent WebSocket connection authenticated with a rotating token pair.</w:t>
      </w:r>
    </w:p>
    <w:p>
      <w:pPr>
        <w:spacing w:after="0" w:before="80"/>
      </w:pPr>
      <w:r>
        <w:t xml:space="preserve"/>
      </w:r>
    </w:p>
    <w:p>
      <w:pPr>
        <w:spacing w:after="100" w:before="60"/>
      </w:pPr>
      <w:r>
        <w:rPr>
          <w:rFonts w:ascii="Arial" w:cs="Arial" w:eastAsia="Arial" w:hAnsi="Arial"/>
          <w:b w:val="false"/>
          <w:bCs w:val="false"/>
          <w:color w:val="0F172A"/>
          <w:sz w:val="22"/>
          <w:szCs w:val="22"/>
        </w:rPr>
        <w:t xml:space="preserve">The Agent's RBAC permissions are defined in the Helm chart with minimum necessary access. For standard read operations it holds get, list, and watch across all core Kubernetes resources. For self-healing playbook execution it holds a scoped update permission on Deployments and HorizontalPodAutoscalers, gated by an explicit per-playbook grant in the Control Plane. No cluster-admin, no wildcard permissions.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
              <w:bottom w:val="none" w:color="FFFFFF" w:sz="0"/>
              <w:right w:val="none" w:color="FFFFFF" w:sz="0"/>
            </w:tcBorders>
            <w:shd w:fill="EBF5FF" w:val="clear"/>
            <w:tcMar>
              <w:top w:type="dxa" w:w="80"/>
              <w:left w:type="dxa" w:w="200"/>
              <w:bottom w:type="dxa" w:w="60"/>
              <w:right w:type="dxa" w:w="200"/>
            </w:tcMar>
          </w:tcPr>
          <w:p>
            <w:pPr>
              <w:spacing w:after="20" w:before="20"/>
            </w:pPr>
            <w:r>
              <w:rPr>
                <w:rFonts w:ascii="Arial" w:cs="Arial" w:eastAsia="Arial" w:hAnsi="Arial"/>
                <w:color w:val="2E4057"/>
                <w:sz w:val="20"/>
                <w:szCs w:val="20"/>
              </w:rPr>
              <w:t xml:space="preserve">Security Model: The cluster never accepts inbound connections from AutoStack. The Agent initiates all communication. The Control Plane holds zero cluster credentials. All actions on the cluster are either read-only or explicitly approved by the user through a playbook grant.</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Communication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Channel</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Agent → Control Plane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Persistent outbound WebSocket (WSS/TLS 1.3). Agent sends a heartbeat every 30 seconds and streams events, metrics deltas, and log excerpts on change. Binary-framed with MessagePack serialization for efficiency.</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Control Plane → Agent</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Commands are delivered over the same WebSocket connection in reverse. Only two command types exist: fetch (request specific data) and execute (trigger a playbook action that the user has pre-authorized).</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Frontend → Control Plane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REST API over HTTPS for all CRUD operations. WebSocket for live log streaming during deployments and real-time incident updates.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Control Plane → Git</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GitHub App or GitLab OAuth App. Scoped to repository contents read+write and pull_requests write. Used to open PRs for generated manifests and fix recommendations.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Control Plane → ArgoCD</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ArgoCD REST API within the cluster, proxied through the Agent. Used to query sync status and trigger manual sync on request.</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Data Flow: Deployment Path</w:t>
      </w:r>
    </w:p>
    <w:p>
      <w:pPr>
        <w:pStyle w:val="ListParagraph"/>
        <w:numPr>
          <w:ilvl w:val="0"/>
          <w:numId w:val="2"/>
        </w:numPr>
        <w:spacing w:after="40" w:before="40"/>
      </w:pPr>
      <w:r>
        <w:rPr>
          <w:rFonts w:ascii="Arial" w:cs="Arial" w:eastAsia="Arial" w:hAnsi="Arial"/>
          <w:color w:val="0F172A"/>
          <w:sz w:val="22"/>
          <w:szCs w:val="22"/>
        </w:rPr>
        <w:t xml:space="preserve">User connects Git repository and selects branch via dashboard.</w:t>
      </w:r>
    </w:p>
    <w:p>
      <w:pPr>
        <w:pStyle w:val="ListParagraph"/>
        <w:numPr>
          <w:ilvl w:val="0"/>
          <w:numId w:val="2"/>
        </w:numPr>
        <w:spacing w:after="40" w:before="40"/>
      </w:pPr>
      <w:r>
        <w:rPr>
          <w:rFonts w:ascii="Arial" w:cs="Arial" w:eastAsia="Arial" w:hAnsi="Arial"/>
          <w:color w:val="0F172A"/>
          <w:sz w:val="22"/>
          <w:szCs w:val="22"/>
        </w:rPr>
        <w:t xml:space="preserve">Control Plane clones repository into an ephemeral sandbox and runs the static analysis pipeline (language detection, dependency parsing, framework identification, resource profiling).</w:t>
      </w:r>
    </w:p>
    <w:p>
      <w:pPr>
        <w:pStyle w:val="ListParagraph"/>
        <w:numPr>
          <w:ilvl w:val="0"/>
          <w:numId w:val="2"/>
        </w:numPr>
        <w:spacing w:after="40" w:before="40"/>
      </w:pPr>
      <w:r>
        <w:rPr>
          <w:rFonts w:ascii="Arial" w:cs="Arial" w:eastAsia="Arial" w:hAnsi="Arial"/>
          <w:color w:val="0F172A"/>
          <w:sz w:val="22"/>
          <w:szCs w:val="22"/>
        </w:rPr>
        <w:t xml:space="preserve">DIE generates Dockerfile, Kubernetes manifests, ArgoCD Application resource, and writes them to a local branch.</w:t>
      </w:r>
    </w:p>
    <w:p>
      <w:pPr>
        <w:pStyle w:val="ListParagraph"/>
        <w:numPr>
          <w:ilvl w:val="0"/>
          <w:numId w:val="2"/>
        </w:numPr>
        <w:spacing w:after="40" w:before="40"/>
      </w:pPr>
      <w:r>
        <w:rPr>
          <w:rFonts w:ascii="Arial" w:cs="Arial" w:eastAsia="Arial" w:hAnsi="Arial"/>
          <w:color w:val="0F172A"/>
          <w:sz w:val="22"/>
          <w:szCs w:val="22"/>
        </w:rPr>
        <w:t xml:space="preserve">Control Plane authenticates as GitHub App and opens a pull request against the user's repository with all generated files.</w:t>
      </w:r>
    </w:p>
    <w:p>
      <w:pPr>
        <w:pStyle w:val="ListParagraph"/>
        <w:numPr>
          <w:ilvl w:val="0"/>
          <w:numId w:val="2"/>
        </w:numPr>
        <w:spacing w:after="40" w:before="40"/>
      </w:pPr>
      <w:r>
        <w:rPr>
          <w:rFonts w:ascii="Arial" w:cs="Arial" w:eastAsia="Arial" w:hAnsi="Arial"/>
          <w:color w:val="0F172A"/>
          <w:sz w:val="22"/>
          <w:szCs w:val="22"/>
        </w:rPr>
        <w:t xml:space="preserve">User reviews and merges the PR.</w:t>
      </w:r>
    </w:p>
    <w:p>
      <w:pPr>
        <w:pStyle w:val="ListParagraph"/>
        <w:numPr>
          <w:ilvl w:val="0"/>
          <w:numId w:val="2"/>
        </w:numPr>
        <w:spacing w:after="40" w:before="40"/>
      </w:pPr>
      <w:r>
        <w:rPr>
          <w:rFonts w:ascii="Arial" w:cs="Arial" w:eastAsia="Arial" w:hAnsi="Arial"/>
          <w:color w:val="0F172A"/>
          <w:sz w:val="22"/>
          <w:szCs w:val="22"/>
        </w:rPr>
        <w:t xml:space="preserve">ArgoCD detects the change in the connected Git path and syncs it to the cluster.</w:t>
      </w:r>
    </w:p>
    <w:p>
      <w:pPr>
        <w:pStyle w:val="ListParagraph"/>
        <w:numPr>
          <w:ilvl w:val="0"/>
          <w:numId w:val="2"/>
        </w:numPr>
        <w:spacing w:after="40" w:before="40"/>
      </w:pPr>
      <w:r>
        <w:rPr>
          <w:rFonts w:ascii="Arial" w:cs="Arial" w:eastAsia="Arial" w:hAnsi="Arial"/>
          <w:color w:val="0F172A"/>
          <w:sz w:val="22"/>
          <w:szCs w:val="22"/>
        </w:rPr>
        <w:t xml:space="preserve">Agent observes the new workload and begins reporting metrics for it to the Control Plane.</w:t>
      </w:r>
    </w:p>
    <w:p>
      <w:pPr>
        <w:pStyle w:val="ListParagraph"/>
        <w:numPr>
          <w:ilvl w:val="0"/>
          <w:numId w:val="2"/>
        </w:numPr>
        <w:spacing w:after="40" w:before="40"/>
      </w:pPr>
      <w:r>
        <w:rPr>
          <w:rFonts w:ascii="Arial" w:cs="Arial" w:eastAsia="Arial" w:hAnsi="Arial"/>
          <w:color w:val="0F172A"/>
          <w:sz w:val="22"/>
          <w:szCs w:val="22"/>
        </w:rPr>
        <w:t xml:space="preserve">COIE picks up the new workload in its next evaluation cycle.</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Data Flow: Incident Response Path</w:t>
      </w:r>
    </w:p>
    <w:p>
      <w:pPr>
        <w:pStyle w:val="ListParagraph"/>
        <w:numPr>
          <w:ilvl w:val="0"/>
          <w:numId w:val="2"/>
        </w:numPr>
        <w:spacing w:after="40" w:before="40"/>
      </w:pPr>
      <w:r>
        <w:rPr>
          <w:rFonts w:ascii="Arial" w:cs="Arial" w:eastAsia="Arial" w:hAnsi="Arial"/>
          <w:color w:val="0F172A"/>
          <w:sz w:val="22"/>
          <w:szCs w:val="22"/>
        </w:rPr>
        <w:t xml:space="preserve">Agent detects a CrashLoopBackOff on a pod via Kubernetes event watch.</w:t>
      </w:r>
    </w:p>
    <w:p>
      <w:pPr>
        <w:pStyle w:val="ListParagraph"/>
        <w:numPr>
          <w:ilvl w:val="0"/>
          <w:numId w:val="2"/>
        </w:numPr>
        <w:spacing w:after="40" w:before="40"/>
      </w:pPr>
      <w:r>
        <w:rPr>
          <w:rFonts w:ascii="Arial" w:cs="Arial" w:eastAsia="Arial" w:hAnsi="Arial"/>
          <w:color w:val="0F172A"/>
          <w:sz w:val="22"/>
          <w:szCs w:val="22"/>
        </w:rPr>
        <w:t xml:space="preserve">Agent fetches pod logs (last 500 lines), events for the namespace (last 30 minutes), and resource metrics for the affected workload.</w:t>
      </w:r>
    </w:p>
    <w:p>
      <w:pPr>
        <w:pStyle w:val="ListParagraph"/>
        <w:numPr>
          <w:ilvl w:val="0"/>
          <w:numId w:val="2"/>
        </w:numPr>
        <w:spacing w:after="40" w:before="40"/>
      </w:pPr>
      <w:r>
        <w:rPr>
          <w:rFonts w:ascii="Arial" w:cs="Arial" w:eastAsia="Arial" w:hAnsi="Arial"/>
          <w:color w:val="0F172A"/>
          <w:sz w:val="22"/>
          <w:szCs w:val="22"/>
        </w:rPr>
        <w:t xml:space="preserve">Agent streams all this to Control Plane over the existing WebSocket connection as an incident bundle.</w:t>
      </w:r>
    </w:p>
    <w:p>
      <w:pPr>
        <w:pStyle w:val="ListParagraph"/>
        <w:numPr>
          <w:ilvl w:val="0"/>
          <w:numId w:val="2"/>
        </w:numPr>
        <w:spacing w:after="40" w:before="40"/>
      </w:pPr>
      <w:r>
        <w:rPr>
          <w:rFonts w:ascii="Arial" w:cs="Arial" w:eastAsia="Arial" w:hAnsi="Arial"/>
          <w:color w:val="0F172A"/>
          <w:sz w:val="22"/>
          <w:szCs w:val="22"/>
        </w:rPr>
        <w:t xml:space="preserve">AIRE receives the bundle and runs the diagnosis pipeline: pattern matching against failure library, event timeline construction, metric correlation.</w:t>
      </w:r>
    </w:p>
    <w:p>
      <w:pPr>
        <w:pStyle w:val="ListParagraph"/>
        <w:numPr>
          <w:ilvl w:val="0"/>
          <w:numId w:val="2"/>
        </w:numPr>
        <w:spacing w:after="40" w:before="40"/>
      </w:pPr>
      <w:r>
        <w:rPr>
          <w:rFonts w:ascii="Arial" w:cs="Arial" w:eastAsia="Arial" w:hAnsi="Arial"/>
          <w:color w:val="0F172A"/>
          <w:sz w:val="22"/>
          <w:szCs w:val="22"/>
        </w:rPr>
        <w:t xml:space="preserve">AIRE produces a structured Root Cause Report and stores it in the incident database.</w:t>
      </w:r>
    </w:p>
    <w:p>
      <w:pPr>
        <w:pStyle w:val="ListParagraph"/>
        <w:numPr>
          <w:ilvl w:val="0"/>
          <w:numId w:val="2"/>
        </w:numPr>
        <w:spacing w:after="40" w:before="40"/>
      </w:pPr>
      <w:r>
        <w:rPr>
          <w:rFonts w:ascii="Arial" w:cs="Arial" w:eastAsia="Arial" w:hAnsi="Arial"/>
          <w:color w:val="0F172A"/>
          <w:sz w:val="22"/>
          <w:szCs w:val="22"/>
        </w:rPr>
        <w:t xml:space="preserve">Control Plane pushes the report to the user's dashboard via WebSocket notification.</w:t>
      </w:r>
    </w:p>
    <w:p>
      <w:pPr>
        <w:pStyle w:val="ListParagraph"/>
        <w:numPr>
          <w:ilvl w:val="0"/>
          <w:numId w:val="2"/>
        </w:numPr>
        <w:spacing w:after="40" w:before="40"/>
      </w:pPr>
      <w:r>
        <w:rPr>
          <w:rFonts w:ascii="Arial" w:cs="Arial" w:eastAsia="Arial" w:hAnsi="Arial"/>
          <w:color w:val="0F172A"/>
          <w:sz w:val="22"/>
          <w:szCs w:val="22"/>
        </w:rPr>
        <w:t xml:space="preserve">If the matched pattern has an associated auto-remediation action and the user has enabled it, AIRE sends an execute command to the Agent.</w:t>
      </w:r>
    </w:p>
    <w:p>
      <w:pPr>
        <w:pStyle w:val="ListParagraph"/>
        <w:numPr>
          <w:ilvl w:val="0"/>
          <w:numId w:val="2"/>
        </w:numPr>
        <w:spacing w:after="40" w:before="40"/>
      </w:pPr>
      <w:r>
        <w:rPr>
          <w:rFonts w:ascii="Arial" w:cs="Arial" w:eastAsia="Arial" w:hAnsi="Arial"/>
          <w:color w:val="0F172A"/>
          <w:sz w:val="22"/>
          <w:szCs w:val="22"/>
        </w:rPr>
        <w:t xml:space="preserve">If the fix requires a manifest change, AIRE opens a PR in the connected Git repository with the fix.</w:t>
      </w:r>
    </w:p>
    <w:p>
      <w:r>
        <w:br w:type="page"/>
      </w:r>
    </w:p>
    <w:p>
      <w:pPr>
        <w:spacing w:after="60" w:before="0"/>
      </w:pPr>
      <w:r>
        <w:rPr>
          <w:rFonts w:ascii="Arial" w:cs="Arial" w:eastAsia="Arial" w:hAnsi="Arial"/>
          <w:b/>
          <w:bCs/>
          <w:color w:val="0EA5E9"/>
          <w:spacing w:val="120"/>
          <w:sz w:val="18"/>
          <w:szCs w:val="18"/>
        </w:rPr>
        <w:t xml:space="preserve">SECTION 05</w:t>
      </w:r>
    </w:p>
    <w:p>
      <w:pPr>
        <w:pStyle w:val="Heading1"/>
        <w:pBdr>
          <w:bottom w:val="single" w:color="1A56DB" w:sz="6" w:space="8"/>
        </w:pBdr>
        <w:spacing w:after="200" w:before="400"/>
      </w:pPr>
      <w:r>
        <w:rPr>
          <w:rFonts w:ascii="Arial" w:cs="Arial" w:eastAsia="Arial" w:hAnsi="Arial"/>
          <w:b/>
          <w:bCs/>
          <w:color w:val="0F1B2D"/>
          <w:sz w:val="36"/>
          <w:szCs w:val="36"/>
        </w:rPr>
        <w:t xml:space="preserve">Engine 1: Deployment Intelligence Engine</w:t>
      </w:r>
    </w:p>
    <w:p>
      <w:pPr>
        <w:spacing w:after="100" w:before="60"/>
      </w:pPr>
      <w:r>
        <w:rPr>
          <w:rFonts w:ascii="Arial" w:cs="Arial" w:eastAsia="Arial" w:hAnsi="Arial"/>
          <w:b w:val="false"/>
          <w:bCs w:val="false"/>
          <w:color w:val="0F172A"/>
          <w:sz w:val="22"/>
          <w:szCs w:val="22"/>
        </w:rPr>
        <w:t xml:space="preserve">The Deployment Intelligence Engine (DIE) converts a raw Git repository into a complete, production-grade Kubernetes deployment package without requiring the user to write any YAML, any Dockerfiles, or any CI/CD pipeline configuration.</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Static Analysis Pipeline</w:t>
      </w:r>
    </w:p>
    <w:p>
      <w:pPr>
        <w:spacing w:after="100" w:before="60"/>
      </w:pPr>
      <w:r>
        <w:rPr>
          <w:rFonts w:ascii="Arial" w:cs="Arial" w:eastAsia="Arial" w:hAnsi="Arial"/>
          <w:b w:val="false"/>
          <w:bCs w:val="false"/>
          <w:color w:val="0F172A"/>
          <w:sz w:val="22"/>
          <w:szCs w:val="22"/>
        </w:rPr>
        <w:t xml:space="preserve">When a repository is connected, DIE runs a multi-stage analysis pipeline in an ephemeral container sandbox. The pipeline executes sequentially and is deterministic — the same repository always produces the same output for the same commit SHA.</w:t>
      </w:r>
    </w:p>
    <w:p>
      <w:pPr>
        <w:spacing w:after="0" w:before="80"/>
      </w:pPr>
      <w:r>
        <w:t xml:space="preserve"/>
      </w:r>
    </w:p>
    <w:p>
      <w:pPr>
        <w:pStyle w:val="Heading3"/>
        <w:spacing w:after="120" w:before="200"/>
      </w:pPr>
      <w:r>
        <w:rPr>
          <w:rFonts w:ascii="Arial" w:cs="Arial" w:eastAsia="Arial" w:hAnsi="Arial"/>
          <w:b/>
          <w:bCs/>
          <w:color w:val="475569"/>
          <w:sz w:val="24"/>
          <w:szCs w:val="24"/>
        </w:rPr>
        <w:t xml:space="preserve">Stage 1: Language and Runtime Detection</w:t>
      </w:r>
    </w:p>
    <w:p>
      <w:pPr>
        <w:spacing w:after="100" w:before="60"/>
      </w:pPr>
      <w:r>
        <w:rPr>
          <w:rFonts w:ascii="Arial" w:cs="Arial" w:eastAsia="Arial" w:hAnsi="Arial"/>
          <w:b w:val="false"/>
          <w:bCs w:val="false"/>
          <w:color w:val="0F172A"/>
          <w:sz w:val="22"/>
          <w:szCs w:val="22"/>
        </w:rPr>
        <w:t xml:space="preserve">The pipeline scans file extensions, configuration files, and lockfiles to identify the primary language and runtime. It resolves version constraints from toolchain files — .nvmrc, .python-version, .tool-versions, .ruby-version, runtime.txt — to pin the exact base image rather than using the generic :latest tag. For polyglot repositories it identifies the primary entrypoint and maps secondary services.</w:t>
      </w:r>
    </w:p>
    <w:p>
      <w:pPr>
        <w:spacing w:after="0" w:before="80"/>
      </w:pPr>
      <w:r>
        <w:t xml:space="preserve"/>
      </w:r>
    </w:p>
    <w:p>
      <w:pPr>
        <w:pStyle w:val="Heading3"/>
        <w:spacing w:after="120" w:before="200"/>
      </w:pPr>
      <w:r>
        <w:rPr>
          <w:rFonts w:ascii="Arial" w:cs="Arial" w:eastAsia="Arial" w:hAnsi="Arial"/>
          <w:b/>
          <w:bCs/>
          <w:color w:val="475569"/>
          <w:sz w:val="24"/>
          <w:szCs w:val="24"/>
        </w:rPr>
        <w:t xml:space="preserve">Stage 2: Framework and Application Type Detection</w:t>
      </w:r>
    </w:p>
    <w:p>
      <w:pPr>
        <w:spacing w:after="100" w:before="60"/>
      </w:pPr>
      <w:r>
        <w:rPr>
          <w:rFonts w:ascii="Arial" w:cs="Arial" w:eastAsia="Arial" w:hAnsi="Arial"/>
          <w:b w:val="false"/>
          <w:bCs w:val="false"/>
          <w:color w:val="0F172A"/>
          <w:sz w:val="22"/>
          <w:szCs w:val="22"/>
        </w:rPr>
        <w:t xml:space="preserve">Framework detection examines dependency files for known framework fingerprints: Django/Flask/FastAPI in requirements.txt, React/Next/Nest in package.json, Spring Boot in pom.xml, Rails in Gemfile, and so on. Application type classification distinguishes between HTTP server, background worker, scheduled job, WebSocket server, and static site, because each type requires different Kubernetes primitives.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Application Type</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Generated Kubernetes Primitives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HTTP Server</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Deployment + Service (ClusterIP) + Ingress + HPA + ReadinessProbe + LivenessProbe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Background Worker</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Deployment (no Service) + HPA (queue-depth metric) + PodDisruptionBudget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Scheduled Job</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CronJob + ServiceAccount + RBAC for job permissions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WebSocket Server</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Deployment + Service (session affinity: ClientIP) + Ingress (ws upgrade annotation)</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Static Site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Deployment (nginx sidecar) + Service + Ingress + ConfigMap for nginx config</w:t>
            </w:r>
          </w:p>
        </w:tc>
      </w:tr>
    </w:tbl>
    <w:p>
      <w:pPr>
        <w:spacing w:after="0" w:before="160"/>
      </w:pPr>
      <w:r>
        <w:t xml:space="preserve"/>
      </w:r>
    </w:p>
    <w:p>
      <w:pPr>
        <w:pStyle w:val="Heading3"/>
        <w:spacing w:after="120" w:before="200"/>
      </w:pPr>
      <w:r>
        <w:rPr>
          <w:rFonts w:ascii="Arial" w:cs="Arial" w:eastAsia="Arial" w:hAnsi="Arial"/>
          <w:b/>
          <w:bCs/>
          <w:color w:val="475569"/>
          <w:sz w:val="24"/>
          <w:szCs w:val="24"/>
        </w:rPr>
        <w:t xml:space="preserve">Stage 3: Port and Entrypoint Detection</w:t>
      </w:r>
    </w:p>
    <w:p>
      <w:pPr>
        <w:spacing w:after="100" w:before="60"/>
      </w:pPr>
      <w:r>
        <w:rPr>
          <w:rFonts w:ascii="Arial" w:cs="Arial" w:eastAsia="Arial" w:hAnsi="Arial"/>
          <w:b w:val="false"/>
          <w:bCs w:val="false"/>
          <w:color w:val="0F172A"/>
          <w:sz w:val="22"/>
          <w:szCs w:val="22"/>
        </w:rPr>
        <w:t xml:space="preserve">DIE scans for listening port declarations across common patterns: PORT env var reads in source, server.listen calls, bind calls, app.run(port=...), and framework-specific defaults. It identifies the primary entrypoint command from Procfile, package.json scripts, manage.py, or main function location for compiled languages.</w:t>
      </w:r>
    </w:p>
    <w:p>
      <w:pPr>
        <w:spacing w:after="0" w:before="80"/>
      </w:pPr>
      <w:r>
        <w:t xml:space="preserve"/>
      </w:r>
    </w:p>
    <w:p>
      <w:pPr>
        <w:pStyle w:val="Heading3"/>
        <w:spacing w:after="120" w:before="200"/>
      </w:pPr>
      <w:r>
        <w:rPr>
          <w:rFonts w:ascii="Arial" w:cs="Arial" w:eastAsia="Arial" w:hAnsi="Arial"/>
          <w:b/>
          <w:bCs/>
          <w:color w:val="475569"/>
          <w:sz w:val="24"/>
          <w:szCs w:val="24"/>
        </w:rPr>
        <w:t xml:space="preserve">Stage 4: Resource Profile Estimation</w:t>
      </w:r>
    </w:p>
    <w:p>
      <w:pPr>
        <w:spacing w:after="100" w:before="60"/>
      </w:pPr>
      <w:r>
        <w:rPr>
          <w:rFonts w:ascii="Arial" w:cs="Arial" w:eastAsia="Arial" w:hAnsi="Arial"/>
          <w:b w:val="false"/>
          <w:bCs w:val="false"/>
          <w:color w:val="0F172A"/>
          <w:sz w:val="22"/>
          <w:szCs w:val="22"/>
        </w:rPr>
        <w:t xml:space="preserve">Based on the detected framework and application type, DIE applies a resource profile matrix to produce initial resource requests and limits. These are not arbitrary defaults — they are derived from profiling data across common frameworks. A lightweight Flask API starts with different defaults than a Spring Boot application or a Celery worker with heavy CPU processing. Profiles are categorized as micro, small, standard, or compute-intensive, and the user can override any value before merging the generated PR.</w:t>
      </w:r>
    </w:p>
    <w:p>
      <w:pPr>
        <w:spacing w:after="0" w:before="80"/>
      </w:pPr>
      <w:r>
        <w:t xml:space="preserve"/>
      </w:r>
    </w:p>
    <w:p>
      <w:pPr>
        <w:pStyle w:val="Heading3"/>
        <w:spacing w:after="120" w:before="200"/>
      </w:pPr>
      <w:r>
        <w:rPr>
          <w:rFonts w:ascii="Arial" w:cs="Arial" w:eastAsia="Arial" w:hAnsi="Arial"/>
          <w:b/>
          <w:bCs/>
          <w:color w:val="475569"/>
          <w:sz w:val="24"/>
          <w:szCs w:val="24"/>
        </w:rPr>
        <w:t xml:space="preserve">Stage 5: Environment Variable and Secret Detection</w:t>
      </w:r>
    </w:p>
    <w:p>
      <w:pPr>
        <w:spacing w:after="100" w:before="60"/>
      </w:pPr>
      <w:r>
        <w:rPr>
          <w:rFonts w:ascii="Arial" w:cs="Arial" w:eastAsia="Arial" w:hAnsi="Arial"/>
          <w:b w:val="false"/>
          <w:bCs w:val="false"/>
          <w:color w:val="0F172A"/>
          <w:sz w:val="22"/>
          <w:szCs w:val="22"/>
        </w:rPr>
        <w:t xml:space="preserve">DIE scans source code and configuration files for environment variable reads to build a list of required configuration variables. It classifies each one as either non-sensitive configuration (to be stored in a ConfigMap) or sensitive credential (to be stored in a Kubernetes Secret, with a placeholder value in the generated manifest). The user receives a configuration checklist alongside the PR listing every variable that needs to be populated before the deployment is live.</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Generated Artifact Package</w:t>
      </w:r>
    </w:p>
    <w:p>
      <w:pPr>
        <w:spacing w:after="100" w:before="60"/>
      </w:pPr>
      <w:r>
        <w:rPr>
          <w:rFonts w:ascii="Arial" w:cs="Arial" w:eastAsia="Arial" w:hAnsi="Arial"/>
          <w:b w:val="false"/>
          <w:bCs w:val="false"/>
          <w:color w:val="0F172A"/>
          <w:sz w:val="22"/>
          <w:szCs w:val="22"/>
        </w:rPr>
        <w:t xml:space="preserve">For every connected repository, DIE generates and opens a pull request containing the following file tree under the autostack/ directory:</w:t>
      </w:r>
    </w:p>
    <w:p>
      <w:pPr>
        <w:pStyle w:val="ListParagraph"/>
        <w:numPr>
          <w:ilvl w:val="0"/>
          <w:numId w:val="3"/>
        </w:numPr>
        <w:spacing w:after="40" w:before="40"/>
      </w:pPr>
      <w:r>
        <w:rPr>
          <w:rFonts w:ascii="Arial" w:cs="Arial" w:eastAsia="Arial" w:hAnsi="Arial"/>
          <w:b w:val="false"/>
          <w:bCs w:val="false"/>
          <w:color w:val="0F172A"/>
          <w:sz w:val="22"/>
          <w:szCs w:val="22"/>
        </w:rPr>
        <w:t xml:space="preserve">Dockerfile — multi-stage build with pinned base image, non-root user, health check instruction</w:t>
      </w:r>
    </w:p>
    <w:p>
      <w:pPr>
        <w:pStyle w:val="ListParagraph"/>
        <w:numPr>
          <w:ilvl w:val="0"/>
          <w:numId w:val="3"/>
        </w:numPr>
        <w:spacing w:after="40" w:before="40"/>
      </w:pPr>
      <w:r>
        <w:rPr>
          <w:rFonts w:ascii="Arial" w:cs="Arial" w:eastAsia="Arial" w:hAnsi="Arial"/>
          <w:b w:val="false"/>
          <w:bCs w:val="false"/>
          <w:color w:val="0F172A"/>
          <w:sz w:val="22"/>
          <w:szCs w:val="22"/>
        </w:rPr>
        <w:t xml:space="preserve">.github/workflows/build.yml — GitHub Actions workflow for image build and push to ECR or Docker Hub</w:t>
      </w:r>
    </w:p>
    <w:p>
      <w:pPr>
        <w:pStyle w:val="ListParagraph"/>
        <w:numPr>
          <w:ilvl w:val="0"/>
          <w:numId w:val="3"/>
        </w:numPr>
        <w:spacing w:after="40" w:before="40"/>
      </w:pPr>
      <w:r>
        <w:rPr>
          <w:rFonts w:ascii="Arial" w:cs="Arial" w:eastAsia="Arial" w:hAnsi="Arial"/>
          <w:b w:val="false"/>
          <w:bCs w:val="false"/>
          <w:color w:val="0F172A"/>
          <w:sz w:val="22"/>
          <w:szCs w:val="22"/>
        </w:rPr>
        <w:t xml:space="preserve">k8s/namespace.yaml — Namespace with resource quotas and LimitRange</w:t>
      </w:r>
    </w:p>
    <w:p>
      <w:pPr>
        <w:pStyle w:val="ListParagraph"/>
        <w:numPr>
          <w:ilvl w:val="0"/>
          <w:numId w:val="3"/>
        </w:numPr>
        <w:spacing w:after="40" w:before="40"/>
      </w:pPr>
      <w:r>
        <w:rPr>
          <w:rFonts w:ascii="Arial" w:cs="Arial" w:eastAsia="Arial" w:hAnsi="Arial"/>
          <w:b w:val="false"/>
          <w:bCs w:val="false"/>
          <w:color w:val="0F172A"/>
          <w:sz w:val="22"/>
          <w:szCs w:val="22"/>
        </w:rPr>
        <w:t xml:space="preserve">k8s/serviceaccount.yaml — ServiceAccount with minimal RBAC</w:t>
      </w:r>
    </w:p>
    <w:p>
      <w:pPr>
        <w:pStyle w:val="ListParagraph"/>
        <w:numPr>
          <w:ilvl w:val="0"/>
          <w:numId w:val="3"/>
        </w:numPr>
        <w:spacing w:after="40" w:before="40"/>
      </w:pPr>
      <w:r>
        <w:rPr>
          <w:rFonts w:ascii="Arial" w:cs="Arial" w:eastAsia="Arial" w:hAnsi="Arial"/>
          <w:b w:val="false"/>
          <w:bCs w:val="false"/>
          <w:color w:val="0F172A"/>
          <w:sz w:val="22"/>
          <w:szCs w:val="22"/>
        </w:rPr>
        <w:t xml:space="preserve">k8s/deployment.yaml — Deployment with security context, probes, anti-affinity, and resource requests</w:t>
      </w:r>
    </w:p>
    <w:p>
      <w:pPr>
        <w:pStyle w:val="ListParagraph"/>
        <w:numPr>
          <w:ilvl w:val="0"/>
          <w:numId w:val="3"/>
        </w:numPr>
        <w:spacing w:after="40" w:before="40"/>
      </w:pPr>
      <w:r>
        <w:rPr>
          <w:rFonts w:ascii="Arial" w:cs="Arial" w:eastAsia="Arial" w:hAnsi="Arial"/>
          <w:b w:val="false"/>
          <w:bCs w:val="false"/>
          <w:color w:val="0F172A"/>
          <w:sz w:val="22"/>
          <w:szCs w:val="22"/>
        </w:rPr>
        <w:t xml:space="preserve">k8s/service.yaml — Service appropriate to application type</w:t>
      </w:r>
    </w:p>
    <w:p>
      <w:pPr>
        <w:pStyle w:val="ListParagraph"/>
        <w:numPr>
          <w:ilvl w:val="0"/>
          <w:numId w:val="3"/>
        </w:numPr>
        <w:spacing w:after="40" w:before="40"/>
      </w:pPr>
      <w:r>
        <w:rPr>
          <w:rFonts w:ascii="Arial" w:cs="Arial" w:eastAsia="Arial" w:hAnsi="Arial"/>
          <w:b w:val="false"/>
          <w:bCs w:val="false"/>
          <w:color w:val="0F172A"/>
          <w:sz w:val="22"/>
          <w:szCs w:val="22"/>
        </w:rPr>
        <w:t xml:space="preserve">k8s/hpa.yaml — HorizontalPodAutoscaler with CPU and memory metrics</w:t>
      </w:r>
    </w:p>
    <w:p>
      <w:pPr>
        <w:pStyle w:val="ListParagraph"/>
        <w:numPr>
          <w:ilvl w:val="0"/>
          <w:numId w:val="3"/>
        </w:numPr>
        <w:spacing w:after="40" w:before="40"/>
      </w:pPr>
      <w:r>
        <w:rPr>
          <w:rFonts w:ascii="Arial" w:cs="Arial" w:eastAsia="Arial" w:hAnsi="Arial"/>
          <w:b w:val="false"/>
          <w:bCs w:val="false"/>
          <w:color w:val="0F172A"/>
          <w:sz w:val="22"/>
          <w:szCs w:val="22"/>
        </w:rPr>
        <w:t xml:space="preserve">k8s/ingress.yaml — Ingress with TLS annotation for cert-manager</w:t>
      </w:r>
    </w:p>
    <w:p>
      <w:pPr>
        <w:pStyle w:val="ListParagraph"/>
        <w:numPr>
          <w:ilvl w:val="0"/>
          <w:numId w:val="3"/>
        </w:numPr>
        <w:spacing w:after="40" w:before="40"/>
      </w:pPr>
      <w:r>
        <w:rPr>
          <w:rFonts w:ascii="Arial" w:cs="Arial" w:eastAsia="Arial" w:hAnsi="Arial"/>
          <w:b w:val="false"/>
          <w:bCs w:val="false"/>
          <w:color w:val="0F172A"/>
          <w:sz w:val="22"/>
          <w:szCs w:val="22"/>
        </w:rPr>
        <w:t xml:space="preserve">k8s/networkpolicy.yaml — NetworkPolicy allowing only required ingress and egress paths</w:t>
      </w:r>
    </w:p>
    <w:p>
      <w:pPr>
        <w:pStyle w:val="ListParagraph"/>
        <w:numPr>
          <w:ilvl w:val="0"/>
          <w:numId w:val="3"/>
        </w:numPr>
        <w:spacing w:after="40" w:before="40"/>
      </w:pPr>
      <w:r>
        <w:rPr>
          <w:rFonts w:ascii="Arial" w:cs="Arial" w:eastAsia="Arial" w:hAnsi="Arial"/>
          <w:b w:val="false"/>
          <w:bCs w:val="false"/>
          <w:color w:val="0F172A"/>
          <w:sz w:val="22"/>
          <w:szCs w:val="22"/>
        </w:rPr>
        <w:t xml:space="preserve">k8s/pdb.yaml — PodDisruptionBudget ensuring at least one replica during voluntary disruptions</w:t>
      </w:r>
    </w:p>
    <w:p>
      <w:pPr>
        <w:pStyle w:val="ListParagraph"/>
        <w:numPr>
          <w:ilvl w:val="0"/>
          <w:numId w:val="3"/>
        </w:numPr>
        <w:spacing w:after="40" w:before="40"/>
      </w:pPr>
      <w:r>
        <w:rPr>
          <w:rFonts w:ascii="Arial" w:cs="Arial" w:eastAsia="Arial" w:hAnsi="Arial"/>
          <w:b w:val="false"/>
          <w:bCs w:val="false"/>
          <w:color w:val="0F172A"/>
          <w:sz w:val="22"/>
          <w:szCs w:val="22"/>
        </w:rPr>
        <w:t xml:space="preserve">k8s/configmap.yaml — ConfigMap with non-sensitive configuration</w:t>
      </w:r>
    </w:p>
    <w:p>
      <w:pPr>
        <w:pStyle w:val="ListParagraph"/>
        <w:numPr>
          <w:ilvl w:val="0"/>
          <w:numId w:val="3"/>
        </w:numPr>
        <w:spacing w:after="40" w:before="40"/>
      </w:pPr>
      <w:r>
        <w:rPr>
          <w:rFonts w:ascii="Arial" w:cs="Arial" w:eastAsia="Arial" w:hAnsi="Arial"/>
          <w:b w:val="false"/>
          <w:bCs w:val="false"/>
          <w:color w:val="0F172A"/>
          <w:sz w:val="22"/>
          <w:szCs w:val="22"/>
        </w:rPr>
        <w:t xml:space="preserve">k8s/secret.yaml — Secret manifest with placeholder values and annotation listing required keys</w:t>
      </w:r>
    </w:p>
    <w:p>
      <w:pPr>
        <w:pStyle w:val="ListParagraph"/>
        <w:numPr>
          <w:ilvl w:val="0"/>
          <w:numId w:val="3"/>
        </w:numPr>
        <w:spacing w:after="40" w:before="40"/>
      </w:pPr>
      <w:r>
        <w:rPr>
          <w:rFonts w:ascii="Arial" w:cs="Arial" w:eastAsia="Arial" w:hAnsi="Arial"/>
          <w:b w:val="false"/>
          <w:bCs w:val="false"/>
          <w:color w:val="0F172A"/>
          <w:sz w:val="22"/>
          <w:szCs w:val="22"/>
        </w:rPr>
        <w:t xml:space="preserve">argocd/application.yaml — ArgoCD Application resource pointing to the k8s/ path on the main branch</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Security Hardening in Generated Manifests</w:t>
      </w:r>
    </w:p>
    <w:p>
      <w:pPr>
        <w:spacing w:after="100" w:before="60"/>
      </w:pPr>
      <w:r>
        <w:rPr>
          <w:rFonts w:ascii="Arial" w:cs="Arial" w:eastAsia="Arial" w:hAnsi="Arial"/>
          <w:b w:val="false"/>
          <w:bCs w:val="false"/>
          <w:color w:val="0F172A"/>
          <w:sz w:val="22"/>
          <w:szCs w:val="22"/>
        </w:rPr>
        <w:t xml:space="preserve">Every generated Deployment manifest enforces the following security context as baseline, regardless of application type. None of these are optional. They can be loosened by the user post-merge if a specific application requires it, but the default is hardened.</w:t>
      </w:r>
    </w:p>
    <w:p>
      <w:pPr>
        <w:pStyle w:val="ListParagraph"/>
        <w:numPr>
          <w:ilvl w:val="0"/>
          <w:numId w:val="3"/>
        </w:numPr>
        <w:spacing w:after="40" w:before="40"/>
      </w:pPr>
      <w:r>
        <w:rPr>
          <w:rFonts w:ascii="Arial" w:cs="Arial" w:eastAsia="Arial" w:hAnsi="Arial"/>
          <w:b w:val="false"/>
          <w:bCs w:val="false"/>
          <w:color w:val="0F172A"/>
          <w:sz w:val="22"/>
          <w:szCs w:val="22"/>
        </w:rPr>
        <w:t xml:space="preserve">runAsNonRoot: true — container process never runs as UID 0</w:t>
      </w:r>
    </w:p>
    <w:p>
      <w:pPr>
        <w:pStyle w:val="ListParagraph"/>
        <w:numPr>
          <w:ilvl w:val="0"/>
          <w:numId w:val="3"/>
        </w:numPr>
        <w:spacing w:after="40" w:before="40"/>
      </w:pPr>
      <w:r>
        <w:rPr>
          <w:rFonts w:ascii="Arial" w:cs="Arial" w:eastAsia="Arial" w:hAnsi="Arial"/>
          <w:b w:val="false"/>
          <w:bCs w:val="false"/>
          <w:color w:val="0F172A"/>
          <w:sz w:val="22"/>
          <w:szCs w:val="22"/>
        </w:rPr>
        <w:t xml:space="preserve">readOnlyRootFilesystem: true — prevents runtime filesystem writes outside mounted volumes</w:t>
      </w:r>
    </w:p>
    <w:p>
      <w:pPr>
        <w:pStyle w:val="ListParagraph"/>
        <w:numPr>
          <w:ilvl w:val="0"/>
          <w:numId w:val="3"/>
        </w:numPr>
        <w:spacing w:after="40" w:before="40"/>
      </w:pPr>
      <w:r>
        <w:rPr>
          <w:rFonts w:ascii="Arial" w:cs="Arial" w:eastAsia="Arial" w:hAnsi="Arial"/>
          <w:b w:val="false"/>
          <w:bCs w:val="false"/>
          <w:color w:val="0F172A"/>
          <w:sz w:val="22"/>
          <w:szCs w:val="22"/>
        </w:rPr>
        <w:t xml:space="preserve">allowPrivilegeEscalation: false — prevents setuid/setgid escalation</w:t>
      </w:r>
    </w:p>
    <w:p>
      <w:pPr>
        <w:pStyle w:val="ListParagraph"/>
        <w:numPr>
          <w:ilvl w:val="0"/>
          <w:numId w:val="3"/>
        </w:numPr>
        <w:spacing w:after="40" w:before="40"/>
      </w:pPr>
      <w:r>
        <w:rPr>
          <w:rFonts w:ascii="Arial" w:cs="Arial" w:eastAsia="Arial" w:hAnsi="Arial"/>
          <w:b w:val="false"/>
          <w:bCs w:val="false"/>
          <w:color w:val="0F172A"/>
          <w:sz w:val="22"/>
          <w:szCs w:val="22"/>
        </w:rPr>
        <w:t xml:space="preserve">capabilities.drop: ALL — removes all Linux capabilities; add back only what is documented as needed</w:t>
      </w:r>
    </w:p>
    <w:p>
      <w:pPr>
        <w:pStyle w:val="ListParagraph"/>
        <w:numPr>
          <w:ilvl w:val="0"/>
          <w:numId w:val="3"/>
        </w:numPr>
        <w:spacing w:after="40" w:before="40"/>
      </w:pPr>
      <w:r>
        <w:rPr>
          <w:rFonts w:ascii="Arial" w:cs="Arial" w:eastAsia="Arial" w:hAnsi="Arial"/>
          <w:b w:val="false"/>
          <w:bCs w:val="false"/>
          <w:color w:val="0F172A"/>
          <w:sz w:val="22"/>
          <w:szCs w:val="22"/>
        </w:rPr>
        <w:t xml:space="preserve">seccompProfile.type: RuntimeDefault — applies the container runtime's default syscall filter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1"/>
              <w:bottom w:val="none" w:color="FFFFFF" w:sz="0"/>
              <w:right w:val="none" w:color="FFFFFF" w:sz="0"/>
            </w:tcBorders>
            <w:shd w:fill="ECFDF5" w:val="clear"/>
            <w:tcMar>
              <w:top w:type="dxa" w:w="80"/>
              <w:left w:type="dxa" w:w="200"/>
              <w:bottom w:type="dxa" w:w="60"/>
              <w:right w:type="dxa" w:w="200"/>
            </w:tcMar>
          </w:tcPr>
          <w:p>
            <w:pPr>
              <w:spacing w:after="20" w:before="20"/>
            </w:pPr>
            <w:r>
              <w:rPr>
                <w:rFonts w:ascii="Arial" w:cs="Arial" w:eastAsia="Arial" w:hAnsi="Arial"/>
                <w:color w:val="2E4057"/>
                <w:sz w:val="20"/>
                <w:szCs w:val="20"/>
              </w:rPr>
              <w:t xml:space="preserve">These five security context fields are the difference between a deployment that passes a CIS Kubernetes Benchmark and one that fails it. Most hand-written Kubernetes manifests omit all of them.</w:t>
            </w:r>
          </w:p>
        </w:tc>
      </w:tr>
    </w:tbl>
    <w:p>
      <w:r>
        <w:br w:type="page"/>
      </w:r>
    </w:p>
    <w:p>
      <w:pPr>
        <w:spacing w:after="60" w:before="0"/>
      </w:pPr>
      <w:r>
        <w:rPr>
          <w:rFonts w:ascii="Arial" w:cs="Arial" w:eastAsia="Arial" w:hAnsi="Arial"/>
          <w:b/>
          <w:bCs/>
          <w:color w:val="0EA5E9"/>
          <w:spacing w:val="120"/>
          <w:sz w:val="18"/>
          <w:szCs w:val="18"/>
        </w:rPr>
        <w:t xml:space="preserve">SECTION 06</w:t>
      </w:r>
    </w:p>
    <w:p>
      <w:pPr>
        <w:pStyle w:val="Heading1"/>
        <w:pBdr>
          <w:bottom w:val="single" w:color="1A56DB" w:sz="6" w:space="8"/>
        </w:pBdr>
        <w:spacing w:after="200" w:before="400"/>
      </w:pPr>
      <w:r>
        <w:rPr>
          <w:rFonts w:ascii="Arial" w:cs="Arial" w:eastAsia="Arial" w:hAnsi="Arial"/>
          <w:b/>
          <w:bCs/>
          <w:color w:val="0F1B2D"/>
          <w:sz w:val="36"/>
          <w:szCs w:val="36"/>
        </w:rPr>
        <w:t xml:space="preserve">Engine 2: Continuous Operational Intelligence Engine</w:t>
      </w:r>
    </w:p>
    <w:p>
      <w:pPr>
        <w:spacing w:after="100" w:before="60"/>
      </w:pPr>
      <w:r>
        <w:rPr>
          <w:rFonts w:ascii="Arial" w:cs="Arial" w:eastAsia="Arial" w:hAnsi="Arial"/>
          <w:b w:val="false"/>
          <w:bCs w:val="false"/>
          <w:color w:val="0F172A"/>
          <w:sz w:val="22"/>
          <w:szCs w:val="22"/>
        </w:rPr>
        <w:t xml:space="preserve">The Continuous Operational Intelligence Engine (COIE) runs on a 5-minute evaluation cadence for every connected cluster. On each cycle it queries the Agent for current cluster state, evaluates every workload and cluster-wide configuration against four scoring dimensions, computes dimension scores and an aggregate cluster health score, and queues PR generation for any findings that changed since the previous cycle.</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The Four Scoring Dimensions</w:t>
      </w:r>
    </w:p>
    <w:p>
      <w:pPr>
        <w:pStyle w:val="Heading3"/>
        <w:spacing w:after="120" w:before="200"/>
      </w:pPr>
      <w:r>
        <w:rPr>
          <w:rFonts w:ascii="Arial" w:cs="Arial" w:eastAsia="Arial" w:hAnsi="Arial"/>
          <w:b/>
          <w:bCs/>
          <w:color w:val="475569"/>
          <w:sz w:val="24"/>
          <w:szCs w:val="24"/>
        </w:rPr>
        <w:t xml:space="preserve">Dimension 1: Security Score (0–100)</w:t>
      </w:r>
    </w:p>
    <w:p>
      <w:pPr>
        <w:spacing w:after="100" w:before="60"/>
      </w:pPr>
      <w:r>
        <w:rPr>
          <w:rFonts w:ascii="Arial" w:cs="Arial" w:eastAsia="Arial" w:hAnsi="Arial"/>
          <w:b w:val="false"/>
          <w:bCs w:val="false"/>
          <w:color w:val="0F172A"/>
          <w:sz w:val="22"/>
          <w:szCs w:val="22"/>
        </w:rPr>
        <w:t xml:space="preserve">The Security Score evaluates every running workload and cluster configuration against the AutoStack Security Baseline, a curated set of checks derived from the CIS Kubernetes Benchmark, NSA/CISA Kubernetes Hardening Guide, and OWASP Kubernetes Security Cheat Sheet.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Check</w:t>
            </w:r>
          </w:p>
        </w:tc>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Trigger Condition</w:t>
            </w:r>
          </w:p>
        </w:tc>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Severity &amp; Action</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Privileged Containers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Any container with privileged: true</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Critical — immediate PR</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Host Namespace Access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hostPID, hostIPC, hostNetwork: true</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Critical — immediate PR</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Missing Resource Limits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Container without CPU or memory limit</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High — PR on next cycle</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Secrets in Env Vars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Env var matching secret pattern (TOKEN, KEY, SECRET, PASSWORD)</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High — PR on next cycle</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Excessive ServiceAccount RBAC</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ServiceAccount with wildcard verb or resource</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High — PR on next cycle</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Unpinned Image Tags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Image reference ending in :latest or no tag</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Medium — PR weekly digest</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Image CVEs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Image containing CVE of severity CRITICAL or HIGH</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Severity-dependent</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Missing NetworkPolicy</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Namespace with no NetworkPolicy (open default)</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Medium — PR on next cycle</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Missing Security Context</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Missing runAsNonRoot or allowPrivilegeEscalation</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Medium — PR on next cycle</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Missing Pod Disruption Budget</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Deployment with replicas &gt; 1 and no PDB</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Low — PR weekly digest</w:t>
            </w:r>
          </w:p>
        </w:tc>
      </w:tr>
    </w:tbl>
    <w:p>
      <w:pPr>
        <w:spacing w:after="0" w:before="160"/>
      </w:pPr>
      <w:r>
        <w:t xml:space="preserve"/>
      </w:r>
    </w:p>
    <w:p>
      <w:pPr>
        <w:pStyle w:val="Heading3"/>
        <w:spacing w:after="120" w:before="200"/>
      </w:pPr>
      <w:r>
        <w:rPr>
          <w:rFonts w:ascii="Arial" w:cs="Arial" w:eastAsia="Arial" w:hAnsi="Arial"/>
          <w:b/>
          <w:bCs/>
          <w:color w:val="475569"/>
          <w:sz w:val="24"/>
          <w:szCs w:val="24"/>
        </w:rPr>
        <w:t xml:space="preserve">Dimension 2: Cost Efficiency Score (0–100)</w:t>
      </w:r>
    </w:p>
    <w:p>
      <w:pPr>
        <w:spacing w:after="100" w:before="60"/>
      </w:pPr>
      <w:r>
        <w:rPr>
          <w:rFonts w:ascii="Arial" w:cs="Arial" w:eastAsia="Arial" w:hAnsi="Arial"/>
          <w:b w:val="false"/>
          <w:bCs w:val="false"/>
          <w:color w:val="0F172A"/>
          <w:sz w:val="22"/>
          <w:szCs w:val="22"/>
        </w:rPr>
        <w:t xml:space="preserve">The Cost Efficiency Score compares actual resource usage (reported by the Agent from the metrics-server API) against resource requests configured in the Deployment manifests. It uses a rolling 7-day average to avoid penalizing temporary traffic spikes.</w:t>
      </w:r>
    </w:p>
    <w:p>
      <w:pPr>
        <w:spacing w:after="0" w:before="80"/>
      </w:pPr>
      <w:r>
        <w:t xml:space="preserve"/>
      </w:r>
    </w:p>
    <w:p>
      <w:pPr>
        <w:spacing w:after="100" w:before="60"/>
      </w:pPr>
      <w:r>
        <w:rPr>
          <w:rFonts w:ascii="Arial" w:cs="Arial" w:eastAsia="Arial" w:hAnsi="Arial"/>
          <w:b w:val="false"/>
          <w:bCs w:val="false"/>
          <w:color w:val="0F172A"/>
          <w:sz w:val="22"/>
          <w:szCs w:val="22"/>
        </w:rPr>
        <w:t xml:space="preserve">For each container in each Deployment, COIE computes a right-sizing recommendation. If actual CPU usage is consistently below 50% of the request, the container is considered over-provisioned for CPU. If actual memory usage is consistently below 60% of the request, it is considered over-provisioned for memory. Thresholds are tunable per workload.</w:t>
      </w:r>
    </w:p>
    <w:p>
      <w:pPr>
        <w:spacing w:after="0" w:before="80"/>
      </w:pPr>
      <w:r>
        <w:t xml:space="preserve"/>
      </w:r>
    </w:p>
    <w:p>
      <w:pPr>
        <w:spacing w:after="100" w:before="60"/>
      </w:pPr>
      <w:r>
        <w:rPr>
          <w:rFonts w:ascii="Arial" w:cs="Arial" w:eastAsia="Arial" w:hAnsi="Arial"/>
          <w:b w:val="false"/>
          <w:bCs w:val="false"/>
          <w:color w:val="0F172A"/>
          <w:sz w:val="22"/>
          <w:szCs w:val="22"/>
        </w:rPr>
        <w:t xml:space="preserve">Right-sizing PRs include the projected monthly savings in USD based on the cluster's reported node instance type and the AWS on-demand pricing API. This makes the value of each PR quantifiable.</w:t>
      </w:r>
    </w:p>
    <w:p>
      <w:pPr>
        <w:spacing w:after="0" w:before="160"/>
      </w:pPr>
      <w:r>
        <w:t xml:space="preserve"/>
      </w:r>
    </w:p>
    <w:p>
      <w:pPr>
        <w:pStyle w:val="Heading3"/>
        <w:spacing w:after="120" w:before="200"/>
      </w:pPr>
      <w:r>
        <w:rPr>
          <w:rFonts w:ascii="Arial" w:cs="Arial" w:eastAsia="Arial" w:hAnsi="Arial"/>
          <w:b/>
          <w:bCs/>
          <w:color w:val="475569"/>
          <w:sz w:val="24"/>
          <w:szCs w:val="24"/>
        </w:rPr>
        <w:t xml:space="preserve">Dimension 3: Reliability Score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Check</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Rationale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Pod Restart Frequency</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Pods restarting more than 3 times in 24 hours are flagged regardless of current state. Persistent high restart counts indicate a systemic problem that is not being surfaced by basic health checks.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Missing Probes</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Deployments without both readinessProbe and livenessProbe lose points. Missing readiness probes cause traffic to reach pods before they are ready. Missing liveness probes mean crashed pods are not automatically restarted.</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Single Replica Deployments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Any stateless Deployment with replicas: 1 has a single point of failure. COIE generates a PR adding a minimum of 2 replicas and a corresponding PodDisruptionBudget.</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Missing Pod Anti-Affinity</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Deployments with multiple replicas but no pod anti-affinity rules may schedule all replicas on the same node. COIE adds a preferredDuringSchedulingIgnoredDuringExecution rule spreading pods across zones.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Rollout Strategy</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Deployments using Recreate strategy (takes the application fully down during updates) are flagged and a RollingUpdate strategy with appropriate maxSurge and maxUnavailable values is recommended.</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HPA Coverage</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Deployments without HPA in clusters with variable load patterns are flagged. COIE recommends CPU and memory-based HPA with sensible min/max replica bounds.</w:t>
            </w:r>
          </w:p>
        </w:tc>
      </w:tr>
    </w:tbl>
    <w:p>
      <w:pPr>
        <w:spacing w:after="0" w:before="160"/>
      </w:pPr>
      <w:r>
        <w:t xml:space="preserve"/>
      </w:r>
    </w:p>
    <w:p>
      <w:pPr>
        <w:pStyle w:val="Heading3"/>
        <w:spacing w:after="120" w:before="200"/>
      </w:pPr>
      <w:r>
        <w:rPr>
          <w:rFonts w:ascii="Arial" w:cs="Arial" w:eastAsia="Arial" w:hAnsi="Arial"/>
          <w:b/>
          <w:bCs/>
          <w:color w:val="475569"/>
          <w:sz w:val="24"/>
          <w:szCs w:val="24"/>
        </w:rPr>
        <w:t xml:space="preserve">Dimension 4: Performance Score (0–100)</w:t>
      </w:r>
    </w:p>
    <w:p>
      <w:pPr>
        <w:spacing w:after="100" w:before="60"/>
      </w:pPr>
      <w:r>
        <w:rPr>
          <w:rFonts w:ascii="Arial" w:cs="Arial" w:eastAsia="Arial" w:hAnsi="Arial"/>
          <w:b w:val="false"/>
          <w:bCs w:val="false"/>
          <w:color w:val="0F172A"/>
          <w:sz w:val="22"/>
          <w:szCs w:val="22"/>
        </w:rPr>
        <w:t xml:space="preserve">The Performance Score requires that the cluster expose a Prometheus-compatible metrics endpoint, which AutoStack can configure automatically during agent installation if not already present. It tracks p50, p95, and p99 request latency for instrumented services, error rate (4xx and 5xx HTTP response ratios), and request throughput trends.</w:t>
      </w:r>
    </w:p>
    <w:p>
      <w:pPr>
        <w:spacing w:after="0" w:before="80"/>
      </w:pPr>
      <w:r>
        <w:t xml:space="preserve"/>
      </w:r>
    </w:p>
    <w:p>
      <w:pPr>
        <w:spacing w:after="100" w:before="60"/>
      </w:pPr>
      <w:r>
        <w:rPr>
          <w:rFonts w:ascii="Arial" w:cs="Arial" w:eastAsia="Arial" w:hAnsi="Arial"/>
          <w:b w:val="false"/>
          <w:bCs w:val="false"/>
          <w:color w:val="0F172A"/>
          <w:sz w:val="22"/>
          <w:szCs w:val="22"/>
        </w:rPr>
        <w:t xml:space="preserve">Crucially, Performance Score findings are always correlated with recent Git events. When a latency degradation is detected, COIE checks whether a deployment change occurred in the preceding time window that could explain it. If a correlation is found, the incident is annotated with the commit SHA and PR link, so the engineer has an immediate starting point for the investigation.</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Aggregate Cluster Health Score</w:t>
      </w:r>
    </w:p>
    <w:p>
      <w:pPr>
        <w:spacing w:after="100" w:before="60"/>
      </w:pPr>
      <w:r>
        <w:rPr>
          <w:rFonts w:ascii="Arial" w:cs="Arial" w:eastAsia="Arial" w:hAnsi="Arial"/>
          <w:b w:val="false"/>
          <w:bCs w:val="false"/>
          <w:color w:val="0F172A"/>
          <w:sz w:val="22"/>
          <w:szCs w:val="22"/>
        </w:rPr>
        <w:t xml:space="preserve">The four dimension scores are combined into an aggregate Cluster Health Score using weighted averaging. Weights reflect the relative operational impact of each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Dimension</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Weight &amp; Rationale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Security Score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35% weight — a security failure can be catastrophic and irreversible, so it is weighted highest</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Reliability Score</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30% weight — reliability directly maps to user-visible availability</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Cost Efficiency Score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20% weight — cost waste is significant but not an immediate operational risk</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Performance Score</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15% weight — valuable signal but requires more instrumentation to be fully reliable</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PR Generation and Deduplication</w:t>
      </w:r>
    </w:p>
    <w:p>
      <w:pPr>
        <w:spacing w:after="100" w:before="60"/>
      </w:pPr>
      <w:r>
        <w:rPr>
          <w:rFonts w:ascii="Arial" w:cs="Arial" w:eastAsia="Arial" w:hAnsi="Arial"/>
          <w:b w:val="false"/>
          <w:bCs w:val="false"/>
          <w:color w:val="0F172A"/>
          <w:sz w:val="22"/>
          <w:szCs w:val="22"/>
        </w:rPr>
        <w:t xml:space="preserve">COIE generates a pull request for each new finding. PRs include the diff, the rationale for the change, references to the relevant benchmark or best practice, and projected impact. Each PR is tagged with the finding type, severity, and dimension so teams can filter and triage.</w:t>
      </w:r>
    </w:p>
    <w:p>
      <w:pPr>
        <w:spacing w:after="0" w:before="80"/>
      </w:pPr>
      <w:r>
        <w:t xml:space="preserve"/>
      </w:r>
    </w:p>
    <w:p>
      <w:pPr>
        <w:spacing w:after="100" w:before="60"/>
      </w:pPr>
      <w:r>
        <w:rPr>
          <w:rFonts w:ascii="Arial" w:cs="Arial" w:eastAsia="Arial" w:hAnsi="Arial"/>
          <w:b w:val="false"/>
          <w:bCs w:val="false"/>
          <w:color w:val="0F172A"/>
          <w:sz w:val="22"/>
          <w:szCs w:val="22"/>
        </w:rPr>
        <w:t xml:space="preserve">The system deduplicates aggressively. If a finding generated a PR in a previous cycle and that PR is still open, no new PR is generated. If a PR is merged, the finding is marked resolved and removed from scoring. If a PR is closed without merging, the finding is marked suppressed and the user can provide a justification comment that is stored in the audit log.</w:t>
      </w:r>
    </w:p>
    <w:p>
      <w:r>
        <w:br w:type="page"/>
      </w:r>
    </w:p>
    <w:p>
      <w:pPr>
        <w:spacing w:after="60" w:before="0"/>
      </w:pPr>
      <w:r>
        <w:rPr>
          <w:rFonts w:ascii="Arial" w:cs="Arial" w:eastAsia="Arial" w:hAnsi="Arial"/>
          <w:b/>
          <w:bCs/>
          <w:color w:val="0EA5E9"/>
          <w:spacing w:val="120"/>
          <w:sz w:val="18"/>
          <w:szCs w:val="18"/>
        </w:rPr>
        <w:t xml:space="preserve">SECTION 07</w:t>
      </w:r>
    </w:p>
    <w:p>
      <w:pPr>
        <w:pStyle w:val="Heading1"/>
        <w:pBdr>
          <w:bottom w:val="single" w:color="1A56DB" w:sz="6" w:space="8"/>
        </w:pBdr>
        <w:spacing w:after="200" w:before="400"/>
      </w:pPr>
      <w:r>
        <w:rPr>
          <w:rFonts w:ascii="Arial" w:cs="Arial" w:eastAsia="Arial" w:hAnsi="Arial"/>
          <w:b/>
          <w:bCs/>
          <w:color w:val="0F1B2D"/>
          <w:sz w:val="36"/>
          <w:szCs w:val="36"/>
        </w:rPr>
        <w:t xml:space="preserve">Engine 3: Autonomous Incident Response Engine</w:t>
      </w:r>
    </w:p>
    <w:p>
      <w:pPr>
        <w:spacing w:after="100" w:before="60"/>
      </w:pPr>
      <w:r>
        <w:rPr>
          <w:rFonts w:ascii="Arial" w:cs="Arial" w:eastAsia="Arial" w:hAnsi="Arial"/>
          <w:b w:val="false"/>
          <w:bCs w:val="false"/>
          <w:color w:val="0F172A"/>
          <w:sz w:val="22"/>
          <w:szCs w:val="22"/>
        </w:rPr>
        <w:t xml:space="preserve">The Autonomous Incident Response Engine (AIRE) runs continuously, watching for anomalies in the cluster event stream. Unlike COIE which runs on a schedule, AIRE is event-driven. It activates the moment an anomaly is detected and runs the complete diagnosis pipeline before the on-call engineer has even finished opening their laptop.</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Anomaly Detection Triggers</w:t>
      </w:r>
    </w:p>
    <w:p>
      <w:pPr>
        <w:spacing w:after="100" w:before="60"/>
      </w:pPr>
      <w:r>
        <w:rPr>
          <w:rFonts w:ascii="Arial" w:cs="Arial" w:eastAsia="Arial" w:hAnsi="Arial"/>
          <w:b w:val="false"/>
          <w:bCs w:val="false"/>
          <w:color w:val="0F172A"/>
          <w:sz w:val="22"/>
          <w:szCs w:val="22"/>
        </w:rPr>
        <w:t xml:space="preserve">AIRE is triggered by any of the following signals delivered by the Agent:</w:t>
      </w:r>
    </w:p>
    <w:p>
      <w:pPr>
        <w:pStyle w:val="ListParagraph"/>
        <w:numPr>
          <w:ilvl w:val="0"/>
          <w:numId w:val="3"/>
        </w:numPr>
        <w:spacing w:after="40" w:before="40"/>
      </w:pPr>
      <w:r>
        <w:rPr>
          <w:rFonts w:ascii="Arial" w:cs="Arial" w:eastAsia="Arial" w:hAnsi="Arial"/>
          <w:b w:val="false"/>
          <w:bCs w:val="false"/>
          <w:color w:val="0F172A"/>
          <w:sz w:val="22"/>
          <w:szCs w:val="22"/>
        </w:rPr>
        <w:t xml:space="preserve">Pod transitions to CrashLoopBackOff or OOMKilled state</w:t>
      </w:r>
    </w:p>
    <w:p>
      <w:pPr>
        <w:pStyle w:val="ListParagraph"/>
        <w:numPr>
          <w:ilvl w:val="0"/>
          <w:numId w:val="3"/>
        </w:numPr>
        <w:spacing w:after="40" w:before="40"/>
      </w:pPr>
      <w:r>
        <w:rPr>
          <w:rFonts w:ascii="Arial" w:cs="Arial" w:eastAsia="Arial" w:hAnsi="Arial"/>
          <w:b w:val="false"/>
          <w:bCs w:val="false"/>
          <w:color w:val="0F172A"/>
          <w:sz w:val="22"/>
          <w:szCs w:val="22"/>
        </w:rPr>
        <w:t xml:space="preserve">Deployment rollout stalls — pods in the new ReplicaSet not becoming Ready within the rollout deadline</w:t>
      </w:r>
    </w:p>
    <w:p>
      <w:pPr>
        <w:pStyle w:val="ListParagraph"/>
        <w:numPr>
          <w:ilvl w:val="0"/>
          <w:numId w:val="3"/>
        </w:numPr>
        <w:spacing w:after="40" w:before="40"/>
      </w:pPr>
      <w:r>
        <w:rPr>
          <w:rFonts w:ascii="Arial" w:cs="Arial" w:eastAsia="Arial" w:hAnsi="Arial"/>
          <w:b w:val="false"/>
          <w:bCs w:val="false"/>
          <w:color w:val="0F172A"/>
          <w:sz w:val="22"/>
          <w:szCs w:val="22"/>
        </w:rPr>
        <w:t xml:space="preserve">Node reporting NotReady status for more than 60 seconds</w:t>
      </w:r>
    </w:p>
    <w:p>
      <w:pPr>
        <w:pStyle w:val="ListParagraph"/>
        <w:numPr>
          <w:ilvl w:val="0"/>
          <w:numId w:val="3"/>
        </w:numPr>
        <w:spacing w:after="40" w:before="40"/>
      </w:pPr>
      <w:r>
        <w:rPr>
          <w:rFonts w:ascii="Arial" w:cs="Arial" w:eastAsia="Arial" w:hAnsi="Arial"/>
          <w:b w:val="false"/>
          <w:bCs w:val="false"/>
          <w:color w:val="0F172A"/>
          <w:sz w:val="22"/>
          <w:szCs w:val="22"/>
        </w:rPr>
        <w:t xml:space="preserve">HPA at maxReplicas for more than 10 minutes — cluster is at scaling capacity limit</w:t>
      </w:r>
    </w:p>
    <w:p>
      <w:pPr>
        <w:pStyle w:val="ListParagraph"/>
        <w:numPr>
          <w:ilvl w:val="0"/>
          <w:numId w:val="3"/>
        </w:numPr>
        <w:spacing w:after="40" w:before="40"/>
      </w:pPr>
      <w:r>
        <w:rPr>
          <w:rFonts w:ascii="Arial" w:cs="Arial" w:eastAsia="Arial" w:hAnsi="Arial"/>
          <w:b w:val="false"/>
          <w:bCs w:val="false"/>
          <w:color w:val="0F172A"/>
          <w:sz w:val="22"/>
          <w:szCs w:val="22"/>
        </w:rPr>
        <w:t xml:space="preserve">PersistentVolumeClaim in Pending state for more than 5 minutes</w:t>
      </w:r>
    </w:p>
    <w:p>
      <w:pPr>
        <w:pStyle w:val="ListParagraph"/>
        <w:numPr>
          <w:ilvl w:val="0"/>
          <w:numId w:val="3"/>
        </w:numPr>
        <w:spacing w:after="40" w:before="40"/>
      </w:pPr>
      <w:r>
        <w:rPr>
          <w:rFonts w:ascii="Arial" w:cs="Arial" w:eastAsia="Arial" w:hAnsi="Arial"/>
          <w:b w:val="false"/>
          <w:bCs w:val="false"/>
          <w:color w:val="0F172A"/>
          <w:sz w:val="22"/>
          <w:szCs w:val="22"/>
        </w:rPr>
        <w:t xml:space="preserve">Certificate expiry within 7 days (from cert-manager certificate resources)</w:t>
      </w:r>
    </w:p>
    <w:p>
      <w:pPr>
        <w:pStyle w:val="ListParagraph"/>
        <w:numPr>
          <w:ilvl w:val="0"/>
          <w:numId w:val="3"/>
        </w:numPr>
        <w:spacing w:after="40" w:before="40"/>
      </w:pPr>
      <w:r>
        <w:rPr>
          <w:rFonts w:ascii="Arial" w:cs="Arial" w:eastAsia="Arial" w:hAnsi="Arial"/>
          <w:b w:val="false"/>
          <w:bCs w:val="false"/>
          <w:color w:val="0F172A"/>
          <w:sz w:val="22"/>
          <w:szCs w:val="22"/>
        </w:rPr>
        <w:t xml:space="preserve">Custom threshold breach on any Prometheus metric that the user has registered with AIRE</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Diagnosis Pipeline</w:t>
      </w:r>
    </w:p>
    <w:p>
      <w:pPr>
        <w:spacing w:after="100" w:before="60"/>
      </w:pPr>
      <w:r>
        <w:rPr>
          <w:rFonts w:ascii="Arial" w:cs="Arial" w:eastAsia="Arial" w:hAnsi="Arial"/>
          <w:b w:val="false"/>
          <w:bCs w:val="false"/>
          <w:color w:val="0F172A"/>
          <w:sz w:val="22"/>
          <w:szCs w:val="22"/>
        </w:rPr>
        <w:t xml:space="preserve">When AIRE activates, it runs a structured five-step diagnosis pipeline on the incident bundle collected by the Agent.</w:t>
      </w:r>
    </w:p>
    <w:p>
      <w:pPr>
        <w:spacing w:after="0" w:before="80"/>
      </w:pPr>
      <w:r>
        <w:t xml:space="preserve"/>
      </w:r>
    </w:p>
    <w:p>
      <w:pPr>
        <w:pStyle w:val="Heading3"/>
        <w:spacing w:after="120" w:before="200"/>
      </w:pPr>
      <w:r>
        <w:rPr>
          <w:rFonts w:ascii="Arial" w:cs="Arial" w:eastAsia="Arial" w:hAnsi="Arial"/>
          <w:b/>
          <w:bCs/>
          <w:color w:val="475569"/>
          <w:sz w:val="24"/>
          <w:szCs w:val="24"/>
        </w:rPr>
        <w:t xml:space="preserve">Step 1: Incident Bundle Collection</w:t>
      </w:r>
    </w:p>
    <w:p>
      <w:pPr>
        <w:spacing w:after="100" w:before="60"/>
      </w:pPr>
      <w:r>
        <w:rPr>
          <w:rFonts w:ascii="Arial" w:cs="Arial" w:eastAsia="Arial" w:hAnsi="Arial"/>
          <w:b w:val="false"/>
          <w:bCs w:val="false"/>
          <w:color w:val="0F172A"/>
          <w:sz w:val="22"/>
          <w:szCs w:val="22"/>
        </w:rPr>
        <w:t xml:space="preserve">The Agent collects the incident bundle in parallel to minimize latency: pod logs for the affected workload (last 500 lines per container), Kubernetes events for the workload's namespace (last 60 minutes), resource metrics for the affected pod and node, ArgoCD sync history for the workload (last 5 syncs with diffs), and Kubernetes resource state for the Deployment, ReplicaSet, and pods.</w:t>
      </w:r>
    </w:p>
    <w:p>
      <w:pPr>
        <w:spacing w:after="0" w:before="80"/>
      </w:pPr>
      <w:r>
        <w:t xml:space="preserve"/>
      </w:r>
    </w:p>
    <w:p>
      <w:pPr>
        <w:pStyle w:val="Heading3"/>
        <w:spacing w:after="120" w:before="200"/>
      </w:pPr>
      <w:r>
        <w:rPr>
          <w:rFonts w:ascii="Arial" w:cs="Arial" w:eastAsia="Arial" w:hAnsi="Arial"/>
          <w:b/>
          <w:bCs/>
          <w:color w:val="475569"/>
          <w:sz w:val="24"/>
          <w:szCs w:val="24"/>
        </w:rPr>
        <w:t xml:space="preserve">Step 2: Event Timeline Construction</w:t>
      </w:r>
    </w:p>
    <w:p>
      <w:pPr>
        <w:spacing w:after="100" w:before="60"/>
      </w:pPr>
      <w:r>
        <w:rPr>
          <w:rFonts w:ascii="Arial" w:cs="Arial" w:eastAsia="Arial" w:hAnsi="Arial"/>
          <w:b w:val="false"/>
          <w:bCs w:val="false"/>
          <w:color w:val="0F172A"/>
          <w:sz w:val="22"/>
          <w:szCs w:val="22"/>
        </w:rPr>
        <w:t xml:space="preserve">AIRE constructs a unified chronological timeline by merging events, log timestamps, and metric data points. The timeline is the single source of truth for the incident. It makes the sequence of events — what happened first, what happened as a consequence — explicit and readable.</w:t>
      </w:r>
    </w:p>
    <w:p>
      <w:pPr>
        <w:spacing w:after="0" w:before="80"/>
      </w:pPr>
      <w:r>
        <w:t xml:space="preserve"/>
      </w:r>
    </w:p>
    <w:p>
      <w:pPr>
        <w:pStyle w:val="Heading3"/>
        <w:spacing w:after="120" w:before="200"/>
      </w:pPr>
      <w:r>
        <w:rPr>
          <w:rFonts w:ascii="Arial" w:cs="Arial" w:eastAsia="Arial" w:hAnsi="Arial"/>
          <w:b/>
          <w:bCs/>
          <w:color w:val="475569"/>
          <w:sz w:val="24"/>
          <w:szCs w:val="24"/>
        </w:rPr>
        <w:t xml:space="preserve">Step 3: Pattern Matching</w:t>
      </w:r>
    </w:p>
    <w:p>
      <w:pPr>
        <w:spacing w:after="100" w:before="60"/>
      </w:pPr>
      <w:r>
        <w:rPr>
          <w:rFonts w:ascii="Arial" w:cs="Arial" w:eastAsia="Arial" w:hAnsi="Arial"/>
          <w:b w:val="false"/>
          <w:bCs w:val="false"/>
          <w:color w:val="0F172A"/>
          <w:sz w:val="22"/>
          <w:szCs w:val="22"/>
        </w:rPr>
        <w:t xml:space="preserve">The pattern library is the core of AIRE's diagnosis capability. It is a curated, versioned database of Kubernetes failure patterns, each defined by a matching function (operating on the event timeline, log content, and metric values) and an associated diagnosis template.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Pattern Name</w:t>
            </w:r>
          </w:p>
        </w:tc>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Matching Criteria</w:t>
            </w:r>
          </w:p>
        </w:tc>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Diagnosis Output</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OOM Kill</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Exit code 137, last log line contains OOM or memory</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Memory limit too low or memory leak in application</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Application Crash</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Exit code 1, application-level error in logs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Bug in application code — points to log lines</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Image Pull Failure</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ImagePullBackOff, 401/403 in events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Registry credentials expired or image tag does not exist</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Liveness Probe Failure</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Liveness probe failed in events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Application not responding on probe endpoint — dead but not exited</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Config Missing</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Exit with env var not found or config file not found in logs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Required environment variable or ConfigMap key not mounted</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Node Pressure</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Pod evicted in events, node memory/disk pressure condition</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Node resource exhaustion — workload needs to move</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Rollout Stuck</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Deadline exceeded in rollout events, new pods not ready</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New version failing readiness check — likely config or image issue</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PVC Binding Failure</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PVC stuck Pending, no matching PV</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StorageClass unavailable or capacity exhausted</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RBAC Denial</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Forbidden in pod logs, 403 from API server</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ServiceAccount missing permission for required API call</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Startup Deadlock</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Readiness probe failing indefinitely, no crash</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Application deadlocked during init or waiting for dependency</w:t>
            </w:r>
          </w:p>
        </w:tc>
      </w:tr>
    </w:tbl>
    <w:p>
      <w:pPr>
        <w:spacing w:after="0" w:before="160"/>
      </w:pPr>
      <w:r>
        <w:t xml:space="preserve"/>
      </w:r>
    </w:p>
    <w:p>
      <w:pPr>
        <w:pStyle w:val="Heading3"/>
        <w:spacing w:after="120" w:before="200"/>
      </w:pPr>
      <w:r>
        <w:rPr>
          <w:rFonts w:ascii="Arial" w:cs="Arial" w:eastAsia="Arial" w:hAnsi="Arial"/>
          <w:b/>
          <w:bCs/>
          <w:color w:val="475569"/>
          <w:sz w:val="24"/>
          <w:szCs w:val="24"/>
        </w:rPr>
        <w:t xml:space="preserve">Step 4: Root Cause Report Generation</w:t>
      </w:r>
    </w:p>
    <w:p>
      <w:pPr>
        <w:spacing w:after="100" w:before="60"/>
      </w:pPr>
      <w:r>
        <w:rPr>
          <w:rFonts w:ascii="Arial" w:cs="Arial" w:eastAsia="Arial" w:hAnsi="Arial"/>
          <w:b w:val="false"/>
          <w:bCs w:val="false"/>
          <w:color w:val="0F172A"/>
          <w:sz w:val="22"/>
          <w:szCs w:val="22"/>
        </w:rPr>
        <w:t xml:space="preserve">For each matched pattern, AIRE generates a structured Root Cause Report. The report contains: a plain-language incident summary, the matched pattern name and confidence score, the key evidence lines from logs and events that triggered the match, the immediate mitigation action (what to do right now to stop the bleeding), the permanent fix action (what needs to change to prevent recurrence), and the specific log lines or event entries that support the diagnosis.</w:t>
      </w:r>
    </w:p>
    <w:p>
      <w:pPr>
        <w:spacing w:after="0" w:before="80"/>
      </w:pPr>
      <w:r>
        <w:t xml:space="preserve"/>
      </w:r>
    </w:p>
    <w:p>
      <w:pPr>
        <w:spacing w:after="100" w:before="60"/>
      </w:pPr>
      <w:r>
        <w:rPr>
          <w:rFonts w:ascii="Arial" w:cs="Arial" w:eastAsia="Arial" w:hAnsi="Arial"/>
          <w:b w:val="false"/>
          <w:bCs w:val="false"/>
          <w:color w:val="0F172A"/>
          <w:sz w:val="22"/>
          <w:szCs w:val="22"/>
        </w:rPr>
        <w:t xml:space="preserve">For incidents where no pattern matches — novel failures — AIRE still generates the event timeline and flags all anomalies it observed without asserting a root cause. This dramatically reduces time to first understanding even when AIRE cannot automate the full diagnosis.</w:t>
      </w:r>
    </w:p>
    <w:p>
      <w:pPr>
        <w:spacing w:after="0" w:before="80"/>
      </w:pPr>
      <w:r>
        <w:t xml:space="preserve"/>
      </w:r>
    </w:p>
    <w:p>
      <w:pPr>
        <w:pStyle w:val="Heading3"/>
        <w:spacing w:after="120" w:before="200"/>
      </w:pPr>
      <w:r>
        <w:rPr>
          <w:rFonts w:ascii="Arial" w:cs="Arial" w:eastAsia="Arial" w:hAnsi="Arial"/>
          <w:b/>
          <w:bCs/>
          <w:color w:val="475569"/>
          <w:sz w:val="24"/>
          <w:szCs w:val="24"/>
        </w:rPr>
        <w:t xml:space="preserve">Step 5: Remediation Execution (Optional)</w:t>
      </w:r>
    </w:p>
    <w:p>
      <w:pPr>
        <w:spacing w:after="100" w:before="60"/>
      </w:pPr>
      <w:r>
        <w:rPr>
          <w:rFonts w:ascii="Arial" w:cs="Arial" w:eastAsia="Arial" w:hAnsi="Arial"/>
          <w:b w:val="false"/>
          <w:bCs w:val="false"/>
          <w:color w:val="0F172A"/>
          <w:sz w:val="22"/>
          <w:szCs w:val="22"/>
        </w:rPr>
        <w:t xml:space="preserve">For patterns with an associated safe remediation action (scale up replicas, restart deployment, trigger a new rollout), AIRE can execute the action automatically if the user has enabled auto-remediation for that pattern class. Actions are executed through the Agent using its scoped write permissions. Every executed action is logged in the audit trail with the triggering incident ID, the action taken, the timestamp, and the result.</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Self-Healing Playbooks</w:t>
      </w:r>
    </w:p>
    <w:p>
      <w:pPr>
        <w:spacing w:after="100" w:before="60"/>
      </w:pPr>
      <w:r>
        <w:rPr>
          <w:rFonts w:ascii="Arial" w:cs="Arial" w:eastAsia="Arial" w:hAnsi="Arial"/>
          <w:b w:val="false"/>
          <w:bCs w:val="false"/>
          <w:color w:val="0F172A"/>
          <w:sz w:val="22"/>
          <w:szCs w:val="22"/>
        </w:rPr>
        <w:t xml:space="preserve">Beyond the built-in pattern library, AIRE supports user-defined self-healing playbooks. A playbook is a YAML file committed to the user's repository that defines a trigger condition and a sequence of actions. Playbooks are versioned, auditable, and executed by AIRE when the trigger fires.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
              <w:bottom w:val="none" w:color="FFFFFF" w:sz="0"/>
              <w:right w:val="none" w:color="FFFFFF" w:sz="0"/>
            </w:tcBorders>
            <w:shd w:fill="EBF5FF" w:val="clear"/>
            <w:tcMar>
              <w:top w:type="dxa" w:w="80"/>
              <w:left w:type="dxa" w:w="200"/>
              <w:bottom w:type="dxa" w:w="60"/>
              <w:right w:type="dxa" w:w="200"/>
            </w:tcMar>
          </w:tcPr>
          <w:p>
            <w:pPr>
              <w:spacing w:after="20" w:before="20"/>
            </w:pPr>
            <w:r>
              <w:rPr>
                <w:rFonts w:ascii="Arial" w:cs="Arial" w:eastAsia="Arial" w:hAnsi="Arial"/>
                <w:color w:val="2E4057"/>
                <w:sz w:val="20"/>
                <w:szCs w:val="20"/>
              </w:rPr>
              <w:t xml:space="preserve">Example Playbook: If pod X in namespace production has restarted more than 3 times in 10 minutes and the last exit code was 137, scale the Deployment's memory limit by 25% and open a PR documenting the change.</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Incident Learning and Pattern Improvement</w:t>
      </w:r>
    </w:p>
    <w:p>
      <w:pPr>
        <w:spacing w:after="100" w:before="60"/>
      </w:pPr>
      <w:r>
        <w:rPr>
          <w:rFonts w:ascii="Arial" w:cs="Arial" w:eastAsia="Arial" w:hAnsi="Arial"/>
          <w:b w:val="false"/>
          <w:bCs w:val="false"/>
          <w:color w:val="0F172A"/>
          <w:sz w:val="22"/>
          <w:szCs w:val="22"/>
        </w:rPr>
        <w:t xml:space="preserve">Every incident processed by AIRE is stored in the incident database with its full bundle, the pattern that matched, the remediation applied, and whether the remediation resolved the incident (determined by monitoring for the anomaly's recurrence after remediation). Over time this builds a per-cluster incident history that improves diagnosis confidence scores and feeds back into pattern library refinement.</w:t>
      </w:r>
    </w:p>
    <w:p>
      <w:r>
        <w:br w:type="page"/>
      </w:r>
    </w:p>
    <w:p>
      <w:pPr>
        <w:spacing w:after="60" w:before="0"/>
      </w:pPr>
      <w:r>
        <w:rPr>
          <w:rFonts w:ascii="Arial" w:cs="Arial" w:eastAsia="Arial" w:hAnsi="Arial"/>
          <w:b/>
          <w:bCs/>
          <w:color w:val="0EA5E9"/>
          <w:spacing w:val="120"/>
          <w:sz w:val="18"/>
          <w:szCs w:val="18"/>
        </w:rPr>
        <w:t xml:space="preserve">SECTION 08</w:t>
      </w:r>
    </w:p>
    <w:p>
      <w:pPr>
        <w:pStyle w:val="Heading1"/>
        <w:pBdr>
          <w:bottom w:val="single" w:color="1A56DB" w:sz="6" w:space="8"/>
        </w:pBdr>
        <w:spacing w:after="200" w:before="400"/>
      </w:pPr>
      <w:r>
        <w:rPr>
          <w:rFonts w:ascii="Arial" w:cs="Arial" w:eastAsia="Arial" w:hAnsi="Arial"/>
          <w:b/>
          <w:bCs/>
          <w:color w:val="0F1B2D"/>
          <w:sz w:val="36"/>
          <w:szCs w:val="36"/>
        </w:rPr>
        <w:t xml:space="preserve">Technology Stack</w:t>
      </w:r>
    </w:p>
    <w:p>
      <w:pPr>
        <w:spacing w:after="100" w:before="60"/>
      </w:pPr>
      <w:r>
        <w:rPr>
          <w:rFonts w:ascii="Arial" w:cs="Arial" w:eastAsia="Arial" w:hAnsi="Arial"/>
          <w:b w:val="false"/>
          <w:bCs w:val="false"/>
          <w:color w:val="0F172A"/>
          <w:sz w:val="22"/>
          <w:szCs w:val="22"/>
        </w:rPr>
        <w:t xml:space="preserve">The following technology choices are final and based on the requirement that each component must be production-grade, well-maintained, aligned with the cloud-native ecosystem, and buildable by a small team without specialized expertise in every layer.</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Component</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Choice &amp; Rationale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Framework</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Next.js 14 (App Router) — React-based, server-side rendering for performance, excellent TypeScript support, built-in API routes for simple backend calls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Language</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TypeScript — type safety across the entire frontend codebase, mandatory for a production platform</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Styling</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Tailwind CSS + shadcn/ui — utility-first CSS with a component library that provides accessible, unstyled primitives. No custom CSS framework to maintain.</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State Management</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Zustand for client state, TanStack Query for server state — lightweight, composable, avoids Redux overhead for this scale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Real-Time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Native WebSocket client for log streaming and live incident updates. No Socket.IO — native WebSocket is sufficient and adds no dependency.</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Code Editor</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Monaco Editor (VS Code's editor) embedded for manifest diff viewing in PR previews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Charts &amp; Metrics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Recharts for time-series metric visualization — React-native, lightweight, sufficient for the dashboard use case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Authentication UI</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NextAuth.js — GitHub OAuth and email/password. Handles session management and CSRF protection.</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Backend — Control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Component</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Choice &amp; Rationale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Framework</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FastAPI (Python) — async-native, automatic OpenAPI spec generation, excellent ecosystem for data processing and the analysis pipelines that are central to the three engines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Language</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Python 3.12 — strong libraries for static analysis, Kubernetes client, and data processing. Type hints enforced throughout.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API Architecture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REST for CRUD operations (projects, clusters, incidents). WebSocket for live streaming. All endpoints versioned under /api/v1/.</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Task Queue</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Celery with Redis as broker — for async tasks (repository analysis, PR generation, scoring cycles). Celery Beat for scheduled COIE cycles.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WebSocket Handling</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Starlette WebSocket (built into FastAPI) for frontend connections. Separate Go microservice (see below) for Agent connections at scale.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Git Integration</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PyGithub (GitHub App) and python-gitlab (GitLab) for PR creation, repository cloning, and webhook handling.</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Kubernetes Client</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Official kubernetes Python client — for the Control Plane's limited Kubernetes interactions (validating generated manifests).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Container Registry</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Amazon ECR for built images. Docker Hub as fallback. Authenticated pushes from the GitHub Actions workflow generated by DIE.</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Component</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Choice &amp; Rationale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Language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Go 1.22 — ideal for the Agent because it compiles to a single static binary, has excellent Kubernetes controller library support (controller-runtime), low memory footprint, and strong concurrency primitives for the parallel collection tasks.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Kubernetes Integration</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controller-runtime and client-go — the same libraries used by the Kubernetes operator pattern. The Agent is implemented as a set of informers and event handlers rather than a polling loop.</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Metrics Collection</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Prometheus Go client and the Kubernetes metrics-server API for resource usage data.</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Serialization</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MessagePack for Agent ↔ Control Plane communication — more compact than JSON, faster to encode/decode, appropriate for high-frequency metric streaming.</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Deployment</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Helm chart with configurable values. Single Docker image pushed to Docker Hub. Installation is a single helm install command.</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Agent-Control Plane Auth</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Mutual TLS for the WebSocket connection. Control Plane issues agent certificates signed by an internal CA. Rotating access tokens for command authorization.</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Component</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Choice &amp; Rationale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Primary Database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PostgreSQL 16 — all persistent data: users, organizations, clusters, projects, incidents, scores, audit logs. Managed via AWS RDS in production. Schemas managed with Alembic migrations.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Cache &amp; Message Broker</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Redis 7 — Celery task broker, session cache, rate limiting counters, and short-term metric cache (last known state per cluster).</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Time-Series Metrics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TimescaleDB (PostgreSQL extension) — for storing scoring history and metric trends over time. Avoids adding a separate TSDB like InfluxDB or Prometheus long-term storage.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Object Storage</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AWS S3 — for storing incident bundles (log excerpts, event exports) that are too large for the database. Presigned URLs for secure frontend access.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Search</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PostgreSQL full-text search — sufficient for incident search and log fragment search at this scale. No Elasticsearch dependency.</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Infrastructure — Control Plane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Component</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Choice &amp; Rationale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Cloud Provider</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AWS — EKS for the Control Plane itself (dogfooding AutoStack on its own infrastructure), RDS PostgreSQL, ElastiCache Redis, S3, ECR, Route 53, ACM, CloudFront.</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Container Orchestration</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The AutoStack Control Plane runs on its own EKS cluster. COIE and AIRE worker nodes run as separate Deployments. The Go Agent relay service is a separate Deployment.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Infrastructure as Code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Terraform — all AWS infrastructure defined as code. State stored in S3 with DynamoDB locking.</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CI/CD</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GitHub Actions for the Control Plane application. ArgoCD for the Kubernetes deployment. AutoStack itself monitors the Control Plane's EKS cluster.</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Ingress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AWS Application Load Balancer + NGINX Ingress Controller. TLS termination at ALB with ACM certificates.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Secrets Management</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AWS Secrets Manager for production secrets. External Secrets Operator syncing to Kubernetes Secrets in the EKS cluster.</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Observability</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Prometheus + Grafana for the Control Plane's own metrics. Loki for log aggregation. PagerDuty for alerting. OpenTelemetry for distributed tracing across services.</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DevOps and Development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Component</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Choice &amp; Rationale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Version Control</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GitHub — with branch protection rules, required PR reviews, and status checks on all pushes to main.</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CI Pipeline</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GitHub Actions — lint, type-check, unit tests, integration tests, Docker build, image push. All triggered on PR.</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GitOps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ArgoCD — all Kubernetes deployments are managed as ArgoCD Applications pointing to the infrastructure repository.</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Containers</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Docker with multi-stage builds. All images are distroless or Alpine-based, non-root, and pinned to SHA digests.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Local Development</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Docker Compose for running the full stack locally. Kind (Kubernetes in Docker) for testing the Agent against a local cluster.</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Testing</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pytest for Python, Vitest for TypeScript, Go test for Agent. Integration tests against a Kind cluster. End-to-end tests with Playwright.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Code Quality</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Ruff (Python linting + formatting), ESLint + Prettier (TypeScript), golangci-lint (Go). Pre-commit hooks enforce all three.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API Documentation</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Auto-generated from FastAPI's OpenAPI integration. Hosted at /docs. Kept in sync with code — no manual API doc maintenance.</w:t>
            </w:r>
          </w:p>
        </w:tc>
      </w:tr>
    </w:tbl>
    <w:p>
      <w:r>
        <w:br w:type="page"/>
      </w:r>
    </w:p>
    <w:p>
      <w:pPr>
        <w:spacing w:after="60" w:before="0"/>
      </w:pPr>
      <w:r>
        <w:rPr>
          <w:rFonts w:ascii="Arial" w:cs="Arial" w:eastAsia="Arial" w:hAnsi="Arial"/>
          <w:b/>
          <w:bCs/>
          <w:color w:val="0EA5E9"/>
          <w:spacing w:val="120"/>
          <w:sz w:val="18"/>
          <w:szCs w:val="18"/>
        </w:rPr>
        <w:t xml:space="preserve">SECTION 09</w:t>
      </w:r>
    </w:p>
    <w:p>
      <w:pPr>
        <w:pStyle w:val="Heading1"/>
        <w:pBdr>
          <w:bottom w:val="single" w:color="1A56DB" w:sz="6" w:space="8"/>
        </w:pBdr>
        <w:spacing w:after="200" w:before="400"/>
      </w:pPr>
      <w:r>
        <w:rPr>
          <w:rFonts w:ascii="Arial" w:cs="Arial" w:eastAsia="Arial" w:hAnsi="Arial"/>
          <w:b/>
          <w:bCs/>
          <w:color w:val="0F1B2D"/>
          <w:sz w:val="36"/>
          <w:szCs w:val="36"/>
        </w:rPr>
        <w:t xml:space="preserve">Security Architecture</w:t>
      </w:r>
    </w:p>
    <w:p>
      <w:pPr>
        <w:pStyle w:val="Heading2"/>
        <w:spacing w:after="160" w:before="300"/>
      </w:pPr>
      <w:r>
        <w:rPr>
          <w:rFonts w:ascii="Arial" w:cs="Arial" w:eastAsia="Arial" w:hAnsi="Arial"/>
          <w:b/>
          <w:bCs/>
          <w:color w:val="2E4057"/>
          <w:sz w:val="28"/>
          <w:szCs w:val="28"/>
        </w:rPr>
        <w:t xml:space="preserve">Threat Model</w:t>
      </w:r>
    </w:p>
    <w:p>
      <w:pPr>
        <w:spacing w:after="100" w:before="60"/>
      </w:pPr>
      <w:r>
        <w:rPr>
          <w:rFonts w:ascii="Arial" w:cs="Arial" w:eastAsia="Arial" w:hAnsi="Arial"/>
          <w:b w:val="false"/>
          <w:bCs w:val="false"/>
          <w:color w:val="0F172A"/>
          <w:sz w:val="22"/>
          <w:szCs w:val="22"/>
        </w:rPr>
        <w:t xml:space="preserve">AutoStack's threat model acknowledges that the platform sits in a highly sensitive position: it has visibility into production cluster state, the ability to open PRs against production repositories, and limited execution capability in user clusters. A compromise of AutoStack could potentially be leveraged to affect users' infrastructure.</w:t>
      </w:r>
    </w:p>
    <w:p>
      <w:pPr>
        <w:spacing w:after="0" w:before="80"/>
      </w:pPr>
      <w:r>
        <w:t xml:space="preserve"/>
      </w:r>
    </w:p>
    <w:p>
      <w:pPr>
        <w:spacing w:after="100" w:before="60"/>
      </w:pPr>
      <w:r>
        <w:rPr>
          <w:rFonts w:ascii="Arial" w:cs="Arial" w:eastAsia="Arial" w:hAnsi="Arial"/>
          <w:b w:val="false"/>
          <w:bCs w:val="false"/>
          <w:color w:val="0F172A"/>
          <w:sz w:val="22"/>
          <w:szCs w:val="22"/>
        </w:rPr>
        <w:t xml:space="preserve">The design choices described below are all motivated by minimizing the blast radius of a Control Plane compromise and ensuring that even a fully compromised Control Plane cannot directly modify a user's cluster.</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Key Security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Property</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Implementation</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No Cluster Credentials at Rest</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The Control Plane never stores kubeconfig files, service account tokens, or any cluster credentials. All cluster communication is initiated by the Agent, which holds its own credentials locally. A Control Plane compromise cannot yield cluster access.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Agent Minimum Permissions</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The Agent RBAC is scoped to the minimum required for read operations. Write permissions are scoped only to the resources explicitly needed for playbook execution and are granted per-playbook by the user.</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GitOps as Change Gate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Changes to cluster manifests must pass through a human-reviewed PR before ArgoCD applies them. AutoStack cannot push changes directly to the cluster even if it wanted to — the only write path runs through Git history.</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Outbound-Only Agent</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The cluster never accepts inbound connections from AutoStack. The Agent connects outbound. This means firewall rules never need to open inbound access to the cluster from the AutoStack SaaS.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Git Scoped Permissions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The GitHub App installation is scoped to specific repositories and specific permissions. It cannot read unconnected repositories, cannot access organization secrets, and cannot modify workflow files.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mTLS for Agent Channel</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The Agent ↔ Control Plane WebSocket is authenticated with mutual TLS. Both sides present certificates. A certificate rotation mechanism is built into the Agent protocol.</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Rate Limiting</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All API endpoints are rate-limited. Authentication endpoints use progressive backoff. IP-based and user-based rate limits are enforced at the API Gateway layer.</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Audit Log</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Every action that AutoStack takes — PR opened, playbook executed, incident report generated, score cycle run — is written to a tamper-evident audit log stored in the database and immutable once written.</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Multi-Tenancy Isolation</w:t>
      </w:r>
    </w:p>
    <w:p>
      <w:pPr>
        <w:spacing w:after="100" w:before="60"/>
      </w:pPr>
      <w:r>
        <w:rPr>
          <w:rFonts w:ascii="Arial" w:cs="Arial" w:eastAsia="Arial" w:hAnsi="Arial"/>
          <w:b w:val="false"/>
          <w:bCs w:val="false"/>
          <w:color w:val="0F172A"/>
          <w:sz w:val="22"/>
          <w:szCs w:val="22"/>
        </w:rPr>
        <w:t xml:space="preserve">The Control Plane is multi-tenant. All database queries are scoped by organization ID at the application layer. Organization IDs are embedded in the JWT and verified on every request. Cross-organization data access is impossible by design — there are no admin endpoints that can read across organization boundaries in the application layer.</w:t>
      </w:r>
    </w:p>
    <w:p>
      <w:r>
        <w:br w:type="page"/>
      </w:r>
    </w:p>
    <w:p>
      <w:pPr>
        <w:spacing w:after="60" w:before="0"/>
      </w:pPr>
      <w:r>
        <w:rPr>
          <w:rFonts w:ascii="Arial" w:cs="Arial" w:eastAsia="Arial" w:hAnsi="Arial"/>
          <w:b/>
          <w:bCs/>
          <w:color w:val="0EA5E9"/>
          <w:spacing w:val="120"/>
          <w:sz w:val="18"/>
          <w:szCs w:val="18"/>
        </w:rPr>
        <w:t xml:space="preserve">SECTION 10</w:t>
      </w:r>
    </w:p>
    <w:p>
      <w:pPr>
        <w:pStyle w:val="Heading1"/>
        <w:pBdr>
          <w:bottom w:val="single" w:color="1A56DB" w:sz="6" w:space="8"/>
        </w:pBdr>
        <w:spacing w:after="200" w:before="400"/>
      </w:pPr>
      <w:r>
        <w:rPr>
          <w:rFonts w:ascii="Arial" w:cs="Arial" w:eastAsia="Arial" w:hAnsi="Arial"/>
          <w:b/>
          <w:bCs/>
          <w:color w:val="0F1B2D"/>
          <w:sz w:val="36"/>
          <w:szCs w:val="36"/>
        </w:rPr>
        <w:t xml:space="preserve">Core Data Model</w:t>
      </w:r>
    </w:p>
    <w:p>
      <w:pPr>
        <w:pStyle w:val="Heading2"/>
        <w:spacing w:after="160" w:before="300"/>
      </w:pPr>
      <w:r>
        <w:rPr>
          <w:rFonts w:ascii="Arial" w:cs="Arial" w:eastAsia="Arial" w:hAnsi="Arial"/>
          <w:b/>
          <w:bCs/>
          <w:color w:val="2E4057"/>
          <w:sz w:val="28"/>
          <w:szCs w:val="28"/>
        </w:rPr>
        <w:t xml:space="preserve">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Entity</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Organization</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Top-level tenant entity. All other entities belong to an Organization. Members have roles: Owner, Admin, Developer, Viewer.</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Cluster</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Represents a connected Kubernetes cluster. Stores cluster metadata (provider, region, version), agent connection status, and current aggregate health score. Never stores cluster credentials.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Project</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Represents a connected Git repository. Belongs to a Cluster (defines which cluster it deploys to) and an Organization. Stores repository URL, connected branch, ArgoCD Application name.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Deployment</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An immutable record of a deployment event. Stores commit SHA, image tag, ArgoCD sync status, and outcome. Linked to a Project.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ClusterScore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A time-series record of the cluster's four dimension scores and aggregate score at a point in time. Written every COIE evaluation cycle.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Finding</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A single issue identified by COIE. Stores finding type, severity, affected resource, generated PR URL, status (open/suppressed/resolved), and the last-seen timestamp.</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Incident</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Created when AIRE activates. Stores affected workload, trigger type, incident timeline, matched pattern, Root Cause Report, remediation action taken, and resolution status.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Playbook</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A user-defined self-healing rule. Stores trigger condition, action sequence, enabled status, and execution history.</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AuditLog</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Append-only record of every AutoStack action. Stores actor (user or system), action type, target resource, timestamp, and outcome.</w:t>
            </w:r>
          </w:p>
        </w:tc>
      </w:tr>
    </w:tbl>
    <w:p>
      <w:r>
        <w:br w:type="page"/>
      </w:r>
    </w:p>
    <w:p>
      <w:pPr>
        <w:spacing w:after="60" w:before="0"/>
      </w:pPr>
      <w:r>
        <w:rPr>
          <w:rFonts w:ascii="Arial" w:cs="Arial" w:eastAsia="Arial" w:hAnsi="Arial"/>
          <w:b/>
          <w:bCs/>
          <w:color w:val="0EA5E9"/>
          <w:spacing w:val="120"/>
          <w:sz w:val="18"/>
          <w:szCs w:val="18"/>
        </w:rPr>
        <w:t xml:space="preserve">SECTION 11</w:t>
      </w:r>
    </w:p>
    <w:p>
      <w:pPr>
        <w:pStyle w:val="Heading1"/>
        <w:pBdr>
          <w:bottom w:val="single" w:color="1A56DB" w:sz="6" w:space="8"/>
        </w:pBdr>
        <w:spacing w:after="200" w:before="400"/>
      </w:pPr>
      <w:r>
        <w:rPr>
          <w:rFonts w:ascii="Arial" w:cs="Arial" w:eastAsia="Arial" w:hAnsi="Arial"/>
          <w:b/>
          <w:bCs/>
          <w:color w:val="0F1B2D"/>
          <w:sz w:val="36"/>
          <w:szCs w:val="36"/>
        </w:rPr>
        <w:t xml:space="preserve">API Design</w:t>
      </w:r>
    </w:p>
    <w:p>
      <w:pPr>
        <w:pStyle w:val="Heading2"/>
        <w:spacing w:after="160" w:before="300"/>
      </w:pPr>
      <w:r>
        <w:rPr>
          <w:rFonts w:ascii="Arial" w:cs="Arial" w:eastAsia="Arial" w:hAnsi="Arial"/>
          <w:b/>
          <w:bCs/>
          <w:color w:val="2E4057"/>
          <w:sz w:val="28"/>
          <w:szCs w:val="28"/>
        </w:rPr>
        <w:t xml:space="preserve">REST API Structure</w:t>
      </w:r>
    </w:p>
    <w:p>
      <w:pPr>
        <w:spacing w:after="100" w:before="60"/>
      </w:pPr>
      <w:r>
        <w:rPr>
          <w:rFonts w:ascii="Arial" w:cs="Arial" w:eastAsia="Arial" w:hAnsi="Arial"/>
          <w:b w:val="false"/>
          <w:bCs w:val="false"/>
          <w:color w:val="0F172A"/>
          <w:sz w:val="22"/>
          <w:szCs w:val="22"/>
        </w:rPr>
        <w:t xml:space="preserve">The Control Plane exposes a versioned REST API under /api/v1. All endpoints require authentication via Bearer token (JWT issued at login) except for public health check and OAuth callback endpoints. The API is documented via OpenAPI 3.0 and served at /docs.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Endpoint</w:t>
            </w:r>
          </w:p>
        </w:tc>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Purpose</w:t>
            </w:r>
          </w:p>
        </w:tc>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Response</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POST /auth/login</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Email/password login</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Returns JWT access token and refresh token</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GET /api/v1/clusters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List all clusters for org</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Cluster list with current health scores</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POST /api/v1/clusters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Connect new cluster</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Returns Helm install command with agent token</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GET /api/v1/clusters/{id}/score</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Current cluster score</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All four dimension scores + aggregate</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GET /api/v1/clusters/{id}/score/history</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Score over time</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TimescaleDB time-series query</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GET /api/v1/clusters/{id}/findings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All open findings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Paginated, filterable by severity/dimension</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POST /api/v1/clusters/{id}/findings/{fid}/suppress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Suppress a finding</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Requires justification comment</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GET /api/v1/projects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List all projects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Projects with deployment status</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POST /api/v1/projects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Connect Git repo</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Triggers DIE analysis pipeline</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GET /api/v1/projects/{id}/deployments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Deployment history</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Paginated deployment records</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GET /api/v1/incidents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List all incidents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Paginated, filterable by status/severity</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GET /api/v1/incidents/{id}</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Full incident detail</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Including Root Cause Report and timeline</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POST /api/v1/incidents/{id}/remediate</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Trigger manual remediation</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Executes associated playbook action</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GET /api/v1/playbooks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List playbooks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User-defined and system playbooks</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PUT /api/v1/playbooks/{id}/enable</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Enable a playbook</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Grants AIRE permission to execute</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GET /api/v1/audit</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Audit log</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Paginated, filterable by action type</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WebSocket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Endpoint</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Purpose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WS /ws/clusters/{id}/logs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Live streaming of ArgoCD sync logs and application logs for a specific cluster. Authenticated with short-lived WebSocket token.</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WS /ws/incidents/{id}/stream</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Real-time updates to an active incident as AIRE processes it. Delivers timeline events as they are constructed.</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WS /ws/agent/{cluster_id}</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Dedicated channel for the Cluster Agent. Authenticated with mTLS. Not accessible by end users.</w:t>
            </w:r>
          </w:p>
        </w:tc>
      </w:tr>
    </w:tbl>
    <w:p>
      <w:r>
        <w:br w:type="page"/>
      </w:r>
    </w:p>
    <w:p>
      <w:pPr>
        <w:spacing w:after="60" w:before="0"/>
      </w:pPr>
      <w:r>
        <w:rPr>
          <w:rFonts w:ascii="Arial" w:cs="Arial" w:eastAsia="Arial" w:hAnsi="Arial"/>
          <w:b/>
          <w:bCs/>
          <w:color w:val="0EA5E9"/>
          <w:spacing w:val="120"/>
          <w:sz w:val="18"/>
          <w:szCs w:val="18"/>
        </w:rPr>
        <w:t xml:space="preserve">SECTION 12</w:t>
      </w:r>
    </w:p>
    <w:p>
      <w:pPr>
        <w:pStyle w:val="Heading1"/>
        <w:pBdr>
          <w:bottom w:val="single" w:color="1A56DB" w:sz="6" w:space="8"/>
        </w:pBdr>
        <w:spacing w:after="200" w:before="400"/>
      </w:pPr>
      <w:r>
        <w:rPr>
          <w:rFonts w:ascii="Arial" w:cs="Arial" w:eastAsia="Arial" w:hAnsi="Arial"/>
          <w:b/>
          <w:bCs/>
          <w:color w:val="0F1B2D"/>
          <w:sz w:val="36"/>
          <w:szCs w:val="36"/>
        </w:rPr>
        <w:t xml:space="preserve">SaaS Business Model</w:t>
      </w:r>
    </w:p>
    <w:p>
      <w:pPr>
        <w:pStyle w:val="Heading2"/>
        <w:spacing w:after="160" w:before="300"/>
      </w:pPr>
      <w:r>
        <w:rPr>
          <w:rFonts w:ascii="Arial" w:cs="Arial" w:eastAsia="Arial" w:hAnsi="Arial"/>
          <w:b/>
          <w:bCs/>
          <w:color w:val="2E4057"/>
          <w:sz w:val="28"/>
          <w:szCs w:val="28"/>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Tier</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Included</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Free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1 cluster, 1 user, read-only COIE scoring (see your scores and findings, no PR generation), AIRE incident reports (no auto-remediation), DIE manifest generation (no PR opening). Sufficient to demonstrate value and drive adoption. No credit card required.</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Pro — $49/month per cluster</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Full PR generation for all COIE findings, AIRE auto-remediation enabled, DIE full PR opening, up to 10 team members per cluster, email incident alerts, 30-day incident history.</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Team — $199/month per organization</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Unlimited clusters, unlimited users, custom compliance framework mapping (PCI-DSS, SOC2, HIPAA baselines), custom COIE scoring rules, Slack and PagerDuty integrations, API access for automation, 90-day history, priority support SLA.</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Enterprise — Custom pricing</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On-premise Control Plane deployment option, custom SSO (SAML/OIDC), dedicated infrastructure, compliance reports export (PDF), custom SLA, dedicated solutions engineer.</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Unit Economics Rationale</w:t>
      </w:r>
    </w:p>
    <w:p>
      <w:pPr>
        <w:spacing w:after="100" w:before="60"/>
      </w:pPr>
      <w:r>
        <w:rPr>
          <w:rFonts w:ascii="Arial" w:cs="Arial" w:eastAsia="Arial" w:hAnsi="Arial"/>
          <w:b w:val="false"/>
          <w:bCs w:val="false"/>
          <w:color w:val="0F172A"/>
          <w:sz w:val="22"/>
          <w:szCs w:val="22"/>
        </w:rPr>
        <w:t xml:space="preserve">Pricing is per cluster, not per node, not per deployment, not per user (below Team tier). This is important because Kubernetes clusters are natural cost centers — organizations budget by cluster and by environment. A 3-node development cluster and a 50-node production cluster are both one cluster. This makes the price predictable and the conversation simple.</w:t>
      </w:r>
    </w:p>
    <w:p>
      <w:pPr>
        <w:spacing w:after="0" w:before="80"/>
      </w:pPr>
      <w:r>
        <w:t xml:space="preserve"/>
      </w:r>
    </w:p>
    <w:p>
      <w:pPr>
        <w:spacing w:after="100" w:before="60"/>
      </w:pPr>
      <w:r>
        <w:rPr>
          <w:rFonts w:ascii="Arial" w:cs="Arial" w:eastAsia="Arial" w:hAnsi="Arial"/>
          <w:b w:val="false"/>
          <w:bCs w:val="false"/>
          <w:color w:val="0F172A"/>
          <w:sz w:val="22"/>
          <w:szCs w:val="22"/>
        </w:rPr>
        <w:t xml:space="preserve">The Free tier is genuinely useful — not crippled. An engineer who sees their cluster's security score drop to 62 out of 100 and can read exactly why has experienced real value, even before the PR generation feature converts them to paid. This is the growth flywheel.</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Target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Segment</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Profile &amp; Primary Value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Primary: Mid-size Engineering Teams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10–100 engineers, running production workloads on Kubernetes, no dedicated SRE team or one shared SRE. Currently manage cluster operations manually or not at all. Value: all four scoring dimensions + incident response.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Secondary: Startups Scaling Fast</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5–20 engineers, recently moved from PaaS to Kubernetes because PaaS became too expensive or limiting. First time managing Kubernetes in production. Value: DIE for correct initial setup, AIRE for incident response they don't have experience for.</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Tertiary: Enterprise Platform Teams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Internal DevOps/Platform team serving dozens of development squads. Need standardization, audit trails, and compliance evidence across many clusters. Value: Team/Enterprise tier compliance features and API access.</w:t>
            </w:r>
          </w:p>
        </w:tc>
      </w:tr>
    </w:tbl>
    <w:p>
      <w:r>
        <w:br w:type="page"/>
      </w:r>
    </w:p>
    <w:p>
      <w:pPr>
        <w:spacing w:after="60" w:before="0"/>
      </w:pPr>
      <w:r>
        <w:rPr>
          <w:rFonts w:ascii="Arial" w:cs="Arial" w:eastAsia="Arial" w:hAnsi="Arial"/>
          <w:b/>
          <w:bCs/>
          <w:color w:val="0EA5E9"/>
          <w:spacing w:val="120"/>
          <w:sz w:val="18"/>
          <w:szCs w:val="18"/>
        </w:rPr>
        <w:t xml:space="preserve">SECTION 13</w:t>
      </w:r>
    </w:p>
    <w:p>
      <w:pPr>
        <w:pStyle w:val="Heading1"/>
        <w:pBdr>
          <w:bottom w:val="single" w:color="1A56DB" w:sz="6" w:space="8"/>
        </w:pBdr>
        <w:spacing w:after="200" w:before="400"/>
      </w:pPr>
      <w:r>
        <w:rPr>
          <w:rFonts w:ascii="Arial" w:cs="Arial" w:eastAsia="Arial" w:hAnsi="Arial"/>
          <w:b/>
          <w:bCs/>
          <w:color w:val="0F1B2D"/>
          <w:sz w:val="36"/>
          <w:szCs w:val="36"/>
        </w:rPr>
        <w:t xml:space="preserve">Scalability and Reliability Design</w:t>
      </w:r>
    </w:p>
    <w:p>
      <w:pPr>
        <w:pStyle w:val="Heading2"/>
        <w:spacing w:after="160" w:before="300"/>
      </w:pPr>
      <w:r>
        <w:rPr>
          <w:rFonts w:ascii="Arial" w:cs="Arial" w:eastAsia="Arial" w:hAnsi="Arial"/>
          <w:b/>
          <w:bCs/>
          <w:color w:val="2E4057"/>
          <w:sz w:val="28"/>
          <w:szCs w:val="28"/>
        </w:rPr>
        <w:t xml:space="preserve">Control Plane Scalability</w:t>
      </w:r>
    </w:p>
    <w:p>
      <w:pPr>
        <w:spacing w:after="100" w:before="60"/>
      </w:pPr>
      <w:r>
        <w:rPr>
          <w:rFonts w:ascii="Arial" w:cs="Arial" w:eastAsia="Arial" w:hAnsi="Arial"/>
          <w:b w:val="false"/>
          <w:bCs w:val="false"/>
          <w:color w:val="0F172A"/>
          <w:sz w:val="22"/>
          <w:szCs w:val="22"/>
        </w:rPr>
        <w:t xml:space="preserve">The Control Plane is designed to scale horizontally. The FastAPI application is stateless — all state is in PostgreSQL, Redis, or S3. Multiple replicas can run behind a load balancer with no session stickiness requirement except for WebSocket connections, which are handled by the Go relay service.</w:t>
      </w:r>
    </w:p>
    <w:p>
      <w:pPr>
        <w:spacing w:after="0" w:before="80"/>
      </w:pPr>
      <w:r>
        <w:t xml:space="preserve"/>
      </w:r>
    </w:p>
    <w:p>
      <w:pPr>
        <w:spacing w:after="100" w:before="60"/>
      </w:pPr>
      <w:r>
        <w:rPr>
          <w:rFonts w:ascii="Arial" w:cs="Arial" w:eastAsia="Arial" w:hAnsi="Arial"/>
          <w:b w:val="false"/>
          <w:bCs w:val="false"/>
          <w:color w:val="0F172A"/>
          <w:sz w:val="22"/>
          <w:szCs w:val="22"/>
        </w:rPr>
        <w:t xml:space="preserve">The three engines run as Celery workers, each in a separate Deployment. COIE workers are the most compute-intensive — each evaluation cycle processes all workloads for a cluster. At scale, COIE evaluation is parallelized per-cluster by routing each cluster's evaluation tasks to a dedicated queue. AIRE workers are I/O-bound (reading logs and events) and scale based on the number of concurrent active incidents.</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Agent Scalability</w:t>
      </w:r>
    </w:p>
    <w:p>
      <w:pPr>
        <w:spacing w:after="100" w:before="60"/>
      </w:pPr>
      <w:r>
        <w:rPr>
          <w:rFonts w:ascii="Arial" w:cs="Arial" w:eastAsia="Arial" w:hAnsi="Arial"/>
          <w:b w:val="false"/>
          <w:bCs w:val="false"/>
          <w:color w:val="0F172A"/>
          <w:sz w:val="22"/>
          <w:szCs w:val="22"/>
        </w:rPr>
        <w:t xml:space="preserve">Each Agent maintains one WebSocket connection to the Control Plane. The Go relay service manages the Agent connection pool and is horizontally scalable. It is the only stateful component in the connection path — it holds the mapping of cluster ID to active WebSocket connection. At 10,000 connected clusters, this requires approximately 10 relay service instances. Redis pub/sub handles cross-instance routing when a Control Plane worker needs to send a command to a specific cluster.</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Database Scalability</w:t>
      </w:r>
    </w:p>
    <w:p>
      <w:pPr>
        <w:spacing w:after="100" w:before="60"/>
      </w:pPr>
      <w:r>
        <w:rPr>
          <w:rFonts w:ascii="Arial" w:cs="Arial" w:eastAsia="Arial" w:hAnsi="Arial"/>
          <w:b w:val="false"/>
          <w:bCs w:val="false"/>
          <w:color w:val="0F172A"/>
          <w:sz w:val="22"/>
          <w:szCs w:val="22"/>
        </w:rPr>
        <w:t xml:space="preserve">PostgreSQL with read replicas handles the read-heavy query patterns of the dashboard (score history, incident lists, finding queries). TimescaleDB's automatic chunk compression handles the time-series data volume as score history accumulates. The audit log table uses PostgreSQL partitioning by month for efficient archival. At the scale of hundreds of thousands of clusters, a migration to a dedicated TSDB (like Prometheus long-term storage via Thanos) would be warranted, but is not necessary at launch.</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Control Plane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Mechanism</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Detail</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Multi-AZ Deployment</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All production workloads deployed across 3 AWS Availability Zones. Loss of one AZ does not affect availability.</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RDS Multi-AZ</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PostgreSQL Primary with automatic failover to a standby replica. RPO &lt; 1 minute, RTO &lt; 2 minutes for database failure.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Redis Sentinel</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Redis high-availability configuration with automatic failover. Session data and Celery broker are covered.</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Health Checks</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All services expose /health and /ready endpoints. Kubernetes liveness and readiness probes configured on all Deployments.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Circuit Breaker</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Calls to external services (GitHub API, GitLab API, AWS APIs) are wrapped with a circuit breaker (tenacity library). Failure does not cascade.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Graceful Degradation</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If COIE fails to complete a cycle, the previous score is retained and displayed with a staleness indicator. No misleading data.</w:t>
            </w:r>
          </w:p>
        </w:tc>
      </w:tr>
    </w:tbl>
    <w:p>
      <w:r>
        <w:br w:type="page"/>
      </w:r>
    </w:p>
    <w:p>
      <w:pPr>
        <w:spacing w:after="60" w:before="0"/>
      </w:pPr>
      <w:r>
        <w:rPr>
          <w:rFonts w:ascii="Arial" w:cs="Arial" w:eastAsia="Arial" w:hAnsi="Arial"/>
          <w:b/>
          <w:bCs/>
          <w:color w:val="0EA5E9"/>
          <w:spacing w:val="120"/>
          <w:sz w:val="18"/>
          <w:szCs w:val="18"/>
        </w:rPr>
        <w:t xml:space="preserve">SECTION 14</w:t>
      </w:r>
    </w:p>
    <w:p>
      <w:pPr>
        <w:pStyle w:val="Heading1"/>
        <w:pBdr>
          <w:bottom w:val="single" w:color="1A56DB" w:sz="6" w:space="8"/>
        </w:pBdr>
        <w:spacing w:after="200" w:before="400"/>
      </w:pPr>
      <w:r>
        <w:rPr>
          <w:rFonts w:ascii="Arial" w:cs="Arial" w:eastAsia="Arial" w:hAnsi="Arial"/>
          <w:b/>
          <w:bCs/>
          <w:color w:val="0F1B2D"/>
          <w:sz w:val="36"/>
          <w:szCs w:val="36"/>
        </w:rPr>
        <w:t xml:space="preserve">Product Roadmap</w:t>
      </w:r>
    </w:p>
    <w:p>
      <w:pPr>
        <w:pStyle w:val="Heading2"/>
        <w:spacing w:after="160" w:before="300"/>
      </w:pPr>
      <w:r>
        <w:rPr>
          <w:rFonts w:ascii="Arial" w:cs="Arial" w:eastAsia="Arial" w:hAnsi="Arial"/>
          <w:b/>
          <w:bCs/>
          <w:color w:val="2E4057"/>
          <w:sz w:val="28"/>
          <w:szCs w:val="28"/>
        </w:rPr>
        <w:t xml:space="preserve">Phase 1 — Core Platform (Months 1–4)</w:t>
      </w:r>
    </w:p>
    <w:p>
      <w:pPr>
        <w:spacing w:after="100" w:before="60"/>
      </w:pPr>
      <w:r>
        <w:rPr>
          <w:rFonts w:ascii="Arial" w:cs="Arial" w:eastAsia="Arial" w:hAnsi="Arial"/>
          <w:b w:val="false"/>
          <w:bCs w:val="false"/>
          <w:color w:val="0F172A"/>
          <w:sz w:val="22"/>
          <w:szCs w:val="22"/>
        </w:rPr>
        <w:t xml:space="preserve">All three engines operational. GitHub integration. Support for EKS, GKE, and AKS. Helm chart for Agent installation. Dashboard covering all four scoring dimensions. AIRE diagnosis for the top 20 failure patterns. DIE supporting Node.js, Python, and Go applications. Free and Pro pricing tiers live. Public documentation site.</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Phase 2 — Expansion (Months 5–8)</w:t>
      </w:r>
    </w:p>
    <w:p>
      <w:pPr>
        <w:spacing w:after="100" w:before="60"/>
      </w:pPr>
      <w:r>
        <w:rPr>
          <w:rFonts w:ascii="Arial" w:cs="Arial" w:eastAsia="Arial" w:hAnsi="Arial"/>
          <w:b w:val="false"/>
          <w:bCs w:val="false"/>
          <w:color w:val="0F172A"/>
          <w:sz w:val="22"/>
          <w:szCs w:val="22"/>
        </w:rPr>
        <w:t xml:space="preserve">GitLab integration. DIE support for Java (Spring Boot), Ruby (Rails), and PHP (Laravel). COIE custom scoring rules configurable by users. AIRE playbook editor in the dashboard UI. Slack and PagerDuty integrations for incident alerts. Team tier and compliance framework mapping (SOC2, PCI-DSS). API access for programmatic cluster management. Usage analytics dashboard showing score trends and incident frequency over time.</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Phase 3 — Enterprise and Intelligence (Months 9–14)</w:t>
      </w:r>
    </w:p>
    <w:p>
      <w:pPr>
        <w:spacing w:after="100" w:before="60"/>
      </w:pPr>
      <w:r>
        <w:rPr>
          <w:rFonts w:ascii="Arial" w:cs="Arial" w:eastAsia="Arial" w:hAnsi="Arial"/>
          <w:b w:val="false"/>
          <w:bCs w:val="false"/>
          <w:color w:val="0F172A"/>
          <w:sz w:val="22"/>
          <w:szCs w:val="22"/>
        </w:rPr>
        <w:t xml:space="preserve">Enterprise tier with on-premise Control Plane option and SAML SSO. Multi-cluster comparative views for platform teams. COIE cross-cluster recommendation propagation — a fix applied in one cluster generates a recommendation for all clusters with the same finding. AIRE cross-cluster pattern correlation — incidents in multiple clusters with the same pattern trigger a platform-wide alert. Network topology visualization derived from NetworkPolicy analysis. Cost forecasting — project future cloud spend based on traffic trends and planned deployments.</w:t>
      </w:r>
    </w:p>
    <w:p>
      <w:pPr>
        <w:spacing w:after="0" w:before="160"/>
      </w:pPr>
      <w:r>
        <w:t xml:space="preserve"/>
      </w:r>
    </w:p>
    <w:p>
      <w:pPr>
        <w:pStyle w:val="Heading2"/>
        <w:spacing w:after="160" w:before="300"/>
      </w:pPr>
      <w:r>
        <w:rPr>
          <w:rFonts w:ascii="Arial" w:cs="Arial" w:eastAsia="Arial" w:hAnsi="Arial"/>
          <w:b/>
          <w:bCs/>
          <w:color w:val="2E4057"/>
          <w:sz w:val="28"/>
          <w:szCs w:val="28"/>
        </w:rPr>
        <w:t xml:space="preserve">Phase 4 — Platform Maturity (Month 15+)</w:t>
      </w:r>
    </w:p>
    <w:p>
      <w:pPr>
        <w:spacing w:after="100" w:before="60"/>
      </w:pPr>
      <w:r>
        <w:rPr>
          <w:rFonts w:ascii="Arial" w:cs="Arial" w:eastAsia="Arial" w:hAnsi="Arial"/>
          <w:b w:val="false"/>
          <w:bCs w:val="false"/>
          <w:color w:val="0F172A"/>
          <w:sz w:val="22"/>
          <w:szCs w:val="22"/>
        </w:rPr>
        <w:t xml:space="preserve">Plugin system for custom COIE checks written as Go or Python functions and deployed to the Control Plane. Webhook API for integrating AutoStack findings into external systems. AutoStack CLI for interacting with the platform from the terminal. Mobile-responsive dashboard with push notifications for critical incidents. Marketplace for community-contributed playbook templates and COIE check libraries.</w:t>
      </w:r>
    </w:p>
    <w:p>
      <w:r>
        <w:br w:type="page"/>
      </w:r>
    </w:p>
    <w:p>
      <w:pPr>
        <w:spacing w:after="60" w:before="0"/>
      </w:pPr>
      <w:r>
        <w:rPr>
          <w:rFonts w:ascii="Arial" w:cs="Arial" w:eastAsia="Arial" w:hAnsi="Arial"/>
          <w:b/>
          <w:bCs/>
          <w:color w:val="0EA5E9"/>
          <w:spacing w:val="120"/>
          <w:sz w:val="18"/>
          <w:szCs w:val="18"/>
        </w:rPr>
        <w:t xml:space="preserve">SECTION 15</w:t>
      </w:r>
    </w:p>
    <w:p>
      <w:pPr>
        <w:pStyle w:val="Heading1"/>
        <w:pBdr>
          <w:bottom w:val="single" w:color="1A56DB" w:sz="6" w:space="8"/>
        </w:pBdr>
        <w:spacing w:after="200" w:before="400"/>
      </w:pPr>
      <w:r>
        <w:rPr>
          <w:rFonts w:ascii="Arial" w:cs="Arial" w:eastAsia="Arial" w:hAnsi="Arial"/>
          <w:b/>
          <w:bCs/>
          <w:color w:val="0F1B2D"/>
          <w:sz w:val="36"/>
          <w:szCs w:val="36"/>
        </w:rPr>
        <w:t xml:space="preserve">Success Metrics</w:t>
      </w:r>
    </w:p>
    <w:p>
      <w:pPr>
        <w:pStyle w:val="Heading2"/>
        <w:spacing w:after="160" w:before="300"/>
      </w:pPr>
      <w:r>
        <w:rPr>
          <w:rFonts w:ascii="Arial" w:cs="Arial" w:eastAsia="Arial" w:hAnsi="Arial"/>
          <w:b/>
          <w:bCs/>
          <w:color w:val="2E4057"/>
          <w:sz w:val="28"/>
          <w:szCs w:val="28"/>
        </w:rPr>
        <w:t xml:space="preserve">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Metric</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Target &amp; Measurement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AIRE Diagnosis Accuracy</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Target: &gt;80% of incidents matched to a pattern in the library with correct diagnosis, measured against a labeled incident test set.</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COIE Cycle Latency</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Target: Full evaluation cycle completes in under 60 seconds for a cluster with up to 50 workloads.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PR Merge Rate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Target: &gt;60% of COIE-generated PRs merged within 7 days. Low merge rate indicates false positives or low-value findings.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MTTR Reduction</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Target: Measurable reduction in incident time-to-resolution for clusters using AIRE vs. baseline. Tracked per customer.</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Cost Savings Delivered</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Target: Right-sizing PRs generated by COIE result in measurable cloud spend reduction. Tracked as total projected savings across all active customers.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Agent Uptime</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Target: &gt;99.9% connection availability. Agent reconnects automatically within 30 seconds of connection loss.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Control Plane Availability</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Target: 99.9% uptime for the API and dashboard. Measured monthly.</w:t>
            </w:r>
          </w:p>
        </w:tc>
      </w:tr>
    </w:tbl>
    <w:p>
      <w:pPr>
        <w:spacing w:after="0" w:before="160"/>
      </w:pPr>
      <w:r>
        <w:t xml:space="preserve"/>
      </w:r>
    </w:p>
    <w:p>
      <w:pPr>
        <w:pStyle w:val="Heading2"/>
        <w:spacing w:after="160" w:before="300"/>
      </w:pPr>
      <w:r>
        <w:rPr>
          <w:rFonts w:ascii="Arial" w:cs="Arial" w:eastAsia="Arial" w:hAnsi="Arial"/>
          <w:b/>
          <w:bCs/>
          <w:color w:val="2E4057"/>
          <w:sz w:val="28"/>
          <w:szCs w:val="28"/>
        </w:rPr>
        <w:t xml:space="preserve">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Metric</w:t>
            </w:r>
          </w:p>
        </w:tc>
        <w:tc>
          <w:tcPr>
            <w:tcW w:type="dxa" w:w="6360"/>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1"/>
                <w:szCs w:val="21"/>
              </w:rPr>
              <w:t xml:space="preserve">Target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Time to First Value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Target: User connects first cluster and sees their health score within 10 minutes of signup.</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Free-to-Paid Conversion</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Target: &gt;15% of free tier users convert to Pro within 30 days.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Net Revenue Retention</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color w:val="0F172A"/>
                <w:sz w:val="20"/>
                <w:szCs w:val="20"/>
              </w:rPr>
              <w:t xml:space="preserve">Target: &gt;110% — customers expand their cluster count over time.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Churn Rate</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color w:val="0F172A"/>
                <w:sz w:val="20"/>
                <w:szCs w:val="20"/>
              </w:rPr>
              <w:t xml:space="preserve">Target: &lt;5% monthly churn on Pro tier.</w:t>
            </w:r>
          </w:p>
        </w:tc>
      </w:tr>
    </w:tbl>
    <w:p>
      <w:r>
        <w:br w:type="page"/>
      </w:r>
    </w:p>
    <w:p>
      <w:pPr>
        <w:spacing w:after="60" w:before="0"/>
      </w:pPr>
      <w:r>
        <w:rPr>
          <w:rFonts w:ascii="Arial" w:cs="Arial" w:eastAsia="Arial" w:hAnsi="Arial"/>
          <w:b/>
          <w:bCs/>
          <w:color w:val="0EA5E9"/>
          <w:spacing w:val="120"/>
          <w:sz w:val="18"/>
          <w:szCs w:val="18"/>
        </w:rPr>
        <w:t xml:space="preserve">APPENDIX</w:t>
      </w:r>
    </w:p>
    <w:p>
      <w:pPr>
        <w:pStyle w:val="Heading1"/>
        <w:pBdr>
          <w:bottom w:val="single" w:color="1A56DB" w:sz="6" w:space="8"/>
        </w:pBdr>
        <w:spacing w:after="200" w:before="400"/>
      </w:pPr>
      <w:r>
        <w:rPr>
          <w:rFonts w:ascii="Arial" w:cs="Arial" w:eastAsia="Arial" w:hAnsi="Arial"/>
          <w:b/>
          <w:bCs/>
          <w:color w:val="0F1B2D"/>
          <w:sz w:val="36"/>
          <w:szCs w:val="36"/>
        </w:rPr>
        <w:t xml:space="preserve">Appendix: Complete Technology Stack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Component</w:t>
            </w:r>
          </w:p>
        </w:tc>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Technology</w:t>
            </w:r>
          </w:p>
        </w:tc>
        <w:tc>
          <w:tcPr>
            <w:tcBorders>
              <w:top w:val="single" w:color="0F1B2D" w:sz="1"/>
              <w:left w:val="single" w:color="0F1B2D" w:sz="1"/>
              <w:bottom w:val="single" w:color="0F1B2D" w:sz="1"/>
              <w:right w:val="single" w:color="0F1B2D" w:sz="1"/>
            </w:tcBorders>
            <w:shd w:fill="0F1B2D" w:val="clear"/>
            <w:tcMar>
              <w:top w:type="dxa" w:w="120"/>
              <w:left w:type="dxa" w:w="160"/>
              <w:bottom w:type="dxa" w:w="120"/>
              <w:right w:type="dxa" w:w="160"/>
            </w:tcMar>
          </w:tcPr>
          <w:p>
            <w:r>
              <w:rPr>
                <w:rFonts w:ascii="Arial" w:cs="Arial" w:eastAsia="Arial" w:hAnsi="Arial"/>
                <w:b/>
                <w:bCs/>
                <w:color w:val="FFFFFF"/>
                <w:sz w:val="20"/>
                <w:szCs w:val="20"/>
              </w:rPr>
              <w:t xml:space="preserve">Notes</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Frontend Framework</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Next.js 14</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React, App Router, TypeScript</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Frontend Styling</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Tailwind CSS + shadcn/ui</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Utility-first, accessible components</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Frontend State</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Zustand + TanStack Query</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Client state + server state</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Backend Framework</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FastAPI</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Python 3.12, async, OpenAPI</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Task Queue</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Celery + Redis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Async processing, scheduled scoring</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Agent Language</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Go 1.22</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controller-runtime, client-go</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Agent Serialization</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MessagePack</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Binary, compact metric streaming</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Primary Database</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PostgreSQL 16 + TimescaleDB</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Relational + time-series (single DB)</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Cache / Broker</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Redis 7</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Sessions, Celery broker, rate limits</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Object Storage</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AWS S3</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Incident bundles, log archives</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Container Registry</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AWS ECR</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Built images from DIE pipeline</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Kubernetes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AWS EKS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Control Plane hosting (self-hosted)</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GitOps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ArgoCD</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Cluster sync from Git repositories</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IaC</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Terraform</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All AWS infrastructure as code</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CI/CD</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GitHub Actions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Build, test, push on PR</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Ingress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AWS ALB + NGINX Ingress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TLS termination, routing</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Secrets</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AWS Secrets Manager + ESO</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External Secrets Operator sync</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Observability</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Prometheus + Grafana + Loki</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Metrics, dashboards, logs</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Tracing</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OpenTelemetry + Jaeger</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Distributed request tracing</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Alerting</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PagerDuty</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On-call integration for Control Plane</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Auth</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NextAuth.js + JWT</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GitHub OAuth + email/password</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mTLS</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cert-manager + internal CA</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Agent channel authentication</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Python Lint</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Ruff</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Linting + formatting</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TS Lint</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ESLint + Prettier</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Code style enforcement</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Go Lint</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golangci-lint</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Static analysis</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Python Test</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pytest</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Unit + integration</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TS Test</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Vitest</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Component + API testing</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Go Test</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go test</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Agent unit + integration</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E2E Test</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Playwright</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Full dashboard flows</w:t>
            </w:r>
          </w:p>
        </w:tc>
      </w:tr>
      <w:tr>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bCs/>
                <w:color w:val="2E4057"/>
                <w:sz w:val="20"/>
                <w:szCs w:val="20"/>
              </w:rPr>
              <w:t xml:space="preserve">Local Cluster</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Kind</w:t>
            </w:r>
          </w:p>
        </w:tc>
        <w:tc>
          <w:tcPr>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Agent testing locally</w:t>
            </w:r>
          </w:p>
        </w:tc>
      </w:tr>
      <w:tr>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bCs/>
                <w:color w:val="2E4057"/>
                <w:sz w:val="20"/>
                <w:szCs w:val="20"/>
              </w:rPr>
              <w:t xml:space="preserve">Local Stack</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Docker Compose</w:t>
            </w:r>
          </w:p>
        </w:tc>
        <w:tc>
          <w:tcPr>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top"/>
          </w:tcPr>
          <w:p>
            <w:r>
              <w:rPr>
                <w:rFonts w:ascii="Arial" w:cs="Arial" w:eastAsia="Arial" w:hAnsi="Arial"/>
                <w:b w:val="false"/>
                <w:bCs w:val="false"/>
                <w:color w:val="0F172A"/>
                <w:sz w:val="20"/>
                <w:szCs w:val="20"/>
              </w:rPr>
              <w:t xml:space="preserve">Full platform locally</w:t>
            </w:r>
          </w:p>
        </w:tc>
      </w:tr>
    </w:tbl>
    <w:p>
      <w:pPr>
        <w:spacing w:after="0" w:before="160"/>
      </w:pPr>
      <w:r>
        <w:t xml:space="preserve"/>
      </w:r>
    </w:p>
    <w:p>
      <w:pPr>
        <w:pBdr>
          <w:top w:val="single" w:color="E2E8F0" w:sz="2" w:space="12"/>
        </w:pBdr>
        <w:spacing w:after="0" w:before="400"/>
        <w:jc w:val="center"/>
      </w:pPr>
      <w:r>
        <w:rPr>
          <w:rFonts w:ascii="Arial" w:cs="Arial" w:eastAsia="Arial" w:hAnsi="Arial"/>
          <w:i/>
          <w:iCs/>
          <w:color w:val="94A3B8"/>
          <w:sz w:val="18"/>
          <w:szCs w:val="18"/>
        </w:rPr>
        <w:t xml:space="preserve">AutoStack  —  Intelligent Kubernetes Operations Platform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B2D"/>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2026-03-12T09:59:03.058Z</dcterms:created>
  <dcterms:modified xsi:type="dcterms:W3CDTF">2026-03-12T09:59:03.060Z</dcterms:modified>
</cp:coreProperties>
</file>

<file path=docProps/custom.xml><?xml version="1.0" encoding="utf-8"?>
<Properties xmlns="http://schemas.openxmlformats.org/officeDocument/2006/custom-properties" xmlns:vt="http://schemas.openxmlformats.org/officeDocument/2006/docPropsVTypes"/>
</file>