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VULNERABILITY ASSESSMENT &amp; PENETRATION TESTING REPORT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Before You Agree - Iteration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17 September 2026</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Vue frontend, Node.js API on EC2, AWS CloudFront/WAF, security groups, LegalBERT integration, external APIs and relevant source code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 by: Raj Tandel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Table Of Contents</w:t>
      </w:r>
    </w:p>
    <w:tbl>
      <w:tblPr>
        <w:tblStyle w:val="Table1"/>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690"/>
        <w:gridCol w:w="2999"/>
        <w:tblGridChange w:id="0">
          <w:tblGrid>
            <w:gridCol w:w="3335"/>
            <w:gridCol w:w="3690"/>
            <w:gridCol w:w="2999"/>
          </w:tblGrid>
        </w:tblGridChange>
      </w:tblGrid>
      <w:tr>
        <w:trPr>
          <w:cantSplit w:val="0"/>
          <w:trHeight w:val="567" w:hRule="atLeast"/>
          <w:tblHeader w:val="0"/>
        </w:trPr>
        <w:tc>
          <w:tcPr/>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w:t>
            </w:r>
          </w:p>
        </w:tc>
        <w:tc>
          <w:tcPr/>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w:t>
            </w:r>
          </w:p>
        </w:tc>
        <w:tc>
          <w:tcPr/>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Page</w:t>
            </w:r>
          </w:p>
        </w:tc>
      </w:tr>
      <w:tr>
        <w:trPr>
          <w:cantSplit w:val="0"/>
          <w:trHeight w:val="567" w:hRule="atLeast"/>
          <w:tblHeader w:val="0"/>
        </w:trPr>
        <w:tc>
          <w:tcPr>
            <w:vAlign w:val="center"/>
          </w:tcPr>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and method</w:t>
            </w:r>
          </w:p>
        </w:tc>
        <w:tc>
          <w:tcPr>
            <w:vAlign w:val="center"/>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r>
        <w:trPr>
          <w:cantSplit w:val="0"/>
          <w:trHeight w:val="567" w:hRule="atLeast"/>
          <w:tblHeader w:val="0"/>
        </w:trPr>
        <w:tc>
          <w:tcPr>
            <w:vAlign w:val="center"/>
          </w:tcPr>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Align w:val="center"/>
          </w:tcPr>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2 executive summary</w:t>
            </w:r>
          </w:p>
        </w:tc>
        <w:tc>
          <w:tcPr>
            <w:vAlign w:val="center"/>
          </w:tcPr>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r>
        <w:trPr>
          <w:cantSplit w:val="0"/>
          <w:trHeight w:val="567" w:hRule="atLeast"/>
          <w:tblHeader w:val="0"/>
        </w:trPr>
        <w:tc>
          <w:tcPr>
            <w:vAlign w:val="center"/>
          </w:tcPr>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vAlign w:val="center"/>
          </w:tcPr>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evidence</w:t>
            </w:r>
          </w:p>
        </w:tc>
        <w:tc>
          <w:tcPr>
            <w:vAlign w:val="center"/>
          </w:tcPr>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r>
        <w:trPr>
          <w:cantSplit w:val="0"/>
          <w:trHeight w:val="567" w:hRule="atLeast"/>
          <w:tblHeader w:val="0"/>
        </w:trPr>
        <w:tc>
          <w:tcPr>
            <w:vAlign w:val="center"/>
          </w:tcPr>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vAlign w:val="center"/>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findings</w:t>
            </w:r>
          </w:p>
        </w:tc>
        <w:tc>
          <w:tcPr>
            <w:vAlign w:val="center"/>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rHeight w:val="567" w:hRule="atLeast"/>
          <w:tblHeader w:val="0"/>
        </w:trPr>
        <w:tc>
          <w:tcPr>
            <w:vAlign w:val="center"/>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vAlign w:val="center"/>
          </w:tcPr>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Confirmed controls</w:t>
            </w:r>
          </w:p>
        </w:tc>
        <w:tc>
          <w:tcPr>
            <w:vAlign w:val="center"/>
          </w:tcPr>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rHeight w:val="567" w:hRule="atLeast"/>
          <w:tblHeader w:val="0"/>
        </w:trPr>
        <w:tc>
          <w:tcPr>
            <w:vAlign w:val="center"/>
          </w:tcPr>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vAlign w:val="center"/>
          </w:tcPr>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assessment</w:t>
            </w:r>
          </w:p>
        </w:tc>
        <w:tc>
          <w:tcPr>
            <w:vAlign w:val="center"/>
          </w:tcPr>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567" w:hRule="atLeast"/>
          <w:tblHeader w:val="0"/>
        </w:trPr>
        <w:tc>
          <w:tcPr>
            <w:vAlign w:val="center"/>
          </w:tcPr>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vAlign w:val="center"/>
          </w:tcPr>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screenshots</w:t>
            </w:r>
          </w:p>
        </w:tc>
        <w:tc>
          <w:tcPr>
            <w:vAlign w:val="center"/>
          </w:tcPr>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w:t>
            </w:r>
          </w:p>
        </w:tc>
      </w:tr>
      <w:tr>
        <w:trPr>
          <w:cantSplit w:val="0"/>
          <w:trHeight w:val="567" w:hRule="atLeast"/>
          <w:tblHeader w:val="0"/>
        </w:trPr>
        <w:tc>
          <w:tcPr>
            <w:vAlign w:val="center"/>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Align w:val="center"/>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tc>
        <w:tc>
          <w:tcPr>
            <w:vAlign w:val="center"/>
          </w:tcPr>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0"/>
          <w:trHeight w:val="567" w:hRule="atLeast"/>
          <w:tblHeader w:val="0"/>
        </w:trPr>
        <w:tc>
          <w:tcPr>
            <w:vAlign w:val="center"/>
          </w:tcPr>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vAlign w:val="center"/>
          </w:tcPr>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tc>
        <w:tc>
          <w:tcPr>
            <w:vAlign w:val="center"/>
          </w:tcPr>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0"/>
          <w:trHeight w:val="567" w:hRule="atLeast"/>
          <w:tblHeader w:val="0"/>
        </w:trPr>
        <w:tc>
          <w:tcPr>
            <w:vAlign w:val="center"/>
          </w:tcPr>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vAlign w:val="center"/>
          </w:tcPr>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vAlign w:val="center"/>
          </w:tcPr>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0"/>
          <w:trHeight w:val="567" w:hRule="atLeast"/>
          <w:tblHeader w:val="0"/>
        </w:trPr>
        <w:tc>
          <w:tcPr>
            <w:vAlign w:val="center"/>
          </w:tcPr>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tc>
        <w:tc>
          <w:tcPr>
            <w:vAlign w:val="center"/>
          </w:tcPr>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1 findings and current status</w:t>
            </w:r>
          </w:p>
        </w:tc>
        <w:tc>
          <w:tcPr>
            <w:vAlign w:val="center"/>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r>
        <w:trPr>
          <w:cantSplit w:val="0"/>
          <w:trHeight w:val="567" w:hRule="atLeast"/>
          <w:tblHeader w:val="0"/>
        </w:trPr>
        <w:tc>
          <w:tcPr>
            <w:vAlign w:val="center"/>
          </w:tcPr>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w:t>
            </w:r>
          </w:p>
        </w:tc>
        <w:tc>
          <w:tcPr>
            <w:vAlign w:val="center"/>
          </w:tcPr>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2 unit-test result</w:t>
            </w:r>
          </w:p>
        </w:tc>
        <w:tc>
          <w:tcPr>
            <w:vAlign w:val="center"/>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 Purpose and method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assessment reviews the current code, security plan, AWS screenshots and unit-test results. It checks the status of earlier findings and records new issues shown by the evidence.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Reviewed AWS WAF, network and access screenshots.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Reviewed API validation, caching, model and deployment code.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Compared Iteration 1 findings with the current controls.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 the unit tests: 25 passed and 4 failed.</w:t>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4"/>
          <w:szCs w:val="24"/>
          <w:rtl w:val="0"/>
        </w:rPr>
        <w:t xml:space="preserve">• No intrusive or denial-of-service tests were run against production</w:t>
      </w:r>
      <w:r w:rsidDel="00000000" w:rsidR="00000000" w:rsidRPr="00000000">
        <w:rPr>
          <w:rtl w:val="0"/>
        </w:rPr>
        <w:t xml:space="preserve">.</w:t>
      </w:r>
    </w:p>
    <w:p w:rsidR="00000000" w:rsidDel="00000000" w:rsidP="00000000" w:rsidRDefault="00000000" w:rsidRPr="00000000" w14:paraId="0000003C">
      <w:pPr>
        <w:pStyle w:val="Heading2"/>
        <w:rPr/>
      </w:pPr>
      <w:r w:rsidDel="00000000" w:rsidR="00000000" w:rsidRPr="00000000">
        <w:rPr>
          <w:rtl w:val="0"/>
        </w:rPr>
        <w:t xml:space="preserve">2. Iteration 2 executive summary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Iteration 2 adds several security controls. AWS WAF protects CloudFront, the EC2 origin only accepts approved web traffic, model files use private S3, and deployment health checks are enabled. Public SSH has been removed, Advanced DDoS protection is enabled, and CloudWatch collects deployment logs. The /api/analyze WAF rule runs in Count mode, while the API keeps its own rate limit. Four model tests still fail. Cache limits, external-response validation and browser security headers remain open.</w:t>
      </w:r>
    </w:p>
    <w:tbl>
      <w:tblPr>
        <w:tblStyle w:val="Table2"/>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2"/>
        <w:gridCol w:w="5012"/>
        <w:tblGridChange w:id="0">
          <w:tblGrid>
            <w:gridCol w:w="5012"/>
            <w:gridCol w:w="5012"/>
          </w:tblGrid>
        </w:tblGridChange>
      </w:tblGrid>
      <w:tr>
        <w:trPr>
          <w:cantSplit w:val="0"/>
          <w:trHeight w:val="340" w:hRule="atLeast"/>
          <w:tblHeader w:val="0"/>
        </w:trPr>
        <w:tc>
          <w:tcPr/>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w:t>
            </w:r>
          </w:p>
        </w:tc>
        <w:tc>
          <w:tcPr/>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tc>
      </w:tr>
      <w:tr>
        <w:trPr>
          <w:cantSplit w:val="0"/>
          <w:trHeight w:val="680" w:hRule="atLeast"/>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WAF</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SQL and DDoS protection enabled; /api/analyze is monitored</w:t>
            </w:r>
          </w:p>
        </w:tc>
      </w:tr>
      <w:tr>
        <w:trPr>
          <w:cantSplit w:val="0"/>
          <w:trHeight w:val="680" w:hRule="atLeast"/>
          <w:tblHeader w:val="0"/>
        </w:trPr>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network</w:t>
            </w:r>
          </w:p>
        </w:tc>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CloudFront web traffic is allowed; SSH is closed</w:t>
            </w:r>
          </w:p>
        </w:tc>
      </w:tr>
      <w:tr>
        <w:trPr>
          <w:cantSplit w:val="0"/>
          <w:trHeight w:val="680" w:hRule="atLeast"/>
          <w:tblHeader w:val="0"/>
        </w:trPr>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CloudWatch logs confirmed; alarm evidence required</w:t>
            </w:r>
          </w:p>
        </w:tc>
      </w:tr>
      <w:tr>
        <w:trPr>
          <w:cantSplit w:val="0"/>
          <w:trHeight w:val="680" w:hRule="atLeast"/>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tests</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tests passed; 4 model tests failed</w:t>
            </w:r>
          </w:p>
        </w:tc>
      </w:tr>
      <w:tr>
        <w:trPr>
          <w:cantSplit w:val="0"/>
          <w:trHeight w:val="680" w:hRule="atLeast"/>
          <w:tblHeader w:val="0"/>
        </w:trPr>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findings</w:t>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improved, one retained and five remain open or partial</w:t>
            </w:r>
          </w:p>
        </w:tc>
      </w:tr>
      <w:tr>
        <w:trPr>
          <w:cantSplit w:val="0"/>
          <w:trHeight w:val="680" w:hRule="atLeast"/>
          <w:tblHeader w:val="0"/>
        </w:trPr>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risk</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because model tests and some controls remain open</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3. Test Evidence</w:t>
      </w:r>
    </w:p>
    <w:tbl>
      <w:tblPr>
        <w:tblStyle w:val="Table3"/>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1"/>
        <w:gridCol w:w="3341"/>
        <w:gridCol w:w="3342"/>
        <w:tblGridChange w:id="0">
          <w:tblGrid>
            <w:gridCol w:w="3341"/>
            <w:gridCol w:w="3341"/>
            <w:gridCol w:w="3342"/>
          </w:tblGrid>
        </w:tblGridChange>
      </w:tblGrid>
      <w:tr>
        <w:trPr>
          <w:cantSplit w:val="0"/>
          <w:trHeight w:val="340" w:hRule="atLeast"/>
          <w:tblHeader w:val="0"/>
        </w:trPr>
        <w:tc>
          <w:tcPr/>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result</w:t>
            </w:r>
          </w:p>
        </w:tc>
        <w:tc>
          <w:tcPr/>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rHeight w:val="1191" w:hRule="atLeast"/>
          <w:tblHeader w:val="0"/>
        </w:trPr>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WAF Web ACL</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and receiving traffic</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edge protection is present.</w:t>
            </w:r>
          </w:p>
        </w:tc>
      </w:tr>
      <w:tr>
        <w:trPr>
          <w:cantSplit w:val="0"/>
          <w:trHeight w:val="1191" w:hRule="atLeast"/>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WAF managed rules</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reputation, common, known bad input and SQLi rules listed</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against common attacks; rule actions need retesting.</w:t>
            </w:r>
          </w:p>
        </w:tc>
      </w:tr>
      <w:tr>
        <w:trPr>
          <w:cantSplit w:val="0"/>
          <w:trHeight w:val="1191" w:hRule="atLeast"/>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WAF protections</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SQL and Advanced DDoS protections enabled</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active AWS protection.</w:t>
            </w:r>
          </w:p>
        </w:tc>
      </w:tr>
      <w:tr>
        <w:trPr>
          <w:cantSplit w:val="0"/>
          <w:trHeight w:val="1191" w:hRule="atLeast"/>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WAF rate rule</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Scoped to /api/analyze and shown in Count/Monitor mode</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the endpoint but does not block requests.</w:t>
            </w:r>
          </w:p>
        </w:tc>
      </w:tr>
      <w:tr>
        <w:trPr>
          <w:cantSplit w:val="0"/>
          <w:trHeight w:val="1191" w:hRule="atLeast"/>
          <w:tblHeader w:val="0"/>
        </w:trPr>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web access</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80 limited to AWS prefix list pl-b8a742d1</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web access is limited to the approved AWS path.</w:t>
            </w:r>
          </w:p>
        </w:tc>
      </w:tr>
      <w:tr>
        <w:trPr>
          <w:cantSplit w:val="0"/>
          <w:trHeight w:val="1191" w:hRule="atLeast"/>
          <w:tblHeader w:val="0"/>
        </w:trPr>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exposure</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inbound port 22 rule</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SSH access has been removed.</w:t>
            </w:r>
          </w:p>
        </w:tc>
      </w:tr>
      <w:tr>
        <w:trPr>
          <w:cantSplit w:val="0"/>
          <w:trHeight w:val="1191" w:hRule="atLeast"/>
          <w:tblHeader w:val="0"/>
        </w:trPr>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retest</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connection to port 22 timed out</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public SSH is closed.</w:t>
            </w:r>
          </w:p>
        </w:tc>
      </w:tr>
      <w:tr>
        <w:trPr>
          <w:cantSplit w:val="0"/>
          <w:trHeight w:val="1191" w:hRule="atLeast"/>
          <w:tblHeader w:val="0"/>
        </w:trPr>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ping</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Timed out</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is blocked or unanswered; TCP services are not tested.</w:t>
            </w:r>
          </w:p>
        </w:tc>
      </w:tr>
      <w:tr>
        <w:trPr>
          <w:cantSplit w:val="0"/>
          <w:trHeight w:val="1191" w:hRule="atLeast"/>
          <w:tblHeader w:val="0"/>
        </w:trPr>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CloudWatch</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log events are visible</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log collection; alarms are not shown.</w:t>
            </w:r>
          </w:p>
        </w:tc>
      </w:tr>
      <w:tr>
        <w:trPr>
          <w:cantSplit w:val="0"/>
          <w:trHeight w:val="1191" w:hRule="atLeast"/>
          <w:tblHeader w:val="0"/>
        </w:trPr>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passed; 4 failed</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LegalBERT tests and implementation do not match.</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4. Current findings</w:t>
      </w:r>
    </w:p>
    <w:tbl>
      <w:tblPr>
        <w:tblStyle w:val="Table4"/>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4"/>
        <w:gridCol w:w="2513"/>
        <w:gridCol w:w="1536"/>
        <w:gridCol w:w="2240"/>
        <w:gridCol w:w="2481"/>
        <w:tblGridChange w:id="0">
          <w:tblGrid>
            <w:gridCol w:w="1254"/>
            <w:gridCol w:w="2513"/>
            <w:gridCol w:w="1536"/>
            <w:gridCol w:w="2240"/>
            <w:gridCol w:w="2481"/>
          </w:tblGrid>
        </w:tblGridChange>
      </w:tblGrid>
      <w:tr>
        <w:trPr>
          <w:cantSplit w:val="0"/>
          <w:tblHeader w:val="0"/>
        </w:trPr>
        <w:tc>
          <w:tcPr/>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w:t>
            </w:r>
          </w:p>
        </w:tc>
        <w:tc>
          <w:tcPr/>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c>
          <w:tcPr/>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c>
          <w:tcPr/>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treatment</w:t>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VA2-01</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SSH exposure</w:t>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22 is not allowed and the SSH retest timed out.</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SSH closed, use AWS Systems Manager and review rule changes.</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VA2-02</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WAF rate rule uses monitoring mode</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Informational</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/api/analyze rule is in Count mode and DDoS protection is enabled.</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metrics. Use Block or Challenge if edge blocking is needed.</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VA2-03</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LegalBERT adapter tests fail</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Vitest run: 25 passed, 4 failed.</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the tests with local inference and require all tests to pass.</w:t>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VA2-04</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headers and CDN integrity remain open</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new header test exists. jsDelivr assets still have no SRI.</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CSP, HSTS and frame protection. Self-host assets or use SRI.</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VA2-05</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In-memory caches are not bounded</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and rate-limit caches have no size cap or cleanup task.</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size limits, expired-entry cleanup and memory tests.</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VA2-06</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responses lack full runtime validation</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JSON has no full size or schema validation.</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response size, check content type and validate required fields.</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VA2-07</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Alerting evidence is incomplete</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CloudWatch logs are shown, but alarms are not.</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evidence of alarms, retention and test notifications.</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5. Confirmed controls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AWS WAF managed rules protect the CloudFront layer.</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web traffic is limited to an AWS-managed prefix list.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inbound SSH rule, and the external SSH test timed out.</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DDoS, core WAF and SQL protections are enabled.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CloudWatch collects deployment events and failure logs.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API uses CORS, input limits, ID checks, method controls, timeouts and safe errors.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requests use fixed ToS;DR, GitHub and S3 destinations.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Policy HTML is cleaned and escaped before display.</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S3 delivery, local model loading and deployment health checks are enabled.</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6. Impact assessment</w:t>
      </w:r>
    </w:p>
    <w:tbl>
      <w:tblPr>
        <w:tblStyle w:val="Table5"/>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3"/>
        <w:gridCol w:w="2006"/>
        <w:gridCol w:w="2005"/>
        <w:gridCol w:w="2005"/>
        <w:gridCol w:w="2005"/>
        <w:tblGridChange w:id="0">
          <w:tblGrid>
            <w:gridCol w:w="2003"/>
            <w:gridCol w:w="2006"/>
            <w:gridCol w:w="2005"/>
            <w:gridCol w:w="2005"/>
            <w:gridCol w:w="2005"/>
          </w:tblGrid>
        </w:tblGridChange>
      </w:tblGrid>
      <w:tr>
        <w:trPr>
          <w:cantSplit w:val="0"/>
          <w:tblHeader w:val="1"/>
        </w:trPr>
        <w:tc>
          <w:tcPr/>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p>
        </w:tc>
        <w:tc>
          <w:tcPr/>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p>
        </w:tc>
        <w:tc>
          <w:tcPr/>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tc>
        <w:tc>
          <w:tcPr/>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VA2-01</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after removing public SSH.</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VA2-02</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DDoS and API limits are active.</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Informational</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VA2-03</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incorrect results may not be detected.</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VA2-04</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changed browser assets could alter results.</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VA2-05</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memory growth may restart the API.</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VA2-06</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invalid data may affect results.</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VA2-07</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incidents may be detected late.</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7. Evidence screenshots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screenshot is assessed only on what it shows. A visible AWS setting does not prove that every rule blocks traffic or sends an alert.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EV2-01 - AWS WAF Web ACL activity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3195907"/>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6440" cy="319590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ACL is active. It recorded 247 allowed requests and no blocked requests in this view.</w:t>
      </w:r>
    </w:p>
    <w:p w:rsidR="00000000" w:rsidDel="00000000" w:rsidP="00000000" w:rsidRDefault="00000000" w:rsidRPr="00000000" w14:paraId="000000E7">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EV2-02 - AWS WAF RULES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1899" cy="3612944"/>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81899" cy="361294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reputation, common threat, bad-input and SQL injection rules are listed. The /api/analyze rate rule is in Count mode.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ind w:left="720" w:hanging="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EV2-03 - WAF PROTECTION STATUS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531227"/>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06440" cy="53122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Advanced DDoS, rate monitoring and SQL protections are enabled. The rate rule is in Monitor mode and does not block requests.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EV2-04 - EC2 INBOUND SECURITY-GROUP RULES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759012"/>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06440" cy="75901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port 80 from the approved AWS prefix list is allowed. There is no inbound SSH rule, so the public SSH finding is closed.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EV2-05 - ICMP TEST</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2098949"/>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06440" cy="209894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public address did not answer ICMP echo.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EV2-06 - SSH CLOSURE RETEST</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2737752"/>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06440" cy="273775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external SSH connection to port 22 timed out.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EV2-07 - CLOUDWATCH DEPLOYMENT LOGS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6440" cy="2710584"/>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06440" cy="271058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CloudWatch records CodePipeline and SSM events, including a failed deployment. This confirms central log collection.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8. Recommendations</w:t>
      </w:r>
    </w:p>
    <w:tbl>
      <w:tblPr>
        <w:tblStyle w:val="Table6"/>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250"/>
        <w:gridCol w:w="1163"/>
        <w:gridCol w:w="3765"/>
        <w:tblGridChange w:id="0">
          <w:tblGrid>
            <w:gridCol w:w="846"/>
            <w:gridCol w:w="4250"/>
            <w:gridCol w:w="1163"/>
            <w:gridCol w:w="3765"/>
          </w:tblGrid>
        </w:tblGridChange>
      </w:tblGrid>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R-01</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port 22 closed and use AWS Systems Manager</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public SSH access</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R-02</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/api/analyze WAF metrics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identify abusive traffic</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R-03</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 the four failing LegalBERT tests</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incorrect model results</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R-04</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cache limits and response validation</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memory and malformed-data issues</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R-05</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browser headers and secure CDN resources</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browser and supply-chain risks</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R-06</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Retain CloudWatch logs and test alarms</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faster incident detection</w:t>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Aptos" w:cs="Aptos" w:eastAsia="Aptos" w:hAnsi="Aptos"/>
          <w:b w:val="1"/>
          <w:bCs w:val="1"/>
          <w:i w:val="0"/>
          <w:iCs w:val="0"/>
          <w:smallCaps w:val="0"/>
          <w:strike w:val="0"/>
          <w:color w:val="0f4761"/>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Retesting must use an approved address and a low request rate. Do not run high-rate scans or denial-of-service tests against production. Record the date, tester, version and evidence for each closed finding.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9. Limitations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assessment uses the screenshots, source code and a local unit-test run. It is not a full AWS audit or intrusive penetration test. The evidence does not show CloudWatch alarms, log retention, IAM policies, S3 policies, full TLS settings or a production header retest. A failed ping does not prove that the EC2 host is unreachable.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10. References</w:t>
      </w:r>
    </w:p>
    <w:p w:rsidR="00000000" w:rsidDel="00000000" w:rsidP="00000000" w:rsidRDefault="00000000" w:rsidRPr="00000000" w14:paraId="0000012A">
      <w:pPr>
        <w:numPr>
          <w:ilvl w:val="0"/>
          <w:numId w:val="1"/>
        </w:numPr>
        <w:spacing w:after="0" w:before="280" w:lineRule="auto"/>
        <w:ind w:left="426" w:hanging="476"/>
        <w:rPr>
          <w:color w:val="000000"/>
        </w:rPr>
      </w:pPr>
      <w:r w:rsidDel="00000000" w:rsidR="00000000" w:rsidRPr="00000000">
        <w:rPr>
          <w:rFonts w:ascii="Times New Roman" w:cs="Times New Roman" w:eastAsia="Times New Roman" w:hAnsi="Times New Roman"/>
          <w:color w:val="000000"/>
          <w:sz w:val="24"/>
          <w:szCs w:val="24"/>
          <w:rtl w:val="0"/>
        </w:rPr>
        <w:t xml:space="preserve">OWASP API Security Top 10 - 2023: </w:t>
      </w:r>
      <w:hyperlink r:id="rId14">
        <w:r w:rsidDel="00000000" w:rsidR="00000000" w:rsidRPr="00000000">
          <w:rPr>
            <w:rFonts w:ascii="Times New Roman" w:cs="Times New Roman" w:eastAsia="Times New Roman" w:hAnsi="Times New Roman"/>
            <w:color w:val="467886"/>
            <w:sz w:val="24"/>
            <w:szCs w:val="24"/>
            <w:u w:val="single"/>
            <w:rtl w:val="0"/>
          </w:rPr>
          <w:t xml:space="preserve">https://owasp.org/API-Security/editions/2023/en/0x11-t10/</w:t>
        </w:r>
      </w:hyperlink>
      <w:r w:rsidDel="00000000" w:rsidR="00000000" w:rsidRPr="00000000">
        <w:rPr>
          <w:rtl w:val="0"/>
        </w:rPr>
      </w:r>
    </w:p>
    <w:p w:rsidR="00000000" w:rsidDel="00000000" w:rsidP="00000000" w:rsidRDefault="00000000" w:rsidRPr="00000000" w14:paraId="0000012B">
      <w:pPr>
        <w:numPr>
          <w:ilvl w:val="0"/>
          <w:numId w:val="1"/>
        </w:numPr>
        <w:spacing w:after="0" w:before="0" w:lineRule="auto"/>
        <w:ind w:left="426" w:hanging="476"/>
        <w:rPr>
          <w:color w:val="000000"/>
        </w:rPr>
      </w:pPr>
      <w:r w:rsidDel="00000000" w:rsidR="00000000" w:rsidRPr="00000000">
        <w:rPr>
          <w:rFonts w:ascii="Times New Roman" w:cs="Times New Roman" w:eastAsia="Times New Roman" w:hAnsi="Times New Roman"/>
          <w:color w:val="000000"/>
          <w:sz w:val="24"/>
          <w:szCs w:val="24"/>
          <w:rtl w:val="0"/>
        </w:rPr>
        <w:t xml:space="preserve">OAIC APP 11 - Security of personal information: </w:t>
      </w:r>
      <w:hyperlink r:id="rId15">
        <w:r w:rsidDel="00000000" w:rsidR="00000000" w:rsidRPr="00000000">
          <w:rPr>
            <w:rFonts w:ascii="Times New Roman" w:cs="Times New Roman" w:eastAsia="Times New Roman" w:hAnsi="Times New Roman"/>
            <w:color w:val="467886"/>
            <w:sz w:val="24"/>
            <w:szCs w:val="24"/>
            <w:u w:val="single"/>
            <w:rtl w:val="0"/>
          </w:rPr>
          <w:t xml:space="preserve">https://www.oaic.gov.au/privacy/australian-privacy-principles/australian-privacy-principles-guidelines/chapter-11-app-11-security-of-personal-information</w:t>
        </w:r>
      </w:hyperlink>
      <w:r w:rsidDel="00000000" w:rsidR="00000000" w:rsidRPr="00000000">
        <w:rPr>
          <w:rtl w:val="0"/>
        </w:rPr>
      </w:r>
    </w:p>
    <w:p w:rsidR="00000000" w:rsidDel="00000000" w:rsidP="00000000" w:rsidRDefault="00000000" w:rsidRPr="00000000" w14:paraId="0000012C">
      <w:pPr>
        <w:numPr>
          <w:ilvl w:val="0"/>
          <w:numId w:val="1"/>
        </w:numPr>
        <w:spacing w:after="280" w:before="0" w:lineRule="auto"/>
        <w:ind w:left="426" w:hanging="476"/>
        <w:rPr>
          <w:color w:val="000000"/>
        </w:rPr>
      </w:pPr>
      <w:r w:rsidDel="00000000" w:rsidR="00000000" w:rsidRPr="00000000">
        <w:rPr>
          <w:rFonts w:ascii="Times New Roman" w:cs="Times New Roman" w:eastAsia="Times New Roman" w:hAnsi="Times New Roman"/>
          <w:color w:val="000000"/>
          <w:sz w:val="24"/>
          <w:szCs w:val="24"/>
          <w:rtl w:val="0"/>
        </w:rPr>
        <w:t xml:space="preserve">ACSC Essential Eight maturity model: </w:t>
      </w:r>
      <w:hyperlink r:id="rId16">
        <w:r w:rsidDel="00000000" w:rsidR="00000000" w:rsidRPr="00000000">
          <w:rPr>
            <w:rFonts w:ascii="Times New Roman" w:cs="Times New Roman" w:eastAsia="Times New Roman" w:hAnsi="Times New Roman"/>
            <w:color w:val="467886"/>
            <w:sz w:val="24"/>
            <w:szCs w:val="24"/>
            <w:u w:val="single"/>
            <w:rtl w:val="0"/>
          </w:rPr>
          <w:t xml:space="preserve">https://www.cyber.gov.au/business-government/asds-cyber-security-frameworks/essential-eight/essential-eight-maturity-model</w:t>
        </w:r>
      </w:hyperlink>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Appendix A - Iteration 1 findings and current status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original findings are kept for traceability. A finding is closed only when current evidence shows that the fix works.</w:t>
      </w:r>
    </w:p>
    <w:tbl>
      <w:tblPr>
        <w:tblStyle w:val="Table7"/>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6"/>
        <w:gridCol w:w="2506"/>
        <w:gridCol w:w="2506"/>
        <w:gridCol w:w="2506"/>
        <w:tblGridChange w:id="0">
          <w:tblGrid>
            <w:gridCol w:w="2506"/>
            <w:gridCol w:w="2506"/>
            <w:gridCol w:w="2506"/>
            <w:gridCol w:w="2506"/>
          </w:tblGrid>
        </w:tblGridChange>
      </w:tblGrid>
      <w:tr>
        <w:trPr>
          <w:cantSplit w:val="0"/>
          <w:tblHeader w:val="1"/>
        </w:trPr>
        <w:tc>
          <w:tcPr/>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ID</w:t>
            </w:r>
          </w:p>
        </w:tc>
        <w:tc>
          <w:tcPr/>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1 finding</w:t>
            </w:r>
          </w:p>
        </w:tc>
        <w:tc>
          <w:tcPr/>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2 status</w:t>
            </w:r>
          </w:p>
        </w:tc>
        <w:tc>
          <w:tcPr/>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r>
      <w:tr>
        <w:trPr>
          <w:cantSplit w:val="0"/>
          <w:tblHeader w:val="0"/>
        </w:trPr>
        <w:tc>
          <w:tcPr/>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VA-01</w:t>
            </w:r>
          </w:p>
        </w:tc>
        <w:tc>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frontend browser headers</w:t>
            </w:r>
          </w:p>
        </w:tc>
        <w:tc>
          <w:tcPr/>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w:t>
            </w:r>
          </w:p>
        </w:tc>
        <w:tc>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new header test or hosting evidence was supplied.</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VA-02</w:t>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Process-local rate limiting</w:t>
            </w:r>
          </w:p>
        </w:tc>
        <w:tc>
          <w:tcPr/>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Improved</w:t>
            </w:r>
          </w:p>
        </w:tc>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DDoS protection and WAF monitoring are enabled; the API still enforces its own limit.</w:t>
            </w:r>
          </w:p>
        </w:tc>
      </w:tr>
      <w:tr>
        <w:trPr>
          <w:cantSplit w:val="0"/>
          <w:tblHeader w:val="0"/>
        </w:trPr>
        <w:tc>
          <w:tcPr/>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VA-03</w:t>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Unbounded memory cache</w:t>
            </w:r>
          </w:p>
        </w:tc>
        <w:tc>
          <w:tcPr/>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Entries expire, but the cache has no size cap or cleanup task.</w:t>
            </w:r>
          </w:p>
        </w:tc>
      </w:tr>
      <w:tr>
        <w:trPr>
          <w:cantSplit w:val="0"/>
          <w:tblHeader w:val="0"/>
        </w:trPr>
        <w:tc>
          <w:tcPr/>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VA-04</w:t>
            </w:r>
          </w:p>
        </w:tc>
        <w:tc>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CDN assets without SRI</w:t>
            </w:r>
          </w:p>
        </w:tc>
        <w:tc>
          <w:tcPr/>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w:t>
            </w:r>
          </w:p>
        </w:tc>
        <w:tc>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jsDelivr files still have no SRI checks.</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VA-05</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CORS allowlist</w:t>
            </w:r>
          </w:p>
        </w:tc>
        <w:tc>
          <w:tcPr/>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retained</w:t>
            </w:r>
          </w:p>
        </w:tc>
        <w:tc>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exact-origin allowlist remains enabled.</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VA-06</w:t>
            </w:r>
          </w:p>
        </w:tc>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external response validation</w:t>
            </w:r>
          </w:p>
        </w:tc>
        <w:tc>
          <w:tcPr/>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Implemented</w:t>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hosts and timeouts exist; size and schema checks are incomplete.</w:t>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VA-07</w:t>
            </w:r>
          </w:p>
        </w:tc>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security monitoring</w:t>
            </w:r>
          </w:p>
        </w:tc>
        <w:tc>
          <w:tcPr/>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Improved</w:t>
            </w:r>
          </w:p>
        </w:tc>
        <w:tc>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CloudWatch logs and health checks are confirmed</w:t>
            </w:r>
          </w:p>
        </w:tc>
      </w:tr>
      <w:tr>
        <w:trPr>
          <w:cantSplit w:val="0"/>
          <w:tblHeader w:val="0"/>
        </w:trPr>
        <w:tc>
          <w:tcPr/>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VA-08</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incorrect ML results</w:t>
            </w:r>
          </w:p>
        </w:tc>
        <w:tc>
          <w:tcPr/>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Improved</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LegalBERT and privacy rules improve results, but four tests fail and model errors remain possible.</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Appendix B - Iteration 2 unit-test result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Command: npm run test:unit. On 17 September 2026, 8 of 9 test files passed. Overall, 25 tests passed and 4 LegalBERT adapter tests failed.</w:t>
      </w:r>
    </w:p>
    <w:sectPr>
      <w:footerReference r:id="rId17" w:type="default"/>
      <w:pgSz w:h="16838" w:w="11906" w:orient="portrait"/>
      <w:pgMar w:bottom="720" w:top="720"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IN"/>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156082" w:space="0" w:sz="24" w:val="single"/>
        <w:left w:color="156082" w:space="0" w:sz="24" w:val="single"/>
        <w:bottom w:color="156082" w:space="0" w:sz="24" w:val="single"/>
        <w:right w:color="156082" w:space="0" w:sz="24" w:val="single"/>
      </w:pBdr>
      <w:shd w:fill="156082" w:val="clear"/>
      <w:spacing w:after="0" w:lineRule="auto"/>
    </w:pPr>
    <w:rPr>
      <w:smallCaps w:val="1"/>
      <w:color w:val="ffffff"/>
      <w:sz w:val="22"/>
      <w:szCs w:val="22"/>
    </w:rPr>
  </w:style>
  <w:style w:type="paragraph" w:styleId="Heading2">
    <w:name w:val="heading 2"/>
    <w:basedOn w:val="Normal"/>
    <w:next w:val="Normal"/>
    <w:pPr>
      <w:pBdr>
        <w:top w:color="c1e4f5" w:space="0" w:sz="24" w:val="single"/>
        <w:left w:color="c1e4f5" w:space="0" w:sz="24" w:val="single"/>
        <w:bottom w:color="c1e4f5" w:space="0" w:sz="24" w:val="single"/>
        <w:right w:color="c1e4f5" w:space="0" w:sz="24" w:val="single"/>
      </w:pBdr>
      <w:shd w:fill="c1e4f5" w:val="clear"/>
      <w:spacing w:after="0" w:lineRule="auto"/>
    </w:pPr>
    <w:rPr>
      <w:smallCaps w:val="1"/>
    </w:rPr>
  </w:style>
  <w:style w:type="paragraph" w:styleId="Heading3">
    <w:name w:val="heading 3"/>
    <w:basedOn w:val="Normal"/>
    <w:next w:val="Normal"/>
    <w:pPr>
      <w:pBdr>
        <w:top w:color="156082" w:space="2" w:sz="6" w:val="single"/>
      </w:pBdr>
      <w:spacing w:after="0" w:before="300" w:lineRule="auto"/>
    </w:pPr>
    <w:rPr>
      <w:smallCaps w:val="1"/>
      <w:color w:val="0a2f40"/>
    </w:rPr>
  </w:style>
  <w:style w:type="paragraph" w:styleId="Heading4">
    <w:name w:val="heading 4"/>
    <w:basedOn w:val="Normal"/>
    <w:next w:val="Normal"/>
    <w:pPr>
      <w:pBdr>
        <w:top w:color="156082" w:space="2" w:sz="6" w:val="dotted"/>
      </w:pBdr>
      <w:spacing w:after="0" w:before="200" w:lineRule="auto"/>
    </w:pPr>
    <w:rPr>
      <w:smallCaps w:val="1"/>
      <w:color w:val="0f4761"/>
    </w:rPr>
  </w:style>
  <w:style w:type="paragraph" w:styleId="Heading5">
    <w:name w:val="heading 5"/>
    <w:basedOn w:val="Normal"/>
    <w:next w:val="Normal"/>
    <w:pPr>
      <w:pBdr>
        <w:bottom w:color="156082" w:space="1" w:sz="6" w:val="single"/>
      </w:pBdr>
      <w:spacing w:after="0" w:before="200" w:lineRule="auto"/>
    </w:pPr>
    <w:rPr>
      <w:smallCaps w:val="1"/>
      <w:color w:val="0f4761"/>
    </w:rPr>
  </w:style>
  <w:style w:type="paragraph" w:styleId="Heading6">
    <w:name w:val="heading 6"/>
    <w:basedOn w:val="Normal"/>
    <w:next w:val="Normal"/>
    <w:pPr>
      <w:pBdr>
        <w:bottom w:color="156082" w:space="1" w:sz="6" w:val="dotted"/>
      </w:pBdr>
      <w:spacing w:after="0" w:before="200" w:lineRule="auto"/>
    </w:pPr>
    <w:rPr>
      <w:smallCaps w:val="1"/>
      <w:color w:val="0f4761"/>
    </w:rPr>
  </w:style>
  <w:style w:type="paragraph" w:styleId="Title">
    <w:name w:val="Title"/>
    <w:basedOn w:val="Normal"/>
    <w:next w:val="Normal"/>
    <w:pPr>
      <w:spacing w:after="0" w:before="0" w:lineRule="auto"/>
    </w:pPr>
    <w:rPr>
      <w:rFonts w:ascii="Play" w:cs="Play" w:eastAsia="Play" w:hAnsi="Play"/>
      <w:smallCaps w:val="1"/>
      <w:color w:val="156082"/>
      <w:sz w:val="52"/>
      <w:szCs w:val="52"/>
    </w:rPr>
  </w:style>
  <w:style w:type="paragraph" w:styleId="Heading7">
    <w:name w:val="heading 7"/>
    <w:basedOn w:val="Normal"/>
    <w:next w:val="Normal"/>
    <w:link w:val="Heading7Char"/>
    <w:uiPriority w:val="9"/>
    <w:semiHidden w:val="1"/>
    <w:unhideWhenUsed w:val="1"/>
    <w:qFormat w:val="1"/>
    <w:rsid w:val="00C9493C"/>
    <w:pPr>
      <w:spacing w:after="0" w:before="200"/>
      <w:outlineLvl w:val="6"/>
    </w:pPr>
    <w:rPr>
      <w:caps w:val="1"/>
      <w:color w:val="0f4761" w:themeColor="accent1" w:themeShade="0000BF"/>
      <w:spacing w:val="10"/>
    </w:rPr>
  </w:style>
  <w:style w:type="paragraph" w:styleId="Heading8">
    <w:name w:val="heading 8"/>
    <w:basedOn w:val="Normal"/>
    <w:next w:val="Normal"/>
    <w:link w:val="Heading8Char"/>
    <w:uiPriority w:val="9"/>
    <w:semiHidden w:val="1"/>
    <w:unhideWhenUsed w:val="1"/>
    <w:qFormat w:val="1"/>
    <w:rsid w:val="00C9493C"/>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C9493C"/>
    <w:pPr>
      <w:spacing w:after="0" w:before="200"/>
      <w:outlineLvl w:val="8"/>
    </w:pPr>
    <w:rPr>
      <w:i w:val="1"/>
      <w:iCs w:val="1"/>
      <w:caps w:val="1"/>
      <w:spacing w:val="10"/>
      <w:sz w:val="18"/>
      <w:szCs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493C"/>
    <w:rPr>
      <w:caps w:val="1"/>
      <w:color w:val="ffffff" w:themeColor="background1"/>
      <w:spacing w:val="15"/>
      <w:sz w:val="22"/>
      <w:szCs w:val="22"/>
      <w:shd w:color="auto" w:fill="156082" w:themeFill="accent1" w:val="clear"/>
    </w:rPr>
  </w:style>
  <w:style w:type="character" w:styleId="Heading2Char" w:customStyle="1">
    <w:name w:val="Heading 2 Char"/>
    <w:basedOn w:val="DefaultParagraphFont"/>
    <w:link w:val="Heading2"/>
    <w:uiPriority w:val="9"/>
    <w:rsid w:val="00C9493C"/>
    <w:rPr>
      <w:caps w:val="1"/>
      <w:spacing w:val="15"/>
      <w:shd w:color="auto" w:fill="c1e4f5" w:themeFill="accent1" w:themeFillTint="000033" w:val="clear"/>
    </w:rPr>
  </w:style>
  <w:style w:type="character" w:styleId="Heading3Char" w:customStyle="1">
    <w:name w:val="Heading 3 Char"/>
    <w:basedOn w:val="DefaultParagraphFont"/>
    <w:link w:val="Heading3"/>
    <w:uiPriority w:val="9"/>
    <w:rsid w:val="00C9493C"/>
    <w:rPr>
      <w:caps w:val="1"/>
      <w:color w:val="0a2f40" w:themeColor="accent1" w:themeShade="00007F"/>
      <w:spacing w:val="15"/>
    </w:rPr>
  </w:style>
  <w:style w:type="paragraph" w:styleId="msonormal0" w:customStyle="1">
    <w:name w:val="msonormal"/>
    <w:basedOn w:val="Normal"/>
    <w:pPr>
      <w:spacing w:after="140"/>
    </w:pPr>
  </w:style>
  <w:style w:type="paragraph" w:styleId="NormalWeb">
    <w:name w:val="Normal (Web)"/>
    <w:basedOn w:val="Normal"/>
    <w:uiPriority w:val="99"/>
    <w:unhideWhenUsed w:val="1"/>
    <w:pPr>
      <w:spacing w:after="140"/>
    </w:pPr>
  </w:style>
  <w:style w:type="character" w:styleId="Heading4Char" w:customStyle="1">
    <w:name w:val="Heading 4 Char"/>
    <w:basedOn w:val="DefaultParagraphFont"/>
    <w:link w:val="Heading4"/>
    <w:uiPriority w:val="9"/>
    <w:semiHidden w:val="1"/>
    <w:rsid w:val="00C9493C"/>
    <w:rPr>
      <w:caps w:val="1"/>
      <w:color w:val="0f4761" w:themeColor="accent1" w:themeShade="0000BF"/>
      <w:spacing w:val="10"/>
    </w:rPr>
  </w:style>
  <w:style w:type="character" w:styleId="Heading5Char" w:customStyle="1">
    <w:name w:val="Heading 5 Char"/>
    <w:basedOn w:val="DefaultParagraphFont"/>
    <w:link w:val="Heading5"/>
    <w:uiPriority w:val="9"/>
    <w:semiHidden w:val="1"/>
    <w:rsid w:val="00C9493C"/>
    <w:rPr>
      <w:caps w:val="1"/>
      <w:color w:val="0f4761" w:themeColor="accent1" w:themeShade="0000BF"/>
      <w:spacing w:val="10"/>
    </w:rPr>
  </w:style>
  <w:style w:type="character" w:styleId="Heading6Char" w:customStyle="1">
    <w:name w:val="Heading 6 Char"/>
    <w:basedOn w:val="DefaultParagraphFont"/>
    <w:link w:val="Heading6"/>
    <w:uiPriority w:val="9"/>
    <w:semiHidden w:val="1"/>
    <w:rsid w:val="00C9493C"/>
    <w:rPr>
      <w:caps w:val="1"/>
      <w:color w:val="0f4761" w:themeColor="accent1" w:themeShade="0000BF"/>
      <w:spacing w:val="10"/>
    </w:rPr>
  </w:style>
  <w:style w:type="character" w:styleId="Heading7Char" w:customStyle="1">
    <w:name w:val="Heading 7 Char"/>
    <w:basedOn w:val="DefaultParagraphFont"/>
    <w:link w:val="Heading7"/>
    <w:uiPriority w:val="9"/>
    <w:semiHidden w:val="1"/>
    <w:rsid w:val="00C9493C"/>
    <w:rPr>
      <w:caps w:val="1"/>
      <w:color w:val="0f4761" w:themeColor="accent1" w:themeShade="0000BF"/>
      <w:spacing w:val="10"/>
    </w:rPr>
  </w:style>
  <w:style w:type="character" w:styleId="Heading8Char" w:customStyle="1">
    <w:name w:val="Heading 8 Char"/>
    <w:basedOn w:val="DefaultParagraphFont"/>
    <w:link w:val="Heading8"/>
    <w:uiPriority w:val="9"/>
    <w:semiHidden w:val="1"/>
    <w:rsid w:val="00C9493C"/>
    <w:rPr>
      <w:caps w:val="1"/>
      <w:spacing w:val="10"/>
      <w:sz w:val="18"/>
      <w:szCs w:val="18"/>
    </w:rPr>
  </w:style>
  <w:style w:type="character" w:styleId="Heading9Char" w:customStyle="1">
    <w:name w:val="Heading 9 Char"/>
    <w:basedOn w:val="DefaultParagraphFont"/>
    <w:link w:val="Heading9"/>
    <w:uiPriority w:val="9"/>
    <w:semiHidden w:val="1"/>
    <w:rsid w:val="00C9493C"/>
    <w:rPr>
      <w:i w:val="1"/>
      <w:iCs w:val="1"/>
      <w:caps w:val="1"/>
      <w:spacing w:val="10"/>
      <w:sz w:val="18"/>
      <w:szCs w:val="18"/>
    </w:rPr>
  </w:style>
  <w:style w:type="paragraph" w:styleId="Caption">
    <w:name w:val="caption"/>
    <w:basedOn w:val="Normal"/>
    <w:next w:val="Normal"/>
    <w:uiPriority w:val="35"/>
    <w:unhideWhenUsed w:val="1"/>
    <w:qFormat w:val="1"/>
    <w:rsid w:val="00C9493C"/>
    <w:rPr>
      <w:b w:val="1"/>
      <w:bCs w:val="1"/>
      <w:color w:val="0f4761" w:themeColor="accent1" w:themeShade="0000BF"/>
      <w:sz w:val="16"/>
      <w:szCs w:val="16"/>
    </w:rPr>
  </w:style>
  <w:style w:type="character" w:styleId="TitleChar" w:customStyle="1">
    <w:name w:val="Title Char"/>
    <w:basedOn w:val="DefaultParagraphFont"/>
    <w:link w:val="Title"/>
    <w:uiPriority w:val="10"/>
    <w:rsid w:val="00C9493C"/>
    <w:rPr>
      <w:rFonts w:asciiTheme="majorHAnsi" w:cstheme="majorBidi" w:eastAsiaTheme="majorEastAsia" w:hAnsiTheme="majorHAnsi"/>
      <w:caps w:val="1"/>
      <w:color w:val="156082" w:themeColor="accent1"/>
      <w:spacing w:val="10"/>
      <w:sz w:val="52"/>
      <w:szCs w:val="52"/>
    </w:rPr>
  </w:style>
  <w:style w:type="character" w:styleId="SubtitleChar" w:customStyle="1">
    <w:name w:val="Subtitle Char"/>
    <w:basedOn w:val="DefaultParagraphFont"/>
    <w:link w:val="Subtitle"/>
    <w:uiPriority w:val="11"/>
    <w:rsid w:val="00C9493C"/>
    <w:rPr>
      <w:caps w:val="1"/>
      <w:color w:val="595959" w:themeColor="text1" w:themeTint="0000A6"/>
      <w:spacing w:val="10"/>
      <w:sz w:val="21"/>
      <w:szCs w:val="21"/>
    </w:rPr>
  </w:style>
  <w:style w:type="character" w:styleId="Strong">
    <w:name w:val="Strong"/>
    <w:uiPriority w:val="22"/>
    <w:qFormat w:val="1"/>
    <w:rsid w:val="00C9493C"/>
    <w:rPr>
      <w:b w:val="1"/>
      <w:bCs w:val="1"/>
    </w:rPr>
  </w:style>
  <w:style w:type="character" w:styleId="Emphasis">
    <w:name w:val="Emphasis"/>
    <w:uiPriority w:val="20"/>
    <w:qFormat w:val="1"/>
    <w:rsid w:val="00C9493C"/>
    <w:rPr>
      <w:caps w:val="1"/>
      <w:color w:val="0a2f40" w:themeColor="accent1" w:themeShade="00007F"/>
      <w:spacing w:val="5"/>
    </w:rPr>
  </w:style>
  <w:style w:type="paragraph" w:styleId="NoSpacing">
    <w:name w:val="No Spacing"/>
    <w:uiPriority w:val="1"/>
    <w:qFormat w:val="1"/>
    <w:rsid w:val="00C9493C"/>
    <w:pPr>
      <w:spacing w:after="0" w:line="240" w:lineRule="auto"/>
    </w:pPr>
  </w:style>
  <w:style w:type="paragraph" w:styleId="Quote">
    <w:name w:val="Quote"/>
    <w:basedOn w:val="Normal"/>
    <w:next w:val="Normal"/>
    <w:link w:val="QuoteChar"/>
    <w:uiPriority w:val="29"/>
    <w:qFormat w:val="1"/>
    <w:rsid w:val="00C9493C"/>
    <w:rPr>
      <w:i w:val="1"/>
      <w:iCs w:val="1"/>
      <w:sz w:val="24"/>
      <w:szCs w:val="24"/>
    </w:rPr>
  </w:style>
  <w:style w:type="character" w:styleId="QuoteChar" w:customStyle="1">
    <w:name w:val="Quote Char"/>
    <w:basedOn w:val="DefaultParagraphFont"/>
    <w:link w:val="Quote"/>
    <w:uiPriority w:val="29"/>
    <w:rsid w:val="00C9493C"/>
    <w:rPr>
      <w:i w:val="1"/>
      <w:iCs w:val="1"/>
      <w:sz w:val="24"/>
      <w:szCs w:val="24"/>
    </w:rPr>
  </w:style>
  <w:style w:type="paragraph" w:styleId="IntenseQuote">
    <w:name w:val="Intense Quote"/>
    <w:basedOn w:val="Normal"/>
    <w:next w:val="Normal"/>
    <w:link w:val="IntenseQuoteChar"/>
    <w:uiPriority w:val="30"/>
    <w:qFormat w:val="1"/>
    <w:rsid w:val="00C9493C"/>
    <w:pPr>
      <w:spacing w:after="240" w:before="240" w:line="240" w:lineRule="auto"/>
      <w:ind w:left="1080" w:right="1080"/>
      <w:jc w:val="center"/>
    </w:pPr>
    <w:rPr>
      <w:color w:val="156082" w:themeColor="accent1"/>
      <w:sz w:val="24"/>
      <w:szCs w:val="24"/>
    </w:rPr>
  </w:style>
  <w:style w:type="character" w:styleId="IntenseQuoteChar" w:customStyle="1">
    <w:name w:val="Intense Quote Char"/>
    <w:basedOn w:val="DefaultParagraphFont"/>
    <w:link w:val="IntenseQuote"/>
    <w:uiPriority w:val="30"/>
    <w:rsid w:val="00C9493C"/>
    <w:rPr>
      <w:color w:val="156082" w:themeColor="accent1"/>
      <w:sz w:val="24"/>
      <w:szCs w:val="24"/>
    </w:rPr>
  </w:style>
  <w:style w:type="character" w:styleId="SubtleEmphasis">
    <w:name w:val="Subtle Emphasis"/>
    <w:uiPriority w:val="19"/>
    <w:qFormat w:val="1"/>
    <w:rsid w:val="00C9493C"/>
    <w:rPr>
      <w:i w:val="1"/>
      <w:iCs w:val="1"/>
      <w:color w:val="0a2f40" w:themeColor="accent1" w:themeShade="00007F"/>
    </w:rPr>
  </w:style>
  <w:style w:type="character" w:styleId="IntenseEmphasis">
    <w:name w:val="Intense Emphasis"/>
    <w:uiPriority w:val="21"/>
    <w:qFormat w:val="1"/>
    <w:rsid w:val="00C9493C"/>
    <w:rPr>
      <w:b w:val="1"/>
      <w:bCs w:val="1"/>
      <w:caps w:val="1"/>
      <w:color w:val="0a2f40" w:themeColor="accent1" w:themeShade="00007F"/>
      <w:spacing w:val="10"/>
    </w:rPr>
  </w:style>
  <w:style w:type="character" w:styleId="SubtleReference">
    <w:name w:val="Subtle Reference"/>
    <w:uiPriority w:val="31"/>
    <w:qFormat w:val="1"/>
    <w:rsid w:val="00C9493C"/>
    <w:rPr>
      <w:b w:val="1"/>
      <w:bCs w:val="1"/>
      <w:color w:val="156082" w:themeColor="accent1"/>
    </w:rPr>
  </w:style>
  <w:style w:type="character" w:styleId="IntenseReference">
    <w:name w:val="Intense Reference"/>
    <w:uiPriority w:val="32"/>
    <w:qFormat w:val="1"/>
    <w:rsid w:val="00C9493C"/>
    <w:rPr>
      <w:b w:val="1"/>
      <w:bCs w:val="1"/>
      <w:i w:val="1"/>
      <w:iCs w:val="1"/>
      <w:caps w:val="1"/>
      <w:color w:val="156082" w:themeColor="accent1"/>
    </w:rPr>
  </w:style>
  <w:style w:type="character" w:styleId="BookTitle">
    <w:name w:val="Book Title"/>
    <w:uiPriority w:val="33"/>
    <w:qFormat w:val="1"/>
    <w:rsid w:val="00C9493C"/>
    <w:rPr>
      <w:b w:val="1"/>
      <w:bCs w:val="1"/>
      <w:i w:val="1"/>
      <w:iCs w:val="1"/>
      <w:spacing w:val="0"/>
    </w:rPr>
  </w:style>
  <w:style w:type="paragraph" w:styleId="TOCHeading">
    <w:name w:val="TOC Heading"/>
    <w:basedOn w:val="Heading1"/>
    <w:next w:val="Normal"/>
    <w:uiPriority w:val="39"/>
    <w:semiHidden w:val="1"/>
    <w:unhideWhenUsed w:val="1"/>
    <w:qFormat w:val="1"/>
    <w:rsid w:val="00C9493C"/>
    <w:pPr>
      <w:outlineLvl w:val="9"/>
    </w:pPr>
  </w:style>
  <w:style w:type="table" w:styleId="TableGrid">
    <w:name w:val="Table Grid"/>
    <w:basedOn w:val="TableNormal"/>
    <w:uiPriority w:val="39"/>
    <w:rsid w:val="00C9493C"/>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95713"/>
    <w:rPr>
      <w:color w:val="467886" w:themeColor="hyperlink"/>
      <w:u w:val="single"/>
    </w:rPr>
  </w:style>
  <w:style w:type="character" w:styleId="UnresolvedMention">
    <w:name w:val="Unresolved Mention"/>
    <w:basedOn w:val="DefaultParagraphFont"/>
    <w:uiPriority w:val="99"/>
    <w:semiHidden w:val="1"/>
    <w:unhideWhenUsed w:val="1"/>
    <w:rsid w:val="00795713"/>
    <w:rPr>
      <w:color w:val="605e5c"/>
      <w:shd w:color="auto" w:fill="e1dfdd" w:val="clear"/>
    </w:rPr>
  </w:style>
  <w:style w:type="character" w:styleId="FollowedHyperlink">
    <w:name w:val="FollowedHyperlink"/>
    <w:basedOn w:val="DefaultParagraphFont"/>
    <w:uiPriority w:val="99"/>
    <w:semiHidden w:val="1"/>
    <w:unhideWhenUsed w:val="1"/>
    <w:rsid w:val="00795713"/>
    <w:rPr>
      <w:color w:val="96607d" w:themeColor="followedHyperlink"/>
      <w:u w:val="single"/>
    </w:rPr>
  </w:style>
  <w:style w:type="paragraph" w:styleId="Header">
    <w:name w:val="header"/>
    <w:basedOn w:val="Normal"/>
    <w:link w:val="HeaderChar"/>
    <w:uiPriority w:val="99"/>
    <w:unhideWhenUsed w:val="1"/>
    <w:rsid w:val="00D81903"/>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D81903"/>
  </w:style>
  <w:style w:type="paragraph" w:styleId="Footer">
    <w:name w:val="footer"/>
    <w:basedOn w:val="Normal"/>
    <w:link w:val="FooterChar"/>
    <w:uiPriority w:val="99"/>
    <w:unhideWhenUsed w:val="1"/>
    <w:rsid w:val="00D81903"/>
    <w:pPr>
      <w:tabs>
        <w:tab w:val="center" w:pos="4513"/>
        <w:tab w:val="right" w:pos="9026"/>
      </w:tabs>
      <w:spacing w:after="0" w:before="0" w:line="240" w:lineRule="auto"/>
    </w:pPr>
  </w:style>
  <w:style w:type="character" w:styleId="FooterChar" w:customStyle="1">
    <w:name w:val="Footer Char"/>
    <w:basedOn w:val="DefaultParagraphFont"/>
    <w:link w:val="Footer"/>
    <w:uiPriority w:val="99"/>
    <w:rsid w:val="00D81903"/>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oaic.gov.au/privacy/australian-privacy-principles/australian-privacy-principles-guidelines/chapter-11-app-11-security-of-personal-information" TargetMode="External"/><Relationship Id="rId14" Type="http://schemas.openxmlformats.org/officeDocument/2006/relationships/hyperlink" Target="https://owasp.org/API-Security/editions/2023/en/0x11-t10/" TargetMode="External"/><Relationship Id="rId17" Type="http://schemas.openxmlformats.org/officeDocument/2006/relationships/footer" Target="footer1.xml"/><Relationship Id="rId16" Type="http://schemas.openxmlformats.org/officeDocument/2006/relationships/hyperlink" Target="https://www.cyber.gov.au/business-government/asds-cyber-security-frameworks/essential-eight/essential-eight-maturity-mode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oMmHYfildOV3Ut0CBlnHAWxCA==">CgMxLjA4AHIhMTJPM21PRzNDNW01VzRWVW5ucTlWOEIxdldSRVV2TUZf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2026-09-17T10:18:00Z</dcterms:created>
  <dc:creator>Raj Tandel</dc:creator>
</cp:coreProperties>
</file>