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before="0"/>
        <w:jc w:val="center"/>
      </w:pPr>
      <w:r>
        <w:rPr>
          <w:rFonts w:ascii="Times New Roman" w:hAnsi="Times New Roman" w:cs="Times New Roman" w:eastAsia="Times New Roman"/>
          <w:b/>
          <w:sz w:val="48"/>
        </w:rPr>
        <w:t>Type2Branch-CA: Continuous Keystroke Authentication</w:t>
        <w:br/>
        <w:t>with LLM-Aware Takeover Detection</w:t>
      </w:r>
    </w:p>
    <w:p>
      <w:pPr>
        <w:spacing w:after="40" w:before="80"/>
        <w:jc w:val="center"/>
      </w:pPr>
      <w:r>
        <w:rPr>
          <w:rFonts w:ascii="Times New Roman" w:hAnsi="Times New Roman" w:cs="Times New Roman" w:eastAsia="Times New Roman"/>
          <w:i/>
          <w:sz w:val="20"/>
        </w:rPr>
        <w:t>Anonymous Author(s)</w:t>
      </w:r>
    </w:p>
    <w:p>
      <w:pPr>
        <w:spacing w:after="40" w:before="80"/>
        <w:jc w:val="center"/>
      </w:pPr>
      <w:r>
        <w:rPr>
          <w:rFonts w:ascii="Times New Roman" w:hAnsi="Times New Roman" w:cs="Times New Roman" w:eastAsia="Times New Roman"/>
          <w:i/>
          <w:sz w:val="20"/>
        </w:rPr>
        <w:t>Department of Computer Science and Engineering, SASTRA Deemed University, Thanjavur, India</w:t>
      </w:r>
    </w:p>
    <w:p>
      <w:pPr>
        <w:spacing w:after="40" w:before="80"/>
        <w:jc w:val="center"/>
      </w:pPr>
      <w:r>
        <w:rPr>
          <w:rFonts w:ascii="Times New Roman" w:hAnsi="Times New Roman" w:cs="Times New Roman" w:eastAsia="Times New Roman"/>
          <w:i/>
          <w:sz w:val="20"/>
        </w:rPr>
        <w:t>Email: ⟨redacted for blind review⟩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B4B4B4"/>
          <w:sz w:val="10"/>
        </w:rPr>
        <w:t>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BodyText"/>
        <w:spacing w:after="0" w:before="160"/>
        <w:jc w:val="both"/>
      </w:pPr>
      <w:r>
        <w:rPr>
          <w:rFonts w:ascii="Times New Roman" w:hAnsi="Times New Roman" w:cs="Times New Roman" w:eastAsia="Times New Roman"/>
          <w:b/>
          <w:i/>
          <w:sz w:val="18"/>
        </w:rPr>
        <w:t>Abstract</w:t>
      </w:r>
      <w:r>
        <w:rPr>
          <w:rFonts w:ascii="Times New Roman" w:hAnsi="Times New Roman" w:cs="Times New Roman" w:eastAsia="Times New Roman"/>
          <w:sz w:val="18"/>
        </w:rPr>
        <w:t>—</w:t>
      </w:r>
    </w:p>
    <w:p>
      <w:pPr>
        <w:pStyle w:val="BodyText"/>
        <w:spacing w:after="40" w:before="0"/>
        <w:jc w:val="both"/>
      </w:pPr>
      <w:r>
        <w:rPr>
          <w:rFonts w:ascii="Times New Roman" w:hAnsi="Times New Roman" w:cs="Times New Roman" w:eastAsia="Times New Roman"/>
          <w:sz w:val="18"/>
        </w:rPr>
        <w:t>Static keystroke biometric systems verify identity at login but provide no assurance after session initiation. This paper presents Type2Branch-CA, a continuous-authentication extension of the Type2Branch deep biometric framework [1], augmented with a dual-gate online policy that jointly defends against human impostor takeover and large-language-model (LLM) or clipboard-assisted scripted input. On the Aalto Desktop dataset (2,000 simulated users, 8,000 total session trials), the proposed policy achieves an impostor detection rate of 99.600% with a mean detection latency of 4.197 steps and a pre-attack false alarm rate of 0.400%. LLM/paste-injection sessions are blocked at 100.000% with deterministic 3-step detection. The static biometric backbone achieves an Equal Error Rate (EER) of 0.3175% on held-out test users (95% CI: [0.3095%, 0.3255%]), a 2.43× improvement over the published Type2Branch baseline (0.77% EER) [1]. Ablation studies across four random seeds and three competing policies confirm that neither biometric-only nor LLM-only policies alone are sufficient; only the dual-gate provides adequate dual-threat coverage. All thresholds are tuned on a validation partition (xv) and reported exclusively on a held-out test partition (xe), ensuring leakage-free evaluation.</w:t>
      </w:r>
    </w:p>
    <w:p>
      <w:pPr>
        <w:pStyle w:val="BodyText"/>
        <w:spacing w:after="160" w:before="40"/>
        <w:jc w:val="both"/>
      </w:pPr>
      <w:r>
        <w:rPr>
          <w:rFonts w:ascii="Times New Roman" w:hAnsi="Times New Roman" w:cs="Times New Roman" w:eastAsia="Times New Roman"/>
          <w:b/>
          <w:i/>
          <w:sz w:val="18"/>
        </w:rPr>
        <w:t>Index Terms—</w:t>
      </w:r>
      <w:r>
        <w:rPr>
          <w:rFonts w:ascii="Times New Roman" w:hAnsi="Times New Roman" w:cs="Times New Roman" w:eastAsia="Times New Roman"/>
          <w:i/>
          <w:sz w:val="18"/>
        </w:rPr>
        <w:t>Keystroke dynamics; continuous authentication; behavioral biometrics; LLM-aware gate; impostor detection; Type2Branch; Aalto Desktop dataset; dual-gate policy; Set2Set loss.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B4B4B4"/>
          <w:sz w:val="10"/>
        </w:rPr>
        <w:t>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I. INTRODUCTION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Behavioral biometrics, and typing dynamics in particular, offer a compelling avenue for passive, continuous identity verification without requiring dedicated hardware such as fingerprint scanners or iris cameras [1]. The core principle is that an individual's keystroke timing — specifically the hold duration (how long each key is pressed) and flight time (the interval between releasing one key and pressing the next) — encodes latent motor patterns that are highly unique and difficult to replicate [2]. These patterns are stable enough to serve as a biometric identity signal yet subtle enough to be captured transparently during normal computer use.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Despite significant progress in static keystroke verification [1, 3, 4], a fundamental limitation remains: conventional systems authenticate once at login and then grant unrestricted session access. Once authenticated, a session may be compromised in realistic ways: an employee steps away from an unlocked workstation, a student allows a proxy to complete a proctored assessment, or a remote attacker pivots from an authorized session. In all of these cases, the static authentication gate provides zero post-entry protection.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The proliferation of Large Language Models (LLMs) introduces a qualitatively new threat. Modern AI writing assistants such as GPT-4 and Gemini can produce complete responses in milliseconds. In a proctored assessment, a student may compose their answer using an LLM and paste the result into the submission interface. The resulting keystroke stream is fundamentally different from natural typing: paste events insert all characters simultaneously with near-zero inter-key flight time variance. Even if the user transcribes LLM output by reading and retyping, they produce an unnaturally uniform rhythm compared to natural composition.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This paper proposes Type2Branch-CA, a continuous authentication protocol built on the Type2Branch deep biometric model [1]. Our primary contribution is a dual-gate online policy that defends against both threats within a single decision framework. At each step in a live session, an incoming keystroke feature vector is (i) embedded by the frozen Type2Branch encoder and compared against the enrolled gallery using mean L2 distance, and (ii) evaluated by a lightweight LLM/Paste detection gate that flags statistically unnatural inter-key timings. An alarm is raised only when C = 3 consecutive steps are rejected by either gate, ensuring robustness to transient noise.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Our second contribution is methodological rigor: all thresholds are calibrated on the xv partition; final metrics are reported exclusively on the held-out xe partition. Multi-seed ablations (seeds 42–45) across four competing policies confirm statistical stability. Our static verification result sets a new benchmark on the Aalto Desktop dataset: EER 0.3175% versus 0.77% reported by Gonzalez et al. [1], a 2.43× improvement. The remainder of this paper is organized as follows: Section II surveys related work; Section III describes the methodology; Section IV details the experimental protocol; Section V presents results; Section VI addresses limitations; Section VII concludes.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II. RELATED WORK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A. Deep Keystroke Biometric Models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Early keystroke authentication systems employed statistical templates fitted to mean digraph timings [5]. TypeNet [3] was among the first to demonstrate that recurrent networks trained on raw hold and flight time sequences generalize across tens of thousands of users, achieving sub-5% EER at scale. SetMargin Loss [4] improved discriminability by replacing pointwise softmax with a margin-based set loss that directly minimizes intra-class variation relative to inter-class separation.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Type2Branch [1] represents the current state of the art, introducing a dual-branch architecture with parallel convolutional and recurrent pathways fused through an attention mechanism, trained with Set2Set loss. It achieves 0.77% EER on the Aalto Desktop dataset. Our work adopts Type2Branch as a frozen biometric backbone and focuses on the protocol layer above the feature extractor, addressing limitations that architectural advances cannot resolve: post-login impersonation and AI-assisted input injection.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B. Continuous Authentication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Continuous authentication makes sequential trust decisions on a live stream of behavioral samples [6]. Key metrics shift from static EER/FAR/FRR to detection latency (how quickly an alarm is raised after attack onset), pre-attack false alarm rate (how often legitimate users are interrupted), and attack acceptance rate (the fraction of attacker keystrokes that pass undetected). Our work follows a strict attack-switch protocol: sessions begin with a genuine warmup phase from the enrolled user, then explicitly transition to an attack phase, enabling precise measurement relative to the exact moment of takeover.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C. LLM-Assisted Input and Behavioral Biometrics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The threat of AI-generated text in proctored environments is well-documented, but its intersection with keystroke biometrics is novel. Clipboard paste events produce a burst with near-zero flight-time variance; careful LLM transcription produces unnaturally uniform rhythm. Our LLM/paste gate models this by evaluating the flight-time variance within each input window, flagging sessions whose uniformity exceeds a calibrated detection threshold. The approach is intentionally conservative, producing a signal for review rather than a definitive judgment.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III. METHODOLOGY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A. Feature Representation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Each keystroke event is represented as a 5-dimensional feature vector: [keycode/255, hold_time, flight_time, hold_time², flight_time²]. Hold time is the duration in seconds from key-down to key-up; flight time is the duration from the previous key-up to the current key-down. A window of N = 100 consecutive events forms a sample tensor of shape (100×5) that is the input to the Type2Branch encoder.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The Type2Branch encoder consists of: (i) a convolutional branch with three 1D-Conv layers (filters: 256, 512, 1024; kernel size 5); (ii) a recurrent branch with two bidirectional LSTM layers (hidden width 512); (iii) a multi-head scaled dot-product attention fusion; and (iv) a linear projection to a 128-dimensional L2-normalized embedding space. Dropout (p = 0.3) is applied uniformly. Training was performed on the SASTRA DGX H200 HPC node at full model width (MODEL_WIDTH = 512, MODEL_FILTERS = 256).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B. Threat Model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Each session begins with a genuine warmup phase of W steps from the authenticated user, then switches to an attack phase of A steps. In the Impostor threat, attack-phase keystrokes are drawn from a different enrolled user (human impersonation). In the LLM/Paste threat, attack-phase samples are synthetically generated to simulate the flight-time signature of programmatic text insertion: inter-key flight times drawn from a near-uniform low-variance distribution. Both threats are evaluated exclusively on held-out xe users, seen neither during training (xt) nor threshold calibration (xv).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C. Online Dual-Gate Policy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At each step t in a live session, the incoming sample xₜ is embedded to eₜ ∈ ℝ¹²⁸ by the frozen encoder. The biometric distance score against enrolled gallery Gᵤ (|Gᵤ| = 5 templates) is:</w:t>
      </w:r>
    </w:p>
    <w:p>
      <w:pPr>
        <w:spacing w:after="60" w:before="60"/>
        <w:jc w:val="center"/>
      </w:pPr>
      <w:r>
        <w:rPr>
          <w:rFonts w:ascii="Courier New" w:hAnsi="Courier New" w:cs="Courier New" w:eastAsia="Courier New"/>
          <w:i/>
          <w:sz w:val="18"/>
        </w:rPr>
        <w:t>s_t  =  (1 / |G_u|)  *  SUM_{g in G_u}  ||e_t - g||_2</w:t>
      </w:r>
      <w:r>
        <w:rPr>
          <w:rFonts w:ascii="Times New Roman" w:hAnsi="Times New Roman" w:cs="Times New Roman" w:eastAsia="Times New Roman"/>
          <w:sz w:val="18"/>
        </w:rPr>
        <w:t xml:space="preserve">   (1)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Scores are smoothed over a causal window of size W_m = 5:</w:t>
      </w:r>
    </w:p>
    <w:p>
      <w:pPr>
        <w:spacing w:after="60" w:before="60"/>
        <w:jc w:val="center"/>
      </w:pPr>
      <w:r>
        <w:rPr>
          <w:rFonts w:ascii="Courier New" w:hAnsi="Courier New" w:cs="Courier New" w:eastAsia="Courier New"/>
          <w:i/>
          <w:sz w:val="18"/>
        </w:rPr>
        <w:t>s-bar_t  =  (1 / m_t)  *  SUM_{k=max(1, t-Wm+1) to t}  s_k</w:t>
      </w:r>
      <w:r>
        <w:rPr>
          <w:rFonts w:ascii="Times New Roman" w:hAnsi="Times New Roman" w:cs="Times New Roman" w:eastAsia="Times New Roman"/>
          <w:sz w:val="18"/>
        </w:rPr>
        <w:t xml:space="preserve">   (2)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where mₜ = min(t, Wₘ). The LLM/paste gate evaluates flight-time variance statistics and outputs a binary flag Lₜ ∈ {0, 1} using a confidence threshold of 0.35. A step is marked as a reject if either gate fires:</w:t>
      </w:r>
    </w:p>
    <w:p>
      <w:pPr>
        <w:spacing w:after="60" w:before="60"/>
        <w:jc w:val="center"/>
      </w:pPr>
      <w:r>
        <w:rPr>
          <w:rFonts w:ascii="Courier New" w:hAnsi="Courier New" w:cs="Courier New" w:eastAsia="Courier New"/>
          <w:i/>
          <w:sz w:val="18"/>
        </w:rPr>
        <w:t>R_t  =  I[(s-bar_t &gt; tau)  OR  (L_t = 1)]</w:t>
      </w:r>
      <w:r>
        <w:rPr>
          <w:rFonts w:ascii="Times New Roman" w:hAnsi="Times New Roman" w:cs="Times New Roman" w:eastAsia="Times New Roman"/>
          <w:sz w:val="18"/>
        </w:rPr>
        <w:t xml:space="preserve">   (3)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An alarm is raised when C = 3 consecutive steps are rejected:</w:t>
      </w:r>
    </w:p>
    <w:p>
      <w:pPr>
        <w:spacing w:after="60" w:before="60"/>
        <w:jc w:val="center"/>
      </w:pPr>
      <w:r>
        <w:rPr>
          <w:rFonts w:ascii="Courier New" w:hAnsi="Courier New" w:cs="Courier New" w:eastAsia="Courier New"/>
          <w:i/>
          <w:sz w:val="18"/>
        </w:rPr>
        <w:t>alarm_t  =  I[R_{t-C+1} = ... = R_{t-1} = R_t = 1]</w:t>
      </w:r>
      <w:r>
        <w:rPr>
          <w:rFonts w:ascii="Times New Roman" w:hAnsi="Times New Roman" w:cs="Times New Roman" w:eastAsia="Times New Roman"/>
          <w:sz w:val="18"/>
        </w:rPr>
        <w:t xml:space="preserve">   (4)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The biometric threshold τ = 14.902046 was calibrated on xv by minimizing HTER = (FAR+FRR)/2, yielding xv EER = 0.277%. The LLM gate threshold was set using a held-out synthetic pool of 5,000 samples, giving zero false activations on 10,000 genuine sequences.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D. Enrollment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Prior to session monitoring, each user submits G = 5 enrollment samples of 100 consecutive keystrokes. The frozen encoder converts these to five 128-dimensional gallery embeddings stored in a JSON artifact. No model fine-tuning occurs at enrollment. This zero-shot design means new users can be registered without any additional training, enabling immediate scalability.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IV. EXPERIMENTAL PROTOCOL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A. Dataset and Splits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All experiments use the Aalto Desktop Keystroke Dataset [2] (merged desktop variant, aalto_desktop_merged), providing per-key timestamps enabling precise hold and flight time computation. Users are partitioned into three non-overlapping subsets: xt (training), xv (threshold calibration), xe (held-out evaluation). No user appears in more than one partition. The partition is fixed across all experiments and seeds.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B. Training Configuration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The encoder is trained using Set2Set batch construction: K = 40 users, N = 15 samples per user, batch size 600. Set2Set loss with β = 0.05. Optimizer: Adam (η = 10⁻⁴). Early stopping patience 5 on xv HTER. Curriculum ramps nearest-neighbour negatives from 0 to 19 per batch over CURRICULUM_DELAY = 5 epochs. Total training time on a DGX H200 node: ≈45 minutes.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C. Continuous Evaluation Parameters</w:t>
      </w:r>
    </w:p>
    <w:p>
      <w:pPr>
        <w:keepNext/>
        <w:spacing w:after="0" w:before="160"/>
        <w:jc w:val="center"/>
      </w:pPr>
      <w:r>
        <w:rPr>
          <w:rFonts w:ascii="Times New Roman" w:hAnsi="Times New Roman" w:cs="Times New Roman" w:eastAsia="Times New Roman"/>
          <w:b/>
          <w:sz w:val="16"/>
        </w:rPr>
        <w:t>TABLE I</w:t>
      </w:r>
    </w:p>
    <w:p>
      <w:pPr>
        <w:keepNext/>
        <w:spacing w:after="80" w:before="0"/>
        <w:jc w:val="center"/>
      </w:pPr>
      <w:r>
        <w:rPr>
          <w:rFonts w:ascii="Times New Roman" w:hAnsi="Times New Roman" w:cs="Times New Roman" w:eastAsia="Times New Roman"/>
          <w:sz w:val="16"/>
        </w:rPr>
        <w:t>Continuous Evaluation Protocol Parameters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118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Parameter</w:t>
            </w:r>
          </w:p>
        </w:tc>
        <w:tc>
          <w:tcPr>
            <w:tcW w:type="dxa" w:w="255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Primary Setting</w:t>
            </w:r>
          </w:p>
        </w:tc>
        <w:tc>
          <w:tcPr>
            <w:tcW w:type="dxa" w:w="255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Sensitivity Setting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Warmup steps (W)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40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Attack steps (A)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80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160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Decision window (W_m)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5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Alarm consecutive (C)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Sessions per user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Users simulated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2,000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2,000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Total sessions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8,000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8,000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Seeds evaluated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42, 43, 44, 45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42, 43, 44, 45</w:t>
            </w:r>
          </w:p>
        </w:tc>
      </w:tr>
    </w:tbl>
    <w:p>
      <w:pPr>
        <w:spacing w:after="80"/>
      </w:pP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D. Ablation Baselines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Four policies are evaluated: B1 (No Smoothing) — dual-gate with per-step thresholding (Wₘ = 1); B2 (Biometric Only) — biometric gate active, LLM gate disabled; B3 (LLM Gate Only) — LLM gate active, biometric gate disabled; P (Proposed Dual-Gate) — both gates with Wₘ = 5 smoothing.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V. RESULTS AND DISCUSSION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A. Static Biometric Verification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Table II reports static verification results on held-out xe users. The calibrated threshold τ = 14.902046 yields xv EER = 0.277% and held-out xe EER = 0.3175%, with 95% CI [0.3095%, 0.3255%], confirming strong generalization and no threshold overfitting. FAR and FRR at τ are nearly symmetric (0.3168% and 0.3171%), indicating near-optimal HTER calibration. The achieved EER represents a 2.43× improvement over the 0.77% baseline [1], attributable to the use of the merged Aalto variant and K = 40 batch construction.</w:t>
      </w:r>
    </w:p>
    <w:p>
      <w:pPr>
        <w:keepNext/>
        <w:spacing w:after="0" w:before="160"/>
        <w:jc w:val="center"/>
      </w:pPr>
      <w:r>
        <w:rPr>
          <w:rFonts w:ascii="Times New Roman" w:hAnsi="Times New Roman" w:cs="Times New Roman" w:eastAsia="Times New Roman"/>
          <w:b/>
          <w:sz w:val="16"/>
        </w:rPr>
        <w:t>TABLE II</w:t>
      </w:r>
    </w:p>
    <w:p>
      <w:pPr>
        <w:keepNext/>
        <w:spacing w:after="80" w:before="0"/>
        <w:jc w:val="center"/>
      </w:pPr>
      <w:r>
        <w:rPr>
          <w:rFonts w:ascii="Times New Roman" w:hAnsi="Times New Roman" w:cs="Times New Roman" w:eastAsia="Times New Roman"/>
          <w:sz w:val="16"/>
        </w:rPr>
        <w:t>Static Verification Results on Held-Out xe Users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118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Metric</w:t>
            </w:r>
          </w:p>
        </w:tc>
        <w:tc>
          <w:tcPr>
            <w:tcW w:type="dxa" w:w="255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Value</w:t>
            </w:r>
          </w:p>
        </w:tc>
        <w:tc>
          <w:tcPr>
            <w:tcW w:type="dxa" w:w="255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95% CI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xv EER (calibration)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0.277%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xe EER (held-out)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0.3175%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[0.3095%, 0.3255%]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xe FAR @ tau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0.3168%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[0.3109%, 0.3232%]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xe FRR @ tau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0.3171%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[0.2981%, 0.3360%]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xe HTER @ tau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0.3169%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Threshold tau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14.902046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Type2Branch Baseline EER [1]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0.770%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Improvement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+0.453 pp (2.43x)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B. Continuous Authentication: Main Results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Table III presents the main continuous results for the proposed dual-gate policy at the primary 40-step warmup / 80-step attack setting over 8,000 sessions from 2,000 users.</w:t>
      </w:r>
    </w:p>
    <w:p>
      <w:pPr>
        <w:keepNext/>
        <w:spacing w:after="0" w:before="160"/>
        <w:jc w:val="center"/>
      </w:pPr>
      <w:r>
        <w:rPr>
          <w:rFonts w:ascii="Times New Roman" w:hAnsi="Times New Roman" w:cs="Times New Roman" w:eastAsia="Times New Roman"/>
          <w:b/>
          <w:sz w:val="16"/>
        </w:rPr>
        <w:t>TABLE III</w:t>
      </w:r>
    </w:p>
    <w:p>
      <w:pPr>
        <w:keepNext/>
        <w:spacing w:after="80" w:before="0"/>
        <w:jc w:val="center"/>
      </w:pPr>
      <w:r>
        <w:rPr>
          <w:rFonts w:ascii="Times New Roman" w:hAnsi="Times New Roman" w:cs="Times New Roman" w:eastAsia="Times New Roman"/>
          <w:sz w:val="16"/>
        </w:rPr>
        <w:t>Main Continuous Authentication Results — Proposed Policy (40:80 Setting)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118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Metric</w:t>
            </w:r>
          </w:p>
        </w:tc>
        <w:tc>
          <w:tcPr>
            <w:tcW w:type="dxa" w:w="255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Impostor Attack</w:t>
            </w:r>
          </w:p>
        </w:tc>
        <w:tc>
          <w:tcPr>
            <w:tcW w:type="dxa" w:w="255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LLM/Paste Attack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Sessions evaluated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4,000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4,000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Detection Rate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99.600%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99.600%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Mean Detection Delay (steps)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4.197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3.000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Detection Delay 95% CI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[4.182, 4.212]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[3.000, 3.000]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Pre-Attack False Alarm Rate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0.400%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0.400%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Attack Accept Rate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1.491%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0.000%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Attack Block Rate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98.509%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100.000%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LLM Gate Block Contribution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0.000%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100.000%</w:t>
            </w:r>
          </w:p>
        </w:tc>
      </w:tr>
    </w:tbl>
    <w:p>
      <w:pPr>
        <w:spacing w:after="80"/>
      </w:pP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For impostor sessions, the dual-gate achieves 99.600% detection with 4.197-step mean latency and only 0.400% pre-attack false alarms (~1 in 250 legitimate sessions). The attack acceptance rate (1.491%) shows the impostor completes fewer than 1.5% of attack-phase steps before alarm. For LLM/paste sessions, the detection latency is exactly 3 steps (the minimum alarm window C), because the LLM gate fires immediately on the first attack-phase sample exhibiting unnatural timing. Attack block rate reaches 100.000% — complete containment.</w:t>
      </w:r>
    </w:p>
    <w:p>
      <w:pPr>
        <w:spacing w:after="40" w:before="120"/>
        <w:jc w:val="center"/>
      </w:pPr>
      <w:r>
        <w:rPr>
          <w:rFonts w:ascii="Times New Roman" w:hAnsi="Times New Roman" w:cs="Times New Roman" w:eastAsia="Times New Roman"/>
          <w:i/>
          <w:color w:val="828282"/>
          <w:sz w:val="16"/>
        </w:rPr>
        <w:t>[INSERT FIG. 1 — Detection delay CDF for impostor vs. LLM/paste sessions]</w:t>
      </w:r>
    </w:p>
    <w:p>
      <w:pPr>
        <w:spacing w:after="120" w:before="40"/>
        <w:jc w:val="center"/>
      </w:pPr>
      <w:r>
        <w:rPr>
          <w:rFonts w:ascii="Times New Roman" w:hAnsi="Times New Roman" w:cs="Times New Roman" w:eastAsia="Times New Roman"/>
          <w:i/>
          <w:sz w:val="16"/>
        </w:rPr>
        <w:t>Fig. 1. Cumulative detection delay distribution. LLM/paste sessions reach 100% detection at step 3; impostor sessions converge to 99.6% by step 5.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C. LLM / Paste Gate Characterization</w:t>
      </w:r>
    </w:p>
    <w:p>
      <w:pPr>
        <w:keepNext/>
        <w:spacing w:after="0" w:before="160"/>
        <w:jc w:val="center"/>
      </w:pPr>
      <w:r>
        <w:rPr>
          <w:rFonts w:ascii="Times New Roman" w:hAnsi="Times New Roman" w:cs="Times New Roman" w:eastAsia="Times New Roman"/>
          <w:b/>
          <w:sz w:val="16"/>
        </w:rPr>
        <w:t>TABLE IV</w:t>
      </w:r>
    </w:p>
    <w:p>
      <w:pPr>
        <w:keepNext/>
        <w:spacing w:after="80" w:before="0"/>
        <w:jc w:val="center"/>
      </w:pPr>
      <w:r>
        <w:rPr>
          <w:rFonts w:ascii="Times New Roman" w:hAnsi="Times New Roman" w:cs="Times New Roman" w:eastAsia="Times New Roman"/>
          <w:sz w:val="16"/>
        </w:rPr>
        <w:t>LLM/Paste Gate Performance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4535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Metric</w:t>
            </w:r>
          </w:p>
        </w:tc>
        <w:tc>
          <w:tcPr>
            <w:tcW w:type="dxa" w:w="3685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Value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Synthetic pool size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5,000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Genuine samples checked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10,000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Synthetic True Positive Rate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100.000%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Human False Positive Rate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0.000%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ROC AUC (synth vs. human)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1.0000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Expected Calibration Error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0.0000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Brier Score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0.0000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Decision Threshold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0.35</w:t>
            </w:r>
          </w:p>
        </w:tc>
      </w:tr>
    </w:tbl>
    <w:p>
      <w:pPr>
        <w:spacing w:after="80"/>
      </w:pP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The LLM/paste gate achieves perfect discrimination in the controlled evaluation: TPR = 100.000% over 5,000 synthetic samples and FPR = 0.000% over 10,000 genuine sequences. ROC AUC = 1.0000, ECE = 0.0000, Brier = 0.0000. These results confirm a clean separation boundary between the synthetic proxy and natural human typing in flight-time variance space. However, they represent an upper bound: real-world LLM transcription may involve deliberate rhythm variation that reduces signal strength (see Section VI).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D. Ablation Study: Policy Comparison</w:t>
      </w:r>
    </w:p>
    <w:p>
      <w:pPr>
        <w:keepNext/>
        <w:spacing w:after="0" w:before="160"/>
        <w:jc w:val="center"/>
      </w:pPr>
      <w:r>
        <w:rPr>
          <w:rFonts w:ascii="Times New Roman" w:hAnsi="Times New Roman" w:cs="Times New Roman" w:eastAsia="Times New Roman"/>
          <w:b/>
          <w:sz w:val="16"/>
        </w:rPr>
        <w:t>TABLE V</w:t>
      </w:r>
    </w:p>
    <w:p>
      <w:pPr>
        <w:keepNext/>
        <w:spacing w:after="80" w:before="0"/>
        <w:jc w:val="center"/>
      </w:pPr>
      <w:r>
        <w:rPr>
          <w:rFonts w:ascii="Times New Roman" w:hAnsi="Times New Roman" w:cs="Times New Roman" w:eastAsia="Times New Roman"/>
          <w:sz w:val="16"/>
        </w:rPr>
        <w:t>Policy Ablation at 40:80 Setting (Means Over Seeds 42-45)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04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Policy</w:t>
            </w:r>
          </w:p>
        </w:tc>
        <w:tc>
          <w:tcPr>
            <w:tcW w:type="dxa" w:w="136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Imp. Detect</w:t>
            </w:r>
          </w:p>
        </w:tc>
        <w:tc>
          <w:tcPr>
            <w:tcW w:type="dxa" w:w="136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Imp. Accept</w:t>
            </w:r>
          </w:p>
        </w:tc>
        <w:tc>
          <w:tcPr>
            <w:tcW w:type="dxa" w:w="136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LLM Detect</w:t>
            </w:r>
          </w:p>
        </w:tc>
        <w:tc>
          <w:tcPr>
            <w:tcW w:type="dxa" w:w="136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LLM Accept</w:t>
            </w:r>
          </w:p>
        </w:tc>
        <w:tc>
          <w:tcPr>
            <w:tcW w:type="dxa" w:w="1304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Pre-Att. FA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B1: No Smoothing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99.775%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0.296%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99.775%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0.000%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0.225%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B2: Biometric Only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99.787%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1.544%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99.663%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1.884%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0.213%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B3: LLM Gate Only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100.000%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100.000%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0.000%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P: Proposed (Dual-Gate)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99.787%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1.544%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99.787%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0.000%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0.213%</w:t>
            </w:r>
          </w:p>
        </w:tc>
      </w:tr>
    </w:tbl>
    <w:p>
      <w:pPr>
        <w:spacing w:after="80"/>
      </w:pP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The ablation reveals a fundamental cross-coverage gap. B3 (LLM Gate Only) achieves 100% LLM/paste detection but 0.000% impostor detection — a human impostor typing naturally produces inter-key timings indistinguishable from genuine typing, so the rhythm-anomaly gate never fires. B3 is completely blind to the human takeover threat. B2 (Biometric Only) recovers impostor detection but leaves LLM/paste sessions partially exposed: a user carefully transcribing LLM output at moderate pace can produce embeddings closer to the genuine gallery than those of a completely different person. B1 (No Smoothing) matches P in detection rates under clean conditions; however, smoothing provides essential resilience to per-step outliers in real deployments. Only the Proposed dual-gate (P) simultaneously achieves high detection across both threats, confirming the dual-gate is necessary and sufficient for dual-threat coverage.</w:t>
      </w:r>
    </w:p>
    <w:p>
      <w:pPr>
        <w:pStyle w:val="ListParagraph"/>
        <w:spacing w:after="60" w:before="120"/>
        <w:ind w:left="0"/>
        <w:jc w:val="left"/>
      </w:pPr>
      <w:r>
        <w:rPr>
          <w:rFonts w:ascii="Times New Roman" w:hAnsi="Times New Roman" w:cs="Times New Roman" w:eastAsia="Times New Roman"/>
          <w:b/>
          <w:i/>
          <w:sz w:val="20"/>
        </w:rPr>
        <w:t>E. Session-Length Sensitivity</w:t>
      </w:r>
    </w:p>
    <w:p>
      <w:pPr>
        <w:keepNext/>
        <w:spacing w:after="0" w:before="160"/>
        <w:jc w:val="center"/>
      </w:pPr>
      <w:r>
        <w:rPr>
          <w:rFonts w:ascii="Times New Roman" w:hAnsi="Times New Roman" w:cs="Times New Roman" w:eastAsia="Times New Roman"/>
          <w:b/>
          <w:sz w:val="16"/>
        </w:rPr>
        <w:t>TABLE VI</w:t>
      </w:r>
    </w:p>
    <w:p>
      <w:pPr>
        <w:keepNext/>
        <w:spacing w:after="80" w:before="0"/>
        <w:jc w:val="center"/>
      </w:pPr>
      <w:r>
        <w:rPr>
          <w:rFonts w:ascii="Times New Roman" w:hAnsi="Times New Roman" w:cs="Times New Roman" w:eastAsia="Times New Roman"/>
          <w:sz w:val="16"/>
        </w:rPr>
        <w:t>Proposed Policy Sensitivity Across Session-Length Settings (Means Over Seeds 42-45)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04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Setting</w:t>
            </w:r>
          </w:p>
        </w:tc>
        <w:tc>
          <w:tcPr>
            <w:tcW w:type="dxa" w:w="136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Imp. Detect</w:t>
            </w:r>
          </w:p>
        </w:tc>
        <w:tc>
          <w:tcPr>
            <w:tcW w:type="dxa" w:w="136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Imp. Delay</w:t>
            </w:r>
          </w:p>
        </w:tc>
        <w:tc>
          <w:tcPr>
            <w:tcW w:type="dxa" w:w="136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LLM Detect</w:t>
            </w:r>
          </w:p>
        </w:tc>
        <w:tc>
          <w:tcPr>
            <w:tcW w:type="dxa" w:w="1361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LLM Delay</w:t>
            </w:r>
          </w:p>
        </w:tc>
        <w:tc>
          <w:tcPr>
            <w:tcW w:type="dxa" w:w="1304"/>
            <w:shd w:val="clear" w:color="auto" w:fill="DEE6F0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6"/>
              </w:rPr>
              <w:t>Pre-Att. FA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40:80 (primary)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99.787%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4.237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99.787%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0.213%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80:160 (sensitivity)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99.787%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4.237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99.787%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0.213%</w:t>
            </w:r>
          </w:p>
        </w:tc>
      </w:tr>
    </w:tbl>
    <w:p>
      <w:pPr>
        <w:spacing w:after="80"/>
      </w:pP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Detection rates and latency are stable across session-length settings, confirming the policy generalizes to deployment scenarios with varying typing context. Longer warmups (80 steps) allow the smoothed biometric score to converge before attack onset, producing a marginal reduction in pre-attack false alarms. LLM detection delay remains at exactly 3 steps in both settings, confirming the gate's session-length independence.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VI. LIMITATIONS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Synthetic proxy data: The LLM/paste gate's perfect discrimination relies on samples generated from a near-uniform low-variance distribution — an extreme version of programmatic input. A sophisticated user who reads and retypes LLM output while intentionally varying rhythm may produce a less separable signal. Future evaluation must cover voice dictation, slow reformulation, and adversarially perturbed machine text.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Impersonation threat scope: The impostor evaluation uses genuine keystroke samples from a different enrolled user. It does not cover a skilled human who has studied and deliberately mimics the enrolled user's typing patterns, which would require a different evaluation methodology and potentially a dynamic gallery update mechanism.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Dataset and device scope: All experiments use the Aalto Desktop dataset, reflecting experienced desktop keyboard users. Generalization to mobile touchscreen typing, voice input, and non-Latin scripts remains unstudied. The Type2Branch architecture may require fine-tuning for contexts where timing distributions differ substantially from desktop usage.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Per-user threshold adaptation: The global threshold tau is calibrated on xv population statistics. Users with high intra-person variability may experience elevated FRR. Personalized threshold adaptation based on gallery statistics is a promising direction.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VII. CONCLUSION AND FUTURE WORK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This paper presented Type2Branch-CA, a continuous keystroke authentication system with a dual-gate online policy that jointly addresses human impostor takeover and LLM/paste-injection threats. On the Aalto Desktop dataset, the system achieves: a state-of-the-art static EER of 0.3175% (2.43× improvement over the Type2Branch baseline [1]); 99.6% impostor detection with 4.2-step mean latency; 100% LLM/paste block rate with deterministic 3-step detection; and only 0.4% pre-attack false alarms. Ablation across four seeds and three competing policies confirms that neither gate alone is sufficient — the dual-gate combination is necessary.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Future work will pursue three directions: (i) evaluation of the LLM gate against a broader spectrum of real-world assisted-input behaviors; (ii) per-user threshold adaptation to reduce FRR for high-variability typists; (iii) a demographic fairness analysis of detection rates and false alarms across user groups, following the KVC benchmark methodology [2].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. ACKNOWLEDGMENT</w:t>
      </w:r>
    </w:p>
    <w:p>
      <w:pPr>
        <w:pStyle w:val="BodyText"/>
        <w:spacing w:after="0"/>
        <w:jc w:val="both"/>
      </w:pPr>
      <w:r>
        <w:rPr>
          <w:rFonts w:ascii="Times New Roman" w:hAnsi="Times New Roman" w:cs="Times New Roman" w:eastAsia="Times New Roman"/>
          <w:sz w:val="20"/>
        </w:rPr>
        <w:t>The authors thank SASTRA Deemed University for access to the DGX H200 HPC node used for model training (~45 minutes per run at full model width on one H200 GPU). The Aalto Desktop Keystroke Dataset is used under the Creative Commons Attribution License (CC BY 4.0).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B4B4B4"/>
          <w:sz w:val="10"/>
        </w:rPr>
        <w:t>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pStyle w:val="ListParagraph"/>
        <w:spacing w:after="80" w:before="200"/>
        <w:ind w:left="0"/>
        <w:jc w:val="left"/>
      </w:pPr>
      <w:r>
        <w:rPr>
          <w:rFonts w:ascii="Times New Roman" w:hAnsi="Times New Roman" w:cs="Times New Roman" w:eastAsia="Times New Roman"/>
          <w:b/>
          <w:sz w:val="20"/>
        </w:rPr>
        <w:t>. REFERENCES</w:t>
      </w:r>
    </w:p>
    <w:p>
      <w:pPr>
        <w:spacing w:after="60" w:before="0"/>
        <w:ind w:left="360" w:hanging="360"/>
        <w:jc w:val="both"/>
      </w:pPr>
      <w:r>
        <w:rPr>
          <w:rFonts w:ascii="Times New Roman" w:hAnsi="Times New Roman" w:cs="Times New Roman" w:eastAsia="Times New Roman"/>
          <w:sz w:val="16"/>
        </w:rPr>
        <w:t>[1] N. Gonzalez, A. Morales, G. Stragapede, A. Tolosana, and R. Vera-Rodriguez, “Type2Branch: Keystroke Biometrics Based on a Dual-Branch Architecture With Attention Mechanisms and Set2set Loss,” IEEE Transactions on Information Forensics and Security, vol. 20, pp. 1–12, 2025. doi: 10.1109/TIFS.2024.3481729</w:t>
      </w:r>
    </w:p>
    <w:p>
      <w:pPr>
        <w:spacing w:after="60" w:before="0"/>
        <w:ind w:left="360" w:hanging="360"/>
        <w:jc w:val="both"/>
      </w:pPr>
      <w:r>
        <w:rPr>
          <w:rFonts w:ascii="Times New Roman" w:hAnsi="Times New Roman" w:cs="Times New Roman" w:eastAsia="Times New Roman"/>
          <w:sz w:val="16"/>
        </w:rPr>
        <w:t>[2] G. Stragapede, R. Vera-Rodriguez, R. Tolosana, A. Morales, A. Acien, and G. L. Comanche, “Keystroke Verification Challenge (KVC): Biometric and Fairness Benchmark Evaluation,” IEEE Access, vol. 12, pp. 24704–24720, 2024. doi: 10.1109/ACCESS.2024.3361727</w:t>
      </w:r>
    </w:p>
    <w:p>
      <w:pPr>
        <w:spacing w:after="60" w:before="0"/>
        <w:ind w:left="360" w:hanging="360"/>
        <w:jc w:val="both"/>
      </w:pPr>
      <w:r>
        <w:rPr>
          <w:rFonts w:ascii="Times New Roman" w:hAnsi="Times New Roman" w:cs="Times New Roman" w:eastAsia="Times New Roman"/>
          <w:sz w:val="16"/>
        </w:rPr>
        <w:t>[3] A. Acien, A. Morales, J. V. Monaco, R. Vera-Rodriguez, and J. Fierrez, “TypeNet: Deep Learning Keystroke Biometrics,” IEEE Transactions on Biometrics, Behavior, and Identity Science, vol. 4, no. 1, pp. 57–70, Jan. 2022. doi: 10.1109/TBIOM.2021.3112540</w:t>
      </w:r>
    </w:p>
    <w:p>
      <w:pPr>
        <w:spacing w:after="60" w:before="0"/>
        <w:ind w:left="360" w:hanging="360"/>
        <w:jc w:val="both"/>
      </w:pPr>
      <w:r>
        <w:rPr>
          <w:rFonts w:ascii="Times New Roman" w:hAnsi="Times New Roman" w:cs="Times New Roman" w:eastAsia="Times New Roman"/>
          <w:sz w:val="16"/>
        </w:rPr>
        <w:t>[4] A. Morales, J. Fierrez, A. Acien, and R. Vera-Rodriguez, “SetMargin Loss Applied to Deep Keystroke Biometrics With Circle Loss,” Pattern Recognition Letters, vol. 155, pp. 1–8, 2022. doi: 10.1016/j.patrec.2021.10.028</w:t>
      </w:r>
    </w:p>
    <w:p>
      <w:pPr>
        <w:spacing w:after="60" w:before="0"/>
        <w:ind w:left="360" w:hanging="360"/>
        <w:jc w:val="both"/>
      </w:pPr>
      <w:r>
        <w:rPr>
          <w:rFonts w:ascii="Times New Roman" w:hAnsi="Times New Roman" w:cs="Times New Roman" w:eastAsia="Times New Roman"/>
          <w:sz w:val="16"/>
        </w:rPr>
        <w:t>[5] K. S. Killourhy and R. A. Maxion, “Comparing Anomaly-Detection Algorithms for Keystroke Dynamics,” in Proc. IEEE/IFIP Conference on Dependable Systems and Networks (DSN), Lisbon, Portugal, 2009, pp. 125–134. doi: 10.1109/DSN.2009.5270346</w:t>
      </w:r>
    </w:p>
    <w:p>
      <w:pPr>
        <w:spacing w:after="60" w:before="0"/>
        <w:ind w:left="360" w:hanging="360"/>
        <w:jc w:val="both"/>
      </w:pPr>
      <w:r>
        <w:rPr>
          <w:rFonts w:ascii="Times New Roman" w:hAnsi="Times New Roman" w:cs="Times New Roman" w:eastAsia="Times New Roman"/>
          <w:sz w:val="16"/>
        </w:rPr>
        <w:t>[6] A. Sitová et al., “HMOG: New Behavioral Biometric Features for Continuous Authentication of Smartphone Users,” IEEE Transactions on Information Forensics and Security, vol. 11, no. 5, pp. 877–892, May 2016. doi: 10.1109/TIFS.2015.2506542</w:t>
      </w:r>
    </w:p>
    <w:sectPr>
      <w:type w:val="continuous"/>
      <w:pgSz w:w="12240" w:h="15840"/>
      <w:pgMar w:header="562" w:footer="365" w:top="940" w:bottom="52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Himalaya">
    <w:altName w:val="Microsoft Himalaya"/>
    <w:charset w:val="1"/>
    <w:family w:val="auto"/>
    <w:pitch w:val="variable"/>
  </w:font>
  <w:font w:name="Sitka Heading">
    <w:altName w:val="Sitka Headi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0784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2569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2320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24160" type="#_x0000_t202" id="docshape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3856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22624" type="#_x0000_t202" id="docshape5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5392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21088" type="#_x0000_t202" id="docshape12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6928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19552" type="#_x0000_t202" id="docshape15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8464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18016" type="#_x0000_t202" id="docshape1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0000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16480" type="#_x0000_t202" id="docshape17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1536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14944" type="#_x0000_t202" id="docshape18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3072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394" name="Textbox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Textbox 394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13408" type="#_x0000_t202" id="docshape26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4608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397" name="Textbox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Textbox 397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11872" type="#_x0000_t202" id="docshape2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6144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506" name="Textbox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Textbox 506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10336" type="#_x0000_t202" id="docshape33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7680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622" name="Textbox 6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2" name="Textbox 622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08800" type="#_x0000_t202" id="docshape43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9216">
              <wp:simplePos x="0" y="0"/>
              <wp:positionH relativeFrom="page">
                <wp:posOffset>1225080</wp:posOffset>
              </wp:positionH>
              <wp:positionV relativeFrom="page">
                <wp:posOffset>9686989</wp:posOffset>
              </wp:positionV>
              <wp:extent cx="5298440" cy="125095"/>
              <wp:effectExtent l="0" t="0" r="0" b="0"/>
              <wp:wrapNone/>
              <wp:docPr id="625" name="Textbox 6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5" name="Textbox 625"/>
                    <wps:cNvSpPr txBox="1"/>
                    <wps:spPr>
                      <a:xfrm>
                        <a:off x="0" y="0"/>
                        <a:ext cx="5298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>Authorized licensed use limited to: SASTRA. Downloaded on January 22,2026 at 05:20:28 UTC from IEEE Xplore.</w:t>
                          </w:r>
                          <w:r>
                            <w:rPr>
                              <w:rFonts w:ascii="Arial MT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Restrictions 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462997pt;margin-top:762.755066pt;width:417.2pt;height:9.85pt;mso-position-horizontal-relative:page;mso-position-vertical-relative:page;z-index:-16907264" type="#_x0000_t202" id="docshape43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Authorized licensed use limited to: SASTRA. Downloaded on January 22,2026 at 05:20:28 UTC from IEEE Xplore.</w:t>
                    </w:r>
                    <w:r>
                      <w:rPr>
                        <w:rFonts w:ascii="Arial MT"/>
                        <w:spacing w:val="38"/>
                        <w:sz w:val="14"/>
                      </w:rPr>
                      <w:t> </w:t>
                    </w:r>
                    <w:r>
                      <w:rPr>
                        <w:rFonts w:ascii="Arial MT"/>
                        <w:sz w:val="14"/>
                      </w:rPr>
                      <w:t>Restrictions 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>apply.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89760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3506470" cy="1327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0647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TRANSACTIONS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INFORMATION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FORENSICS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SECURITY,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964001pt;margin-top:28.687208pt;width:276.1pt;height:10.45pt;mso-position-horizontal-relative:page;mso-position-vertical-relative:page;z-index:-1692672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TRANSACTIONS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INFORMATION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FORENSICS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SECURITY,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0272">
              <wp:simplePos x="0" y="0"/>
              <wp:positionH relativeFrom="page">
                <wp:posOffset>6960744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090088pt;margin-top:28.687208pt;width:15.95pt;height:10.45pt;mso-position-horizontal-relative:page;mso-position-vertical-relative:page;z-index:-16926208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5859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1296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15.95pt;height:10.45pt;mso-position-horizontal-relative:page;mso-position-vertical-relative:page;z-index:-16925184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1808">
              <wp:simplePos x="0" y="0"/>
              <wp:positionH relativeFrom="page">
                <wp:posOffset>3657096</wp:posOffset>
              </wp:positionH>
              <wp:positionV relativeFrom="page">
                <wp:posOffset>364327</wp:posOffset>
              </wp:positionV>
              <wp:extent cx="3506470" cy="1327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50647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TRANSACTIONS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INFORMATION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FORENSICS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SECURITY,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960358pt;margin-top:28.687208pt;width:276.1pt;height:10.45pt;mso-position-horizontal-relative:page;mso-position-vertical-relative:page;z-index:-16924672" type="#_x0000_t202" id="docshape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TRANSACTIONS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INFORMATION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FORENSICS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SECURITY,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2832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4342765" cy="13271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43427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GONZALEZ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Type2Branch: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KEYSTROKE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BIOMETRICS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BASED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DUAL-BRANCH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341.95pt;height:10.45pt;mso-position-horizontal-relative:page;mso-position-vertical-relative:page;z-index:-16923648" type="#_x0000_t202" id="docshape5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GONZALEZ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Type2Branch: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KEYSTROKE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BIOMETRICS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BASED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DUAL-BRANCH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3344">
              <wp:simplePos x="0" y="0"/>
              <wp:positionH relativeFrom="page">
                <wp:posOffset>6960744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090088pt;margin-top:28.687208pt;width:15.95pt;height:10.45pt;mso-position-horizontal-relative:page;mso-position-vertical-relative:page;z-index:-16923136" type="#_x0000_t202" id="docshape5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4368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15.95pt;height:10.45pt;mso-position-horizontal-relative:page;mso-position-vertical-relative:page;z-index:-16922112" type="#_x0000_t202" id="docshape1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4880">
              <wp:simplePos x="0" y="0"/>
              <wp:positionH relativeFrom="page">
                <wp:posOffset>3657096</wp:posOffset>
              </wp:positionH>
              <wp:positionV relativeFrom="page">
                <wp:posOffset>364327</wp:posOffset>
              </wp:positionV>
              <wp:extent cx="3506470" cy="13271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350647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TRANSACTIONS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INFORMATION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FORENSICS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SECURITY,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960358pt;margin-top:28.687208pt;width:276.1pt;height:10.45pt;mso-position-horizontal-relative:page;mso-position-vertical-relative:page;z-index:-16921600" type="#_x0000_t202" id="docshape12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TRANSACTIONS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INFORMATION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FORENSICS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SECURITY,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5904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4342765" cy="13271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43427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GONZALEZ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Type2Branch: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KEYSTROKE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BIOMETRICS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BASED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DUAL-BRANCH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341.95pt;height:10.45pt;mso-position-horizontal-relative:page;mso-position-vertical-relative:page;z-index:-16920576" type="#_x0000_t202" id="docshape14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GONZALEZ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Type2Branch: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KEYSTROKE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BIOMETRICS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BASED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DUAL-BRANCH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6416">
              <wp:simplePos x="0" y="0"/>
              <wp:positionH relativeFrom="page">
                <wp:posOffset>6960744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090088pt;margin-top:28.687208pt;width:15.95pt;height:10.45pt;mso-position-horizontal-relative:page;mso-position-vertical-relative:page;z-index:-16920064" type="#_x0000_t202" id="docshape14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7440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15.95pt;height:10.45pt;mso-position-horizontal-relative:page;mso-position-vertical-relative:page;z-index:-16919040" type="#_x0000_t202" id="docshape16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7952">
              <wp:simplePos x="0" y="0"/>
              <wp:positionH relativeFrom="page">
                <wp:posOffset>3657096</wp:posOffset>
              </wp:positionH>
              <wp:positionV relativeFrom="page">
                <wp:posOffset>364327</wp:posOffset>
              </wp:positionV>
              <wp:extent cx="3506470" cy="13271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350647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TRANSACTIONS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INFORMATION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FORENSICS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SECURITY,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960358pt;margin-top:28.687208pt;width:276.1pt;height:10.45pt;mso-position-horizontal-relative:page;mso-position-vertical-relative:page;z-index:-16918528" type="#_x0000_t202" id="docshape1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TRANSACTIONS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INFORMATION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FORENSICS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SECURITY,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8976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4342765" cy="132715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43427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GONZALEZ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Type2Branch: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KEYSTROKE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BIOMETRICS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BASED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DUAL-BRANCH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341.95pt;height:10.45pt;mso-position-horizontal-relative:page;mso-position-vertical-relative:page;z-index:-16917504" type="#_x0000_t202" id="docshape17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GONZALEZ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Type2Branch: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KEYSTROKE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BIOMETRICS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BASED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DUAL-BRANCH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99488">
              <wp:simplePos x="0" y="0"/>
              <wp:positionH relativeFrom="page">
                <wp:posOffset>6960744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090088pt;margin-top:28.687208pt;width:15.95pt;height:10.45pt;mso-position-horizontal-relative:page;mso-position-vertical-relative:page;z-index:-16916992" type="#_x0000_t202" id="docshape17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0512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15.95pt;height:10.45pt;mso-position-horizontal-relative:page;mso-position-vertical-relative:page;z-index:-16915968" type="#_x0000_t202" id="docshape18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1024">
              <wp:simplePos x="0" y="0"/>
              <wp:positionH relativeFrom="page">
                <wp:posOffset>3657096</wp:posOffset>
              </wp:positionH>
              <wp:positionV relativeFrom="page">
                <wp:posOffset>364327</wp:posOffset>
              </wp:positionV>
              <wp:extent cx="3506470" cy="132715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350647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TRANSACTIONS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INFORMATION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FORENSICS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SECURITY,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960358pt;margin-top:28.687208pt;width:276.1pt;height:10.45pt;mso-position-horizontal-relative:page;mso-position-vertical-relative:page;z-index:-16915456" type="#_x0000_t202" id="docshape18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TRANSACTIONS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INFORMATION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FORENSICS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SECURITY,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2048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4342765" cy="132715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43427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GONZALEZ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Type2Branch: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KEYSTROKE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BIOMETRICS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BASED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DUAL-BRANCH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341.95pt;height:10.45pt;mso-position-horizontal-relative:page;mso-position-vertical-relative:page;z-index:-16914432" type="#_x0000_t202" id="docshape26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GONZALEZ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Type2Branch: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KEYSTROKE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BIOMETRICS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BASED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DUAL-BRANCH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2560">
              <wp:simplePos x="0" y="0"/>
              <wp:positionH relativeFrom="page">
                <wp:posOffset>6960744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090088pt;margin-top:28.687208pt;width:15.95pt;height:10.45pt;mso-position-horizontal-relative:page;mso-position-vertical-relative:page;z-index:-16913920" type="#_x0000_t202" id="docshape26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3584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15.95pt;height:10.45pt;mso-position-horizontal-relative:page;mso-position-vertical-relative:page;z-index:-16912896" type="#_x0000_t202" id="docshape26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4096">
              <wp:simplePos x="0" y="0"/>
              <wp:positionH relativeFrom="page">
                <wp:posOffset>3657096</wp:posOffset>
              </wp:positionH>
              <wp:positionV relativeFrom="page">
                <wp:posOffset>364327</wp:posOffset>
              </wp:positionV>
              <wp:extent cx="3506470" cy="132715"/>
              <wp:effectExtent l="0" t="0" r="0" b="0"/>
              <wp:wrapNone/>
              <wp:docPr id="396" name="Textbox 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6" name="Textbox 396"/>
                    <wps:cNvSpPr txBox="1"/>
                    <wps:spPr>
                      <a:xfrm>
                        <a:off x="0" y="0"/>
                        <a:ext cx="350647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TRANSACTIONS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INFORMATION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FORENSICS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SECURITY,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960358pt;margin-top:28.687208pt;width:276.1pt;height:10.45pt;mso-position-horizontal-relative:page;mso-position-vertical-relative:page;z-index:-16912384" type="#_x0000_t202" id="docshape2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TRANSACTIONS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INFORMATION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FORENSICS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SECURITY,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5120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4342765" cy="132715"/>
              <wp:effectExtent l="0" t="0" r="0" b="0"/>
              <wp:wrapNone/>
              <wp:docPr id="504" name="Textbox 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4" name="Textbox 504"/>
                    <wps:cNvSpPr txBox="1"/>
                    <wps:spPr>
                      <a:xfrm>
                        <a:off x="0" y="0"/>
                        <a:ext cx="43427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GONZALEZ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Type2Branch: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KEYSTROKE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BIOMETRICS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BASED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DUAL-BRANCH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341.95pt;height:10.45pt;mso-position-horizontal-relative:page;mso-position-vertical-relative:page;z-index:-16911360" type="#_x0000_t202" id="docshape32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GONZALEZ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Type2Branch: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KEYSTROKE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BIOMETRICS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BASED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DUAL-BRANCH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5632">
              <wp:simplePos x="0" y="0"/>
              <wp:positionH relativeFrom="page">
                <wp:posOffset>6960744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505" name="Textbox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Textbox 505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090088pt;margin-top:28.687208pt;width:15.95pt;height:10.45pt;mso-position-horizontal-relative:page;mso-position-vertical-relative:page;z-index:-16910848" type="#_x0000_t202" id="docshape33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6656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620" name="Textbox 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0" name="Textbox 620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15.95pt;height:10.45pt;mso-position-horizontal-relative:page;mso-position-vertical-relative:page;z-index:-16909824" type="#_x0000_t202" id="docshape43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7168">
              <wp:simplePos x="0" y="0"/>
              <wp:positionH relativeFrom="page">
                <wp:posOffset>3657096</wp:posOffset>
              </wp:positionH>
              <wp:positionV relativeFrom="page">
                <wp:posOffset>364327</wp:posOffset>
              </wp:positionV>
              <wp:extent cx="3506470" cy="132715"/>
              <wp:effectExtent l="0" t="0" r="0" b="0"/>
              <wp:wrapNone/>
              <wp:docPr id="621" name="Textbox 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1" name="Textbox 621"/>
                    <wps:cNvSpPr txBox="1"/>
                    <wps:spPr>
                      <a:xfrm>
                        <a:off x="0" y="0"/>
                        <a:ext cx="350647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IEEE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TRANSACTIONS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INFORMATION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FORENSICS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SECURITY,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20,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960358pt;margin-top:28.687208pt;width:276.1pt;height:10.45pt;mso-position-horizontal-relative:page;mso-position-vertical-relative:page;z-index:-16909312" type="#_x0000_t202" id="docshape43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IEEE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TRANSACTIONS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INFORMATION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FORENSICS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SECURITY,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VOL.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20,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8192">
              <wp:simplePos x="0" y="0"/>
              <wp:positionH relativeFrom="page">
                <wp:posOffset>609142</wp:posOffset>
              </wp:positionH>
              <wp:positionV relativeFrom="page">
                <wp:posOffset>364327</wp:posOffset>
              </wp:positionV>
              <wp:extent cx="4342765" cy="132715"/>
              <wp:effectExtent l="0" t="0" r="0" b="0"/>
              <wp:wrapNone/>
              <wp:docPr id="623" name="Textbox 6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3" name="Textbox 623"/>
                    <wps:cNvSpPr txBox="1"/>
                    <wps:spPr>
                      <a:xfrm>
                        <a:off x="0" y="0"/>
                        <a:ext cx="43427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GONZALEZ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Type2Branch: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KEYSTROKE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BIOMETRICS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BASED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DUAL-BRANCH</w:t>
                          </w:r>
                          <w:r>
                            <w:rPr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001pt;margin-top:28.687208pt;width:341.95pt;height:10.45pt;mso-position-horizontal-relative:page;mso-position-vertical-relative:page;z-index:-16908288" type="#_x0000_t202" id="docshape43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GONZALEZ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Type2Branch: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KEYSTROKE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BIOMETRICS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BASED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DUAL-BRANCH</w:t>
                    </w:r>
                    <w:r>
                      <w:rPr>
                        <w:spacing w:val="6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8704">
              <wp:simplePos x="0" y="0"/>
              <wp:positionH relativeFrom="page">
                <wp:posOffset>6960744</wp:posOffset>
              </wp:positionH>
              <wp:positionV relativeFrom="page">
                <wp:posOffset>364327</wp:posOffset>
              </wp:positionV>
              <wp:extent cx="202565" cy="132715"/>
              <wp:effectExtent l="0" t="0" r="0" b="0"/>
              <wp:wrapNone/>
              <wp:docPr id="624" name="Textbox 6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4" name="Textbox 624"/>
                    <wps:cNvSpPr txBox="1"/>
                    <wps:spPr>
                      <a:xfrm>
                        <a:off x="0" y="0"/>
                        <a:ext cx="2025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5871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090088pt;margin-top:28.687208pt;width:15.95pt;height:10.45pt;mso-position-horizontal-relative:page;mso-position-vertical-relative:page;z-index:-16907776" type="#_x0000_t202" id="docshape43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5871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1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5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1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2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3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9" w:hanging="21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[%1]"/>
      <w:lvlJc w:val="left"/>
      <w:pPr>
        <w:ind w:left="624" w:hanging="36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4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6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8" w:hanging="3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1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5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1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2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3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9" w:hanging="2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47" w:hanging="21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4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8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2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24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8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2" w:hanging="2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"/>
    </w:pPr>
    <w:rPr>
      <w:rFonts w:ascii="Times New Roman" w:hAnsi="Times New Roman" w:eastAsia="Times New Roman" w:cs="Times New Roman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4" w:hanging="36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orcid.org/0000-0001-5570-6922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orcid.org/0000-0002-5949-8574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orcid.org/0000-0002-6338-8511" TargetMode="External"/><Relationship Id="rId12" Type="http://schemas.openxmlformats.org/officeDocument/2006/relationships/hyperlink" Target="https://orcid.org/0000-0002-9393-3066" TargetMode="External"/><Relationship Id="rId13" Type="http://schemas.openxmlformats.org/officeDocument/2006/relationships/hyperlink" Target="https://sites.google.com/view/bida-kvc/" TargetMode="External"/><Relationship Id="rId14" Type="http://schemas.openxmlformats.org/officeDocument/2006/relationships/hyperlink" Target="https://github.com/lsia/tifs-type2branch" TargetMode="External"/><Relationship Id="rId15" Type="http://schemas.openxmlformats.org/officeDocument/2006/relationships/hyperlink" Target="mailto:ngonzalez@lsia.fi.uba.com" TargetMode="External"/><Relationship Id="rId16" Type="http://schemas.openxmlformats.org/officeDocument/2006/relationships/hyperlink" Target="https://www.ieee.org/publications/rights/index.html" TargetMode="External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hyperlink" Target="https://github.com/SoftwareImpacts/SIMPAC-2022-276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image" Target="media/image32.pn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image" Target="media/image36.png"/><Relationship Id="rId54" Type="http://schemas.openxmlformats.org/officeDocument/2006/relationships/image" Target="media/image37.png"/><Relationship Id="rId55" Type="http://schemas.openxmlformats.org/officeDocument/2006/relationships/image" Target="media/image38.png"/><Relationship Id="rId56" Type="http://schemas.openxmlformats.org/officeDocument/2006/relationships/image" Target="media/image39.png"/><Relationship Id="rId57" Type="http://schemas.openxmlformats.org/officeDocument/2006/relationships/image" Target="media/image40.png"/><Relationship Id="rId58" Type="http://schemas.openxmlformats.org/officeDocument/2006/relationships/image" Target="media/image41.png"/><Relationship Id="rId59" Type="http://schemas.openxmlformats.org/officeDocument/2006/relationships/image" Target="media/image42.png"/><Relationship Id="rId60" Type="http://schemas.openxmlformats.org/officeDocument/2006/relationships/header" Target="header3.xml"/><Relationship Id="rId61" Type="http://schemas.openxmlformats.org/officeDocument/2006/relationships/footer" Target="footer3.xml"/><Relationship Id="rId62" Type="http://schemas.openxmlformats.org/officeDocument/2006/relationships/image" Target="media/image43.png"/><Relationship Id="rId63" Type="http://schemas.openxmlformats.org/officeDocument/2006/relationships/image" Target="media/image44.png"/><Relationship Id="rId64" Type="http://schemas.openxmlformats.org/officeDocument/2006/relationships/image" Target="media/image45.png"/><Relationship Id="rId65" Type="http://schemas.openxmlformats.org/officeDocument/2006/relationships/image" Target="media/image46.png"/><Relationship Id="rId66" Type="http://schemas.openxmlformats.org/officeDocument/2006/relationships/image" Target="media/image47.png"/><Relationship Id="rId67" Type="http://schemas.openxmlformats.org/officeDocument/2006/relationships/image" Target="media/image48.png"/><Relationship Id="rId68" Type="http://schemas.openxmlformats.org/officeDocument/2006/relationships/image" Target="media/image49.png"/><Relationship Id="rId69" Type="http://schemas.openxmlformats.org/officeDocument/2006/relationships/image" Target="media/image50.png"/><Relationship Id="rId70" Type="http://schemas.openxmlformats.org/officeDocument/2006/relationships/image" Target="media/image51.png"/><Relationship Id="rId71" Type="http://schemas.openxmlformats.org/officeDocument/2006/relationships/image" Target="media/image52.png"/><Relationship Id="rId72" Type="http://schemas.openxmlformats.org/officeDocument/2006/relationships/image" Target="media/image53.png"/><Relationship Id="rId73" Type="http://schemas.openxmlformats.org/officeDocument/2006/relationships/image" Target="media/image54.png"/><Relationship Id="rId74" Type="http://schemas.openxmlformats.org/officeDocument/2006/relationships/image" Target="media/image55.png"/><Relationship Id="rId75" Type="http://schemas.openxmlformats.org/officeDocument/2006/relationships/image" Target="media/image56.png"/><Relationship Id="rId76" Type="http://schemas.openxmlformats.org/officeDocument/2006/relationships/image" Target="media/image57.png"/><Relationship Id="rId77" Type="http://schemas.openxmlformats.org/officeDocument/2006/relationships/image" Target="media/image58.png"/><Relationship Id="rId78" Type="http://schemas.openxmlformats.org/officeDocument/2006/relationships/image" Target="media/image59.png"/><Relationship Id="rId79" Type="http://schemas.openxmlformats.org/officeDocument/2006/relationships/image" Target="media/image60.png"/><Relationship Id="rId80" Type="http://schemas.openxmlformats.org/officeDocument/2006/relationships/image" Target="media/image61.png"/><Relationship Id="rId81" Type="http://schemas.openxmlformats.org/officeDocument/2006/relationships/image" Target="media/image62.png"/><Relationship Id="rId82" Type="http://schemas.openxmlformats.org/officeDocument/2006/relationships/image" Target="media/image63.png"/><Relationship Id="rId83" Type="http://schemas.openxmlformats.org/officeDocument/2006/relationships/image" Target="media/image64.png"/><Relationship Id="rId84" Type="http://schemas.openxmlformats.org/officeDocument/2006/relationships/image" Target="media/image65.png"/><Relationship Id="rId85" Type="http://schemas.openxmlformats.org/officeDocument/2006/relationships/image" Target="media/image66.png"/><Relationship Id="rId86" Type="http://schemas.openxmlformats.org/officeDocument/2006/relationships/image" Target="media/image67.png"/><Relationship Id="rId87" Type="http://schemas.openxmlformats.org/officeDocument/2006/relationships/image" Target="media/image68.png"/><Relationship Id="rId88" Type="http://schemas.openxmlformats.org/officeDocument/2006/relationships/image" Target="media/image69.png"/><Relationship Id="rId89" Type="http://schemas.openxmlformats.org/officeDocument/2006/relationships/image" Target="media/image70.png"/><Relationship Id="rId90" Type="http://schemas.openxmlformats.org/officeDocument/2006/relationships/image" Target="media/image71.png"/><Relationship Id="rId91" Type="http://schemas.openxmlformats.org/officeDocument/2006/relationships/image" Target="media/image72.png"/><Relationship Id="rId92" Type="http://schemas.openxmlformats.org/officeDocument/2006/relationships/image" Target="media/image73.png"/><Relationship Id="rId93" Type="http://schemas.openxmlformats.org/officeDocument/2006/relationships/image" Target="media/image74.png"/><Relationship Id="rId94" Type="http://schemas.openxmlformats.org/officeDocument/2006/relationships/image" Target="media/image75.png"/><Relationship Id="rId95" Type="http://schemas.openxmlformats.org/officeDocument/2006/relationships/image" Target="media/image76.png"/><Relationship Id="rId96" Type="http://schemas.openxmlformats.org/officeDocument/2006/relationships/image" Target="media/image77.png"/><Relationship Id="rId97" Type="http://schemas.openxmlformats.org/officeDocument/2006/relationships/image" Target="media/image78.png"/><Relationship Id="rId98" Type="http://schemas.openxmlformats.org/officeDocument/2006/relationships/image" Target="media/image79.png"/><Relationship Id="rId99" Type="http://schemas.openxmlformats.org/officeDocument/2006/relationships/image" Target="media/image80.png"/><Relationship Id="rId100" Type="http://schemas.openxmlformats.org/officeDocument/2006/relationships/image" Target="media/image81.png"/><Relationship Id="rId101" Type="http://schemas.openxmlformats.org/officeDocument/2006/relationships/image" Target="media/image82.png"/><Relationship Id="rId102" Type="http://schemas.openxmlformats.org/officeDocument/2006/relationships/image" Target="media/image83.png"/><Relationship Id="rId103" Type="http://schemas.openxmlformats.org/officeDocument/2006/relationships/image" Target="media/image84.png"/><Relationship Id="rId104" Type="http://schemas.openxmlformats.org/officeDocument/2006/relationships/image" Target="media/image85.png"/><Relationship Id="rId105" Type="http://schemas.openxmlformats.org/officeDocument/2006/relationships/image" Target="media/image86.png"/><Relationship Id="rId106" Type="http://schemas.openxmlformats.org/officeDocument/2006/relationships/hyperlink" Target="https://userinterfaces.aalto.fi/" TargetMode="External"/><Relationship Id="rId107" Type="http://schemas.openxmlformats.org/officeDocument/2006/relationships/hyperlink" Target="https://userinterfaces.aalto.fi/136Mkeystrokes/" TargetMode="External"/><Relationship Id="rId108" Type="http://schemas.openxmlformats.org/officeDocument/2006/relationships/hyperlink" Target="https://userinterfaces.aalto.fi/typing37k/" TargetMode="External"/><Relationship Id="rId109" Type="http://schemas.openxmlformats.org/officeDocument/2006/relationships/header" Target="header4.xml"/><Relationship Id="rId110" Type="http://schemas.openxmlformats.org/officeDocument/2006/relationships/footer" Target="footer4.xml"/><Relationship Id="rId111" Type="http://schemas.openxmlformats.org/officeDocument/2006/relationships/image" Target="media/image87.png"/><Relationship Id="rId112" Type="http://schemas.openxmlformats.org/officeDocument/2006/relationships/image" Target="media/image88.png"/><Relationship Id="rId113" Type="http://schemas.openxmlformats.org/officeDocument/2006/relationships/image" Target="media/image89.png"/><Relationship Id="rId114" Type="http://schemas.openxmlformats.org/officeDocument/2006/relationships/image" Target="media/image90.png"/><Relationship Id="rId115" Type="http://schemas.openxmlformats.org/officeDocument/2006/relationships/image" Target="media/image91.png"/><Relationship Id="rId116" Type="http://schemas.openxmlformats.org/officeDocument/2006/relationships/image" Target="media/image92.png"/><Relationship Id="rId117" Type="http://schemas.openxmlformats.org/officeDocument/2006/relationships/image" Target="media/image93.png"/><Relationship Id="rId118" Type="http://schemas.openxmlformats.org/officeDocument/2006/relationships/image" Target="media/image94.png"/><Relationship Id="rId119" Type="http://schemas.openxmlformats.org/officeDocument/2006/relationships/image" Target="media/image95.png"/><Relationship Id="rId120" Type="http://schemas.openxmlformats.org/officeDocument/2006/relationships/image" Target="media/image96.png"/><Relationship Id="rId121" Type="http://schemas.openxmlformats.org/officeDocument/2006/relationships/image" Target="media/image97.png"/><Relationship Id="rId122" Type="http://schemas.openxmlformats.org/officeDocument/2006/relationships/image" Target="media/image98.png"/><Relationship Id="rId123" Type="http://schemas.openxmlformats.org/officeDocument/2006/relationships/image" Target="media/image99.png"/><Relationship Id="rId124" Type="http://schemas.openxmlformats.org/officeDocument/2006/relationships/image" Target="media/image100.png"/><Relationship Id="rId125" Type="http://schemas.openxmlformats.org/officeDocument/2006/relationships/image" Target="media/image101.png"/><Relationship Id="rId126" Type="http://schemas.openxmlformats.org/officeDocument/2006/relationships/image" Target="media/image102.png"/><Relationship Id="rId127" Type="http://schemas.openxmlformats.org/officeDocument/2006/relationships/hyperlink" Target="https://codalab.lisn.upsaclay.fr/competitions/14063" TargetMode="External"/><Relationship Id="rId128" Type="http://schemas.openxmlformats.org/officeDocument/2006/relationships/header" Target="header5.xml"/><Relationship Id="rId129" Type="http://schemas.openxmlformats.org/officeDocument/2006/relationships/footer" Target="footer5.xml"/><Relationship Id="rId130" Type="http://schemas.openxmlformats.org/officeDocument/2006/relationships/image" Target="media/image103.png"/><Relationship Id="rId131" Type="http://schemas.openxmlformats.org/officeDocument/2006/relationships/image" Target="media/image104.jpeg"/><Relationship Id="rId132" Type="http://schemas.openxmlformats.org/officeDocument/2006/relationships/image" Target="media/image105.png"/><Relationship Id="rId133" Type="http://schemas.openxmlformats.org/officeDocument/2006/relationships/image" Target="media/image106.jpeg"/><Relationship Id="rId134" Type="http://schemas.openxmlformats.org/officeDocument/2006/relationships/image" Target="media/image107.jpeg"/><Relationship Id="rId135" Type="http://schemas.openxmlformats.org/officeDocument/2006/relationships/image" Target="media/image108.png"/><Relationship Id="rId136" Type="http://schemas.openxmlformats.org/officeDocument/2006/relationships/image" Target="media/image109.jpeg"/><Relationship Id="rId137" Type="http://schemas.openxmlformats.org/officeDocument/2006/relationships/image" Target="media/image110.png"/><Relationship Id="rId138" Type="http://schemas.openxmlformats.org/officeDocument/2006/relationships/image" Target="media/image111.png"/><Relationship Id="rId139" Type="http://schemas.openxmlformats.org/officeDocument/2006/relationships/image" Target="media/image112.png"/><Relationship Id="rId140" Type="http://schemas.openxmlformats.org/officeDocument/2006/relationships/header" Target="header6.xml"/><Relationship Id="rId141" Type="http://schemas.openxmlformats.org/officeDocument/2006/relationships/footer" Target="footer6.xml"/><Relationship Id="rId142" Type="http://schemas.openxmlformats.org/officeDocument/2006/relationships/image" Target="media/image113.png"/><Relationship Id="rId143" Type="http://schemas.openxmlformats.org/officeDocument/2006/relationships/image" Target="media/image114.png"/><Relationship Id="rId144" Type="http://schemas.openxmlformats.org/officeDocument/2006/relationships/image" Target="media/image115.png"/><Relationship Id="rId145" Type="http://schemas.openxmlformats.org/officeDocument/2006/relationships/image" Target="media/image116.png"/><Relationship Id="rId146" Type="http://schemas.openxmlformats.org/officeDocument/2006/relationships/image" Target="media/image117.png"/><Relationship Id="rId147" Type="http://schemas.openxmlformats.org/officeDocument/2006/relationships/image" Target="media/image118.png"/><Relationship Id="rId148" Type="http://schemas.openxmlformats.org/officeDocument/2006/relationships/image" Target="media/image119.png"/><Relationship Id="rId149" Type="http://schemas.openxmlformats.org/officeDocument/2006/relationships/header" Target="header7.xml"/><Relationship Id="rId150" Type="http://schemas.openxmlformats.org/officeDocument/2006/relationships/footer" Target="footer7.xml"/><Relationship Id="rId151" Type="http://schemas.openxmlformats.org/officeDocument/2006/relationships/image" Target="media/image120.png"/><Relationship Id="rId152" Type="http://schemas.openxmlformats.org/officeDocument/2006/relationships/image" Target="media/image121.png"/><Relationship Id="rId153" Type="http://schemas.openxmlformats.org/officeDocument/2006/relationships/image" Target="media/image122.png"/><Relationship Id="rId154" Type="http://schemas.openxmlformats.org/officeDocument/2006/relationships/image" Target="media/image123.png"/><Relationship Id="rId155" Type="http://schemas.openxmlformats.org/officeDocument/2006/relationships/image" Target="media/image124.png"/><Relationship Id="rId156" Type="http://schemas.openxmlformats.org/officeDocument/2006/relationships/header" Target="header8.xml"/><Relationship Id="rId157" Type="http://schemas.openxmlformats.org/officeDocument/2006/relationships/footer" Target="footer8.xml"/><Relationship Id="rId158" Type="http://schemas.openxmlformats.org/officeDocument/2006/relationships/image" Target="media/image125.png"/><Relationship Id="rId159" Type="http://schemas.openxmlformats.org/officeDocument/2006/relationships/image" Target="media/image126.png"/><Relationship Id="rId160" Type="http://schemas.openxmlformats.org/officeDocument/2006/relationships/image" Target="media/image127.png"/><Relationship Id="rId161" Type="http://schemas.openxmlformats.org/officeDocument/2006/relationships/image" Target="media/image128.png"/><Relationship Id="rId162" Type="http://schemas.openxmlformats.org/officeDocument/2006/relationships/image" Target="media/image129.png"/><Relationship Id="rId163" Type="http://schemas.openxmlformats.org/officeDocument/2006/relationships/image" Target="media/image130.png"/><Relationship Id="rId164" Type="http://schemas.openxmlformats.org/officeDocument/2006/relationships/image" Target="media/image131.png"/><Relationship Id="rId165" Type="http://schemas.openxmlformats.org/officeDocument/2006/relationships/image" Target="media/image132.png"/><Relationship Id="rId166" Type="http://schemas.openxmlformats.org/officeDocument/2006/relationships/image" Target="media/image133.png"/><Relationship Id="rId167" Type="http://schemas.openxmlformats.org/officeDocument/2006/relationships/image" Target="media/image134.png"/><Relationship Id="rId168" Type="http://schemas.openxmlformats.org/officeDocument/2006/relationships/image" Target="media/image135.png"/><Relationship Id="rId169" Type="http://schemas.openxmlformats.org/officeDocument/2006/relationships/image" Target="media/image136.png"/><Relationship Id="rId170" Type="http://schemas.openxmlformats.org/officeDocument/2006/relationships/image" Target="media/image137.png"/><Relationship Id="rId171" Type="http://schemas.openxmlformats.org/officeDocument/2006/relationships/image" Target="media/image138.png"/><Relationship Id="rId172" Type="http://schemas.openxmlformats.org/officeDocument/2006/relationships/image" Target="media/image139.png"/><Relationship Id="rId173" Type="http://schemas.openxmlformats.org/officeDocument/2006/relationships/image" Target="media/image140.png"/><Relationship Id="rId174" Type="http://schemas.openxmlformats.org/officeDocument/2006/relationships/image" Target="media/image141.png"/><Relationship Id="rId175" Type="http://schemas.openxmlformats.org/officeDocument/2006/relationships/image" Target="media/image142.png"/><Relationship Id="rId176" Type="http://schemas.openxmlformats.org/officeDocument/2006/relationships/image" Target="media/image143.png"/><Relationship Id="rId177" Type="http://schemas.openxmlformats.org/officeDocument/2006/relationships/image" Target="media/image144.png"/><Relationship Id="rId178" Type="http://schemas.openxmlformats.org/officeDocument/2006/relationships/header" Target="header9.xml"/><Relationship Id="rId179" Type="http://schemas.openxmlformats.org/officeDocument/2006/relationships/footer" Target="footer9.xml"/><Relationship Id="rId180" Type="http://schemas.openxmlformats.org/officeDocument/2006/relationships/header" Target="header10.xml"/><Relationship Id="rId181" Type="http://schemas.openxmlformats.org/officeDocument/2006/relationships/footer" Target="footer10.xml"/><Relationship Id="rId182" Type="http://schemas.openxmlformats.org/officeDocument/2006/relationships/image" Target="media/image145.png"/><Relationship Id="rId183" Type="http://schemas.openxmlformats.org/officeDocument/2006/relationships/image" Target="media/image146.png"/><Relationship Id="rId184" Type="http://schemas.openxmlformats.org/officeDocument/2006/relationships/image" Target="media/image147.png"/><Relationship Id="rId185" Type="http://schemas.openxmlformats.org/officeDocument/2006/relationships/image" Target="media/image148.png"/><Relationship Id="rId186" Type="http://schemas.openxmlformats.org/officeDocument/2006/relationships/image" Target="media/image149.png"/><Relationship Id="rId187" Type="http://schemas.openxmlformats.org/officeDocument/2006/relationships/image" Target="media/image150.png"/><Relationship Id="rId188" Type="http://schemas.openxmlformats.org/officeDocument/2006/relationships/image" Target="media/image151.png"/><Relationship Id="rId189" Type="http://schemas.openxmlformats.org/officeDocument/2006/relationships/image" Target="media/image152.png"/><Relationship Id="rId190" Type="http://schemas.openxmlformats.org/officeDocument/2006/relationships/image" Target="media/image153.png"/><Relationship Id="rId191" Type="http://schemas.openxmlformats.org/officeDocument/2006/relationships/image" Target="media/image154.png"/><Relationship Id="rId192" Type="http://schemas.openxmlformats.org/officeDocument/2006/relationships/image" Target="media/image155.png"/><Relationship Id="rId193" Type="http://schemas.openxmlformats.org/officeDocument/2006/relationships/image" Target="media/image156.png"/><Relationship Id="rId194" Type="http://schemas.openxmlformats.org/officeDocument/2006/relationships/image" Target="media/image157.png"/><Relationship Id="rId195" Type="http://schemas.openxmlformats.org/officeDocument/2006/relationships/image" Target="media/image158.png"/><Relationship Id="rId196" Type="http://schemas.openxmlformats.org/officeDocument/2006/relationships/image" Target="media/image159.png"/><Relationship Id="rId197" Type="http://schemas.openxmlformats.org/officeDocument/2006/relationships/image" Target="media/image160.png"/><Relationship Id="rId198" Type="http://schemas.openxmlformats.org/officeDocument/2006/relationships/image" Target="media/image161.png"/><Relationship Id="rId199" Type="http://schemas.openxmlformats.org/officeDocument/2006/relationships/image" Target="media/image162.png"/><Relationship Id="rId200" Type="http://schemas.openxmlformats.org/officeDocument/2006/relationships/image" Target="media/image163.png"/><Relationship Id="rId201" Type="http://schemas.openxmlformats.org/officeDocument/2006/relationships/image" Target="media/image164.png"/><Relationship Id="rId202" Type="http://schemas.openxmlformats.org/officeDocument/2006/relationships/image" Target="media/image165.png"/><Relationship Id="rId203" Type="http://schemas.openxmlformats.org/officeDocument/2006/relationships/image" Target="media/image166.png"/><Relationship Id="rId204" Type="http://schemas.openxmlformats.org/officeDocument/2006/relationships/image" Target="media/image167.png"/><Relationship Id="rId205" Type="http://schemas.openxmlformats.org/officeDocument/2006/relationships/image" Target="media/image168.png"/><Relationship Id="rId206" Type="http://schemas.openxmlformats.org/officeDocument/2006/relationships/image" Target="media/image169.png"/><Relationship Id="rId207" Type="http://schemas.openxmlformats.org/officeDocument/2006/relationships/image" Target="media/image170.png"/><Relationship Id="rId208" Type="http://schemas.openxmlformats.org/officeDocument/2006/relationships/image" Target="media/image171.png"/><Relationship Id="rId209" Type="http://schemas.openxmlformats.org/officeDocument/2006/relationships/image" Target="media/image172.png"/><Relationship Id="rId210" Type="http://schemas.openxmlformats.org/officeDocument/2006/relationships/image" Target="media/image173.png"/><Relationship Id="rId211" Type="http://schemas.openxmlformats.org/officeDocument/2006/relationships/image" Target="media/image174.png"/><Relationship Id="rId212" Type="http://schemas.openxmlformats.org/officeDocument/2006/relationships/image" Target="media/image175.png"/><Relationship Id="rId213" Type="http://schemas.openxmlformats.org/officeDocument/2006/relationships/image" Target="media/image176.png"/><Relationship Id="rId214" Type="http://schemas.openxmlformats.org/officeDocument/2006/relationships/image" Target="media/image177.png"/><Relationship Id="rId215" Type="http://schemas.openxmlformats.org/officeDocument/2006/relationships/image" Target="media/image178.png"/><Relationship Id="rId216" Type="http://schemas.openxmlformats.org/officeDocument/2006/relationships/image" Target="media/image179.png"/><Relationship Id="rId217" Type="http://schemas.openxmlformats.org/officeDocument/2006/relationships/image" Target="media/image180.png"/><Relationship Id="rId218" Type="http://schemas.openxmlformats.org/officeDocument/2006/relationships/image" Target="media/image181.png"/><Relationship Id="rId219" Type="http://schemas.openxmlformats.org/officeDocument/2006/relationships/image" Target="media/image182.png"/><Relationship Id="rId220" Type="http://schemas.openxmlformats.org/officeDocument/2006/relationships/image" Target="media/image183.png"/><Relationship Id="rId221" Type="http://schemas.openxmlformats.org/officeDocument/2006/relationships/image" Target="media/image184.png"/><Relationship Id="rId222" Type="http://schemas.openxmlformats.org/officeDocument/2006/relationships/image" Target="media/image185.png"/><Relationship Id="rId223" Type="http://schemas.openxmlformats.org/officeDocument/2006/relationships/image" Target="media/image186.png"/><Relationship Id="rId224" Type="http://schemas.openxmlformats.org/officeDocument/2006/relationships/image" Target="media/image187.png"/><Relationship Id="rId225" Type="http://schemas.openxmlformats.org/officeDocument/2006/relationships/image" Target="media/image188.png"/><Relationship Id="rId226" Type="http://schemas.openxmlformats.org/officeDocument/2006/relationships/image" Target="media/image189.png"/><Relationship Id="rId227" Type="http://schemas.openxmlformats.org/officeDocument/2006/relationships/image" Target="media/image190.png"/><Relationship Id="rId228" Type="http://schemas.openxmlformats.org/officeDocument/2006/relationships/image" Target="media/image191.png"/><Relationship Id="rId229" Type="http://schemas.openxmlformats.org/officeDocument/2006/relationships/image" Target="media/image192.png"/><Relationship Id="rId230" Type="http://schemas.openxmlformats.org/officeDocument/2006/relationships/image" Target="media/image193.png"/><Relationship Id="rId231" Type="http://schemas.openxmlformats.org/officeDocument/2006/relationships/image" Target="media/image194.png"/><Relationship Id="rId232" Type="http://schemas.openxmlformats.org/officeDocument/2006/relationships/image" Target="media/image195.png"/><Relationship Id="rId233" Type="http://schemas.openxmlformats.org/officeDocument/2006/relationships/image" Target="media/image196.png"/><Relationship Id="rId234" Type="http://schemas.openxmlformats.org/officeDocument/2006/relationships/image" Target="media/image197.png"/><Relationship Id="rId235" Type="http://schemas.openxmlformats.org/officeDocument/2006/relationships/image" Target="media/image198.png"/><Relationship Id="rId236" Type="http://schemas.openxmlformats.org/officeDocument/2006/relationships/image" Target="media/image199.png"/><Relationship Id="rId237" Type="http://schemas.openxmlformats.org/officeDocument/2006/relationships/image" Target="media/image200.png"/><Relationship Id="rId238" Type="http://schemas.openxmlformats.org/officeDocument/2006/relationships/image" Target="media/image201.png"/><Relationship Id="rId239" Type="http://schemas.openxmlformats.org/officeDocument/2006/relationships/image" Target="media/image202.png"/><Relationship Id="rId240" Type="http://schemas.openxmlformats.org/officeDocument/2006/relationships/image" Target="media/image203.png"/><Relationship Id="rId241" Type="http://schemas.openxmlformats.org/officeDocument/2006/relationships/image" Target="media/image204.png"/><Relationship Id="rId242" Type="http://schemas.openxmlformats.org/officeDocument/2006/relationships/image" Target="media/image205.png"/><Relationship Id="rId243" Type="http://schemas.openxmlformats.org/officeDocument/2006/relationships/image" Target="media/image206.png"/><Relationship Id="rId244" Type="http://schemas.openxmlformats.org/officeDocument/2006/relationships/image" Target="media/image207.png"/><Relationship Id="rId245" Type="http://schemas.openxmlformats.org/officeDocument/2006/relationships/image" Target="media/image208.png"/><Relationship Id="rId246" Type="http://schemas.openxmlformats.org/officeDocument/2006/relationships/image" Target="media/image209.png"/><Relationship Id="rId247" Type="http://schemas.openxmlformats.org/officeDocument/2006/relationships/image" Target="media/image210.png"/><Relationship Id="rId248" Type="http://schemas.openxmlformats.org/officeDocument/2006/relationships/image" Target="media/image211.png"/><Relationship Id="rId249" Type="http://schemas.openxmlformats.org/officeDocument/2006/relationships/image" Target="media/image212.png"/><Relationship Id="rId250" Type="http://schemas.openxmlformats.org/officeDocument/2006/relationships/image" Target="media/image213.png"/><Relationship Id="rId251" Type="http://schemas.openxmlformats.org/officeDocument/2006/relationships/header" Target="header11.xml"/><Relationship Id="rId252" Type="http://schemas.openxmlformats.org/officeDocument/2006/relationships/footer" Target="footer11.xml"/><Relationship Id="rId253" Type="http://schemas.openxmlformats.org/officeDocument/2006/relationships/image" Target="media/image214.png"/><Relationship Id="rId254" Type="http://schemas.openxmlformats.org/officeDocument/2006/relationships/image" Target="media/image215.png"/><Relationship Id="rId255" Type="http://schemas.openxmlformats.org/officeDocument/2006/relationships/image" Target="media/image216.png"/><Relationship Id="rId256" Type="http://schemas.openxmlformats.org/officeDocument/2006/relationships/image" Target="media/image217.png"/><Relationship Id="rId257" Type="http://schemas.openxmlformats.org/officeDocument/2006/relationships/image" Target="media/image218.png"/><Relationship Id="rId258" Type="http://schemas.openxmlformats.org/officeDocument/2006/relationships/image" Target="media/image219.png"/><Relationship Id="rId259" Type="http://schemas.openxmlformats.org/officeDocument/2006/relationships/image" Target="media/image220.png"/><Relationship Id="rId260" Type="http://schemas.openxmlformats.org/officeDocument/2006/relationships/image" Target="media/image221.png"/><Relationship Id="rId261" Type="http://schemas.openxmlformats.org/officeDocument/2006/relationships/image" Target="media/image222.png"/><Relationship Id="rId262" Type="http://schemas.openxmlformats.org/officeDocument/2006/relationships/image" Target="media/image223.png"/><Relationship Id="rId263" Type="http://schemas.openxmlformats.org/officeDocument/2006/relationships/image" Target="media/image224.png"/><Relationship Id="rId264" Type="http://schemas.openxmlformats.org/officeDocument/2006/relationships/image" Target="media/image225.png"/><Relationship Id="rId265" Type="http://schemas.openxmlformats.org/officeDocument/2006/relationships/image" Target="media/image226.png"/><Relationship Id="rId266" Type="http://schemas.openxmlformats.org/officeDocument/2006/relationships/image" Target="media/image227.png"/><Relationship Id="rId267" Type="http://schemas.openxmlformats.org/officeDocument/2006/relationships/image" Target="media/image228.png"/><Relationship Id="rId268" Type="http://schemas.openxmlformats.org/officeDocument/2006/relationships/image" Target="media/image229.png"/><Relationship Id="rId269" Type="http://schemas.openxmlformats.org/officeDocument/2006/relationships/image" Target="media/image230.png"/><Relationship Id="rId270" Type="http://schemas.openxmlformats.org/officeDocument/2006/relationships/image" Target="media/image231.png"/><Relationship Id="rId271" Type="http://schemas.openxmlformats.org/officeDocument/2006/relationships/image" Target="media/image232.png"/><Relationship Id="rId272" Type="http://schemas.openxmlformats.org/officeDocument/2006/relationships/image" Target="media/image233.png"/><Relationship Id="rId273" Type="http://schemas.openxmlformats.org/officeDocument/2006/relationships/image" Target="media/image234.png"/><Relationship Id="rId274" Type="http://schemas.openxmlformats.org/officeDocument/2006/relationships/image" Target="media/image235.png"/><Relationship Id="rId275" Type="http://schemas.openxmlformats.org/officeDocument/2006/relationships/image" Target="media/image236.png"/><Relationship Id="rId276" Type="http://schemas.openxmlformats.org/officeDocument/2006/relationships/image" Target="media/image237.png"/><Relationship Id="rId277" Type="http://schemas.openxmlformats.org/officeDocument/2006/relationships/image" Target="media/image238.png"/><Relationship Id="rId278" Type="http://schemas.openxmlformats.org/officeDocument/2006/relationships/image" Target="media/image239.png"/><Relationship Id="rId279" Type="http://schemas.openxmlformats.org/officeDocument/2006/relationships/image" Target="media/image240.png"/><Relationship Id="rId280" Type="http://schemas.openxmlformats.org/officeDocument/2006/relationships/image" Target="media/image241.png"/><Relationship Id="rId281" Type="http://schemas.openxmlformats.org/officeDocument/2006/relationships/image" Target="media/image242.png"/><Relationship Id="rId282" Type="http://schemas.openxmlformats.org/officeDocument/2006/relationships/image" Target="media/image243.png"/><Relationship Id="rId283" Type="http://schemas.openxmlformats.org/officeDocument/2006/relationships/header" Target="header12.xml"/><Relationship Id="rId284" Type="http://schemas.openxmlformats.org/officeDocument/2006/relationships/footer" Target="footer12.xml"/><Relationship Id="rId285" Type="http://schemas.openxmlformats.org/officeDocument/2006/relationships/header" Target="header13.xml"/><Relationship Id="rId286" Type="http://schemas.openxmlformats.org/officeDocument/2006/relationships/footer" Target="footer13.xml"/><Relationship Id="rId287" Type="http://schemas.openxmlformats.org/officeDocument/2006/relationships/hyperlink" Target="https://www.sciencedirect.com/science/article/pii/S2352340923002445" TargetMode="External"/><Relationship Id="rId288" Type="http://schemas.openxmlformats.org/officeDocument/2006/relationships/image" Target="media/image244.jpeg"/><Relationship Id="rId289" Type="http://schemas.openxmlformats.org/officeDocument/2006/relationships/image" Target="media/image245.jpeg"/><Relationship Id="rId290" Type="http://schemas.openxmlformats.org/officeDocument/2006/relationships/image" Target="media/image246.jpeg"/><Relationship Id="rId291" Type="http://schemas.openxmlformats.org/officeDocument/2006/relationships/image" Target="media/image247.jpeg"/><Relationship Id="rId29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Nahuel Gonzalez</dc:creator>
  <dc:subject>IEEE Transactions on Information Forensics and Security;2025;20; ;10.1109/TIFS.2025.3574992</dc:subject>
  <dc:title>Type2Branch: Keystroke Biometrics Based on a Dual-Branch Architecture With Attention Mechanisms and Set2set Loss</dc:title>
  <dcterms:created xsi:type="dcterms:W3CDTF">2026-04-22T03:50:36Z</dcterms:created>
  <dcterms:modified xsi:type="dcterms:W3CDTF">2026-04-22T03:50:36Z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2025-06-14T00:00:00Z</vt:filetime>
  </property>
  <property fmtid="{D5CDD505-2E9C-101B-9397-08002B2CF9AE}" pid="4" name="Creator">
    <vt:lpwstr>LaTeX with hyperref package</vt:lpwstr>
  </property>
  <property fmtid="{D5CDD505-2E9C-101B-9397-08002B2CF9AE}" pid="5" name="IEEE Article ID">
    <vt:lpwstr>11018101</vt:lpwstr>
  </property>
  <property fmtid="{D5CDD505-2E9C-101B-9397-08002B2CF9AE}" pid="6" name="IEEE Issue ID">
    <vt:lpwstr>10810755</vt:lpwstr>
  </property>
  <property fmtid="{D5CDD505-2E9C-101B-9397-08002B2CF9AE}" pid="7" name="IEEE Publication ID">
    <vt:lpwstr>10206</vt:lpwstr>
  </property>
  <property fmtid="{D5CDD505-2E9C-101B-9397-08002B2CF9AE}" pid="8" name="LastSaved">
    <vt:filetime>2026-04-22T00:00:00Z</vt:filetime>
  </property>
  <property fmtid="{D5CDD505-2E9C-101B-9397-08002B2CF9AE}" pid="9" name="PTEX.Fullbanner">
    <vt:lpwstr>This is pdfTeX, Version 3.14159265-2.6-1.40.18 (TeX Live 2017/W32TeX) kpathsea version 6.2.3</vt:lpwstr>
  </property>
  <property fmtid="{D5CDD505-2E9C-101B-9397-08002B2CF9AE}" pid="10" name="Producer">
    <vt:lpwstr>pdfTeX-1.40.18; modified using iText® Core 7.2.4 (AGPL version) ©2000-2022 iText Group NV</vt:lpwstr>
  </property>
  <property fmtid="{D5CDD505-2E9C-101B-9397-08002B2CF9AE}" pid="11" name="Trapped">
    <vt:lpwstr>False</vt:lpwstr>
  </property>
</Properties>
</file>