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0" w:after="180" w:line="276" w:lineRule="auto"/>
      </w:pPr>
      <w:r>
        <w:rPr>
          <w:rFonts w:ascii="Times New Roman" w:hAnsi="Times New Roman" w:cs="Times New Roman"/>
          <w:sz w:val="28"/>
          <w:szCs w:val="28"/>
          <w:b/>
          <w:caps/>
        </w:rPr>
        <w:t>TYPE2BRANCH-CA: CONTINUOUS KEYSTROKE AUTHENTICATION</w:t>
      </w:r>
    </w:p>
    <w:p>
      <w:pPr>
        <w:jc w:val="center"/>
        <w:spacing w:before="0" w:after="360" w:line="276" w:lineRule="auto"/>
      </w:pPr>
      <w:r>
        <w:rPr>
          <w:rFonts w:ascii="Times New Roman" w:hAnsi="Times New Roman" w:cs="Times New Roman"/>
          <w:sz w:val="28"/>
          <w:szCs w:val="28"/>
          <w:b/>
          <w:caps/>
        </w:rPr>
        <w:t>WITH LLM-AWARE TAKEOVER DETECTION</w:t>
      </w:r>
    </w:p>
    <w:p>
      <w:pPr>
        <w:jc w:val="center"/>
        <w:spacing w:before="0" w:after="0" w:line="276" w:lineRule="auto"/>
      </w:pPr>
      <w:r>
        <w:rPr>
          <w:rFonts w:ascii="Times New Roman" w:hAnsi="Times New Roman" w:cs="Times New Roman"/>
          <w:sz w:val="24"/>
          <w:szCs w:val="24"/>
        </w:rPr>
        <w:t>Report submitted to the SASTRA Deemed to be University</w:t>
      </w:r>
    </w:p>
    <w:p>
      <w:pPr>
        <w:jc w:val="center"/>
        <w:spacing w:before="0" w:after="0" w:line="276" w:lineRule="auto"/>
      </w:pPr>
      <w:r>
        <w:rPr>
          <w:rFonts w:ascii="Times New Roman" w:hAnsi="Times New Roman" w:cs="Times New Roman"/>
          <w:sz w:val="24"/>
          <w:szCs w:val="24"/>
        </w:rPr>
        <w:t>in partial fulfillment of the requirements</w:t>
      </w:r>
    </w:p>
    <w:p>
      <w:pPr>
        <w:jc w:val="center"/>
        <w:spacing w:before="0" w:after="180" w:line="276" w:lineRule="auto"/>
      </w:pPr>
      <w:r>
        <w:rPr>
          <w:rFonts w:ascii="Times New Roman" w:hAnsi="Times New Roman" w:cs="Times New Roman"/>
          <w:sz w:val="24"/>
          <w:szCs w:val="24"/>
        </w:rPr>
        <w:t>for the award of the degree of</w:t>
      </w:r>
    </w:p>
    <w:p>
      <w:pPr>
        <w:jc w:val="center"/>
        <w:spacing w:before="0" w:after="300" w:line="276" w:lineRule="auto"/>
      </w:pPr>
      <w:r>
        <w:rPr>
          <w:rFonts w:ascii="Times New Roman" w:hAnsi="Times New Roman" w:cs="Times New Roman"/>
          <w:sz w:val="24"/>
          <w:szCs w:val="24"/>
          <w:b/>
        </w:rPr>
        <w:t>Master of Computer Applications</w:t>
      </w:r>
    </w:p>
    <w:p>
      <w:pPr>
        <w:jc w:val="center"/>
        <w:spacing w:before="0" w:after="0" w:line="276" w:lineRule="auto"/>
      </w:pPr>
      <w:r>
        <w:rPr>
          <w:rFonts w:ascii="Times New Roman" w:hAnsi="Times New Roman" w:cs="Times New Roman"/>
          <w:sz w:val="24"/>
          <w:szCs w:val="24"/>
        </w:rPr>
        <w:t>Submitted by</w:t>
      </w:r>
    </w:p>
    <w:p>
      <w:pPr>
        <w:jc w:val="center"/>
        <w:spacing w:before="0" w:after="0" w:line="276" w:lineRule="auto"/>
      </w:pPr>
      <w:r>
        <w:rPr>
          <w:rFonts w:ascii="Times New Roman" w:hAnsi="Times New Roman" w:cs="Times New Roman"/>
          <w:sz w:val="24"/>
          <w:szCs w:val="24"/>
          <w:b/>
        </w:rPr>
        <w:t>Raja Rajeswaran</w:t>
      </w:r>
    </w:p>
    <w:p>
      <w:pPr>
        <w:jc w:val="center"/>
        <w:spacing w:before="0" w:after="300" w:line="276" w:lineRule="auto"/>
      </w:pPr>
      <w:r>
        <w:rPr>
          <w:rFonts w:ascii="Times New Roman" w:hAnsi="Times New Roman" w:cs="Times New Roman"/>
          <w:sz w:val="24"/>
          <w:szCs w:val="24"/>
        </w:rPr>
        <w:t>(Reg. No.: 126033005)</w:t>
      </w:r>
    </w:p>
    <w:p>
      <w:pPr>
        <w:jc w:val="center"/>
        <w:spacing w:before="0" w:after="300" w:line="276" w:lineRule="auto"/>
      </w:pPr>
      <w:r>
        <w:rPr>
          <w:rFonts w:ascii="Times New Roman" w:hAnsi="Times New Roman" w:cs="Times New Roman"/>
          <w:sz w:val="24"/>
          <w:szCs w:val="24"/>
        </w:rPr>
        <w:t>May 2026</w:t>
      </w:r>
    </w:p>
    <w:p>
      <w:pPr>
        <w:jc w:val="center"/>
        <w:spacing w:before="0" w:after="0" w:line="276" w:lineRule="auto"/>
      </w:pPr>
      <w:r>
        <w:rPr>
          <w:rFonts w:ascii="Times New Roman" w:hAnsi="Times New Roman" w:cs="Times New Roman"/>
          <w:sz w:val="24"/>
          <w:szCs w:val="24"/>
          <w:b/>
        </w:rPr>
        <w:t>SCHOOL OF COMPUTING</w:t>
      </w:r>
    </w:p>
    <w:p>
      <w:pPr>
        <w:jc w:val="center"/>
        <w:spacing w:before="0" w:after="120" w:line="276" w:lineRule="auto"/>
      </w:pPr>
      <w:r>
        <w:rPr>
          <w:rFonts w:ascii="Times New Roman" w:hAnsi="Times New Roman" w:cs="Times New Roman"/>
          <w:sz w:val="24"/>
          <w:szCs w:val="24"/>
          <w:b/>
        </w:rPr>
        <w:t>THANJAVUR, TAMIL NADU, INDIA - 613401</w:t>
      </w:r>
    </w:p>
    <w:p>
      <w:r>
        <w:br w:type="page"/>
      </w:r>
    </w:p>
    <w:p>
      <w:pPr>
        <w:jc w:val="center"/>
        <w:spacing w:before="0" w:after="0" w:line="276" w:lineRule="auto"/>
      </w:pPr>
      <w:r>
        <w:rPr>
          <w:rFonts w:ascii="Times New Roman" w:hAnsi="Times New Roman" w:cs="Times New Roman"/>
          <w:sz w:val="24"/>
          <w:szCs w:val="24"/>
          <w:b/>
        </w:rPr>
        <w:t>SCHOOL OF COMPUTING</w:t>
      </w:r>
    </w:p>
    <w:p>
      <w:pPr>
        <w:jc w:val="center"/>
        <w:spacing w:before="0" w:after="240" w:line="276" w:lineRule="auto"/>
      </w:pPr>
      <w:r>
        <w:rPr>
          <w:rFonts w:ascii="Times New Roman" w:hAnsi="Times New Roman" w:cs="Times New Roman"/>
          <w:sz w:val="24"/>
          <w:szCs w:val="24"/>
          <w:b/>
        </w:rPr>
        <w:t>THANJAVUR - 613 401</w:t>
      </w:r>
    </w:p>
    <w:p>
      <w:pPr>
        <w:jc w:val="center"/>
        <w:spacing w:before="0" w:after="240" w:line="276" w:lineRule="auto"/>
      </w:pPr>
      <w:r>
        <w:rPr>
          <w:rFonts w:ascii="Times New Roman" w:hAnsi="Times New Roman" w:cs="Times New Roman"/>
          <w:sz w:val="24"/>
          <w:szCs w:val="24"/>
          <w:b/>
        </w:rPr>
        <w:t>Bonafide Certificate</w:t>
      </w:r>
    </w:p>
    <w:p>
      <w:pPr>
        <w:jc w:val="both"/>
        <w:spacing w:before="0" w:after="120" w:line="276" w:lineRule="auto"/>
      </w:pPr>
      <w:r>
        <w:rPr>
          <w:rFonts w:ascii="Times New Roman" w:hAnsi="Times New Roman" w:cs="Times New Roman"/>
          <w:sz w:val="24"/>
          <w:szCs w:val="24"/>
        </w:rPr>
        <w:t>This is to certify that the project report titled "Type2Branch-CA: Continuous Keystroke Authentication with LLM-Aware Takeover Detection" submitted in partial fulfillment of the requirements for the award of the degree of Master of Computer Applications to the SASTRA Deemed to be University is a bona-fide record of the work done by Mr. Raja Rajeswaran (Reg. No. 126033005) during the academic year 2025-26 in the School of Computing under my supervision. This report has not formed the basis for the award of any degree, diploma, associateship, fellowship, or similar title to any candidate of any University.</w:t>
      </w:r>
    </w:p>
    <w:p>
      <w:pPr>
        <w:jc w:val="left"/>
        <w:spacing w:before="0" w:after="120" w:line="276" w:lineRule="auto"/>
      </w:pPr>
      <w:r>
        <w:rPr>
          <w:rFonts w:ascii="Times New Roman" w:hAnsi="Times New Roman" w:cs="Times New Roman"/>
          <w:sz w:val="24"/>
          <w:szCs w:val="24"/>
        </w:rPr>
        <w:t>Signature of Project Supervisor:</w:t>
      </w:r>
    </w:p>
    <w:p>
      <w:pPr>
        <w:jc w:val="left"/>
        <w:spacing w:before="0" w:after="120" w:line="276" w:lineRule="auto"/>
      </w:pPr>
      <w:r>
        <w:rPr>
          <w:rFonts w:ascii="Times New Roman" w:hAnsi="Times New Roman" w:cs="Times New Roman"/>
          <w:sz w:val="24"/>
          <w:szCs w:val="24"/>
        </w:rPr>
        <w:t>Name with Affiliation:</w:t>
      </w:r>
    </w:p>
    <w:p>
      <w:pPr>
        <w:jc w:val="left"/>
        <w:spacing w:before="0" w:after="240" w:line="276" w:lineRule="auto"/>
      </w:pPr>
      <w:r>
        <w:rPr>
          <w:rFonts w:ascii="Times New Roman" w:hAnsi="Times New Roman" w:cs="Times New Roman"/>
          <w:sz w:val="24"/>
          <w:szCs w:val="24"/>
        </w:rPr>
        <w:t>Date:</w:t>
      </w:r>
    </w:p>
    <w:p>
      <w:pPr>
        <w:jc w:val="left"/>
        <w:spacing w:before="0" w:after="240" w:line="276" w:lineRule="auto"/>
      </w:pPr>
      <w:r>
        <w:rPr>
          <w:rFonts w:ascii="Times New Roman" w:hAnsi="Times New Roman" w:cs="Times New Roman"/>
          <w:sz w:val="24"/>
          <w:szCs w:val="24"/>
        </w:rPr>
        <w:t>Project Viva Voce held on: __________________</w:t>
      </w:r>
    </w:p>
    <w:p>
      <w:pPr>
        <w:jc w:val="left"/>
        <w:spacing w:before="0" w:after="120" w:line="276" w:lineRule="auto"/>
      </w:pPr>
      <w:r>
        <w:rPr>
          <w:rFonts w:ascii="Times New Roman" w:hAnsi="Times New Roman" w:cs="Times New Roman"/>
          <w:sz w:val="24"/>
          <w:szCs w:val="24"/>
        </w:rPr>
        <w:t>Examiner 1: __________________    Examiner 2: __________________</w:t>
      </w:r>
    </w:p>
    <w:p>
      <w:r>
        <w:br w:type="page"/>
      </w:r>
    </w:p>
    <w:p>
      <w:pPr>
        <w:jc w:val="center"/>
        <w:spacing w:before="0" w:after="0" w:line="276" w:lineRule="auto"/>
      </w:pPr>
      <w:r>
        <w:rPr>
          <w:rFonts w:ascii="Times New Roman" w:hAnsi="Times New Roman" w:cs="Times New Roman"/>
          <w:sz w:val="24"/>
          <w:szCs w:val="24"/>
          <w:b/>
        </w:rPr>
        <w:t>SCHOOL OF COMPUTING</w:t>
      </w:r>
    </w:p>
    <w:p>
      <w:pPr>
        <w:jc w:val="center"/>
        <w:spacing w:before="0" w:after="240" w:line="276" w:lineRule="auto"/>
      </w:pPr>
      <w:r>
        <w:rPr>
          <w:rFonts w:ascii="Times New Roman" w:hAnsi="Times New Roman" w:cs="Times New Roman"/>
          <w:sz w:val="24"/>
          <w:szCs w:val="24"/>
          <w:b/>
        </w:rPr>
        <w:t>THANJAVUR - 613 401</w:t>
      </w:r>
    </w:p>
    <w:p>
      <w:pPr>
        <w:jc w:val="center"/>
        <w:spacing w:before="0" w:after="240" w:line="276" w:lineRule="auto"/>
      </w:pPr>
      <w:r>
        <w:rPr>
          <w:rFonts w:ascii="Times New Roman" w:hAnsi="Times New Roman" w:cs="Times New Roman"/>
          <w:sz w:val="24"/>
          <w:szCs w:val="24"/>
          <w:b/>
        </w:rPr>
        <w:t>Declaration</w:t>
      </w:r>
    </w:p>
    <w:p>
      <w:pPr>
        <w:jc w:val="both"/>
        <w:spacing w:before="0" w:after="120" w:line="276" w:lineRule="auto"/>
      </w:pPr>
      <w:r>
        <w:rPr>
          <w:rFonts w:ascii="Times New Roman" w:hAnsi="Times New Roman" w:cs="Times New Roman"/>
          <w:sz w:val="24"/>
          <w:szCs w:val="24"/>
        </w:rPr>
        <w:t>I declare that the project report titled "Type2Branch-CA: Continuous Keystroke Authentication with LLM-Aware Takeover Detection" submitted by me is an original work done under the guidance of my supervisor in the School of Computing, SASTRA Deemed to be University, during the academic year 2025-26. Wherever materials from other sources have been used, due credit has been given with proper citations in the report. This report has not formed the basis for the award of any degree, diploma, associateship, fellowship, or similar title to any candidate of any University.</w:t>
      </w:r>
    </w:p>
    <w:p>
      <w:pPr>
        <w:jc w:val="left"/>
        <w:spacing w:before="0" w:after="180" w:line="276" w:lineRule="auto"/>
      </w:pPr>
      <w:r>
        <w:rPr>
          <w:rFonts w:ascii="Times New Roman" w:hAnsi="Times New Roman" w:cs="Times New Roman"/>
          <w:sz w:val="24"/>
          <w:szCs w:val="24"/>
        </w:rPr>
        <w:t>Signature of Candidate: __________________</w:t>
      </w:r>
    </w:p>
    <w:p>
      <w:pPr>
        <w:jc w:val="left"/>
        <w:spacing w:before="0" w:after="120" w:line="276" w:lineRule="auto"/>
      </w:pPr>
      <w:r>
        <w:rPr>
          <w:rFonts w:ascii="Times New Roman" w:hAnsi="Times New Roman" w:cs="Times New Roman"/>
          <w:sz w:val="24"/>
          <w:szCs w:val="24"/>
        </w:rPr>
        <w:t>Name of Candidate: Raja Rajeswaran</w:t>
      </w:r>
    </w:p>
    <w:p>
      <w:pPr>
        <w:jc w:val="left"/>
        <w:spacing w:before="0" w:after="120" w:line="276" w:lineRule="auto"/>
      </w:pPr>
      <w:r>
        <w:rPr>
          <w:rFonts w:ascii="Times New Roman" w:hAnsi="Times New Roman" w:cs="Times New Roman"/>
          <w:sz w:val="24"/>
          <w:szCs w:val="24"/>
        </w:rPr>
        <w:t>Date: __________________</w:t>
      </w:r>
    </w:p>
    <w:p>
      <w:r>
        <w:br w:type="page"/>
      </w:r>
    </w:p>
    <w:p>
      <w:pPr>
        <w:jc w:val="center"/>
        <w:spacing w:before="0" w:after="240" w:line="276" w:lineRule="auto"/>
      </w:pPr>
      <w:r>
        <w:rPr>
          <w:rFonts w:ascii="Times New Roman" w:hAnsi="Times New Roman" w:cs="Times New Roman"/>
          <w:sz w:val="28"/>
          <w:szCs w:val="28"/>
          <w:b/>
          <w:caps/>
        </w:rPr>
        <w:t>ACKNOWLEDGEMENTS</w:t>
      </w:r>
    </w:p>
    <w:p>
      <w:pPr>
        <w:jc w:val="both"/>
        <w:spacing w:before="0" w:after="120" w:line="276" w:lineRule="auto"/>
      </w:pPr>
      <w:r>
        <w:rPr>
          <w:rFonts w:ascii="Times New Roman" w:hAnsi="Times New Roman" w:cs="Times New Roman"/>
          <w:sz w:val="24"/>
          <w:szCs w:val="24"/>
        </w:rPr>
        <w:t>I express my sincere gratitude to the Chancellor, Vice-Chancellor, Dean, Associate Deans, and faculty members of the School of Computing, SASTRA Deemed to be University, for providing academic support, infrastructure, and encouragement for this project work. I thank my project supervisor for continuous guidance, critical feedback, and domain-specific insights throughout the problem formulation, experimentation, and report preparation phases.</w:t>
      </w:r>
    </w:p>
    <w:p>
      <w:pPr>
        <w:jc w:val="both"/>
        <w:spacing w:before="0" w:after="120" w:line="276" w:lineRule="auto"/>
      </w:pPr>
      <w:r>
        <w:rPr>
          <w:rFonts w:ascii="Times New Roman" w:hAnsi="Times New Roman" w:cs="Times New Roman"/>
          <w:sz w:val="24"/>
          <w:szCs w:val="24"/>
        </w:rPr>
        <w:t>I also acknowledge the contribution of the project review panel members whose comments during review cycles helped improve the methodological rigor, claim framing, and quality of presentation. I thank my peers and friends for collaborative discussions, and my family for their support during the project timeline.</w:t>
      </w:r>
    </w:p>
    <w:p>
      <w:pPr>
        <w:jc w:val="both"/>
        <w:spacing w:before="0" w:after="120" w:line="276" w:lineRule="auto"/>
      </w:pPr>
      <w:r>
        <w:rPr>
          <w:rFonts w:ascii="Times New Roman" w:hAnsi="Times New Roman" w:cs="Times New Roman"/>
          <w:sz w:val="24"/>
          <w:szCs w:val="24"/>
        </w:rPr>
        <w:t>This work made use of high-performance computing resources, including DGX H200 class infrastructure for model training and controlled evaluation runs. I gratefully acknowledge the support available for compute access and experimentation workflows.</w:t>
      </w:r>
    </w:p>
    <w:p>
      <w:r>
        <w:br w:type="page"/>
      </w:r>
    </w:p>
    <w:p>
      <w:pPr>
        <w:jc w:val="center"/>
        <w:spacing w:before="0" w:after="240" w:line="276" w:lineRule="auto"/>
      </w:pPr>
      <w:r>
        <w:rPr>
          <w:rFonts w:ascii="Times New Roman" w:hAnsi="Times New Roman" w:cs="Times New Roman"/>
          <w:sz w:val="28"/>
          <w:szCs w:val="28"/>
          <w:b/>
          <w:caps/>
        </w:rPr>
        <w:t>ABSTRACT</w:t>
      </w:r>
    </w:p>
    <w:p>
      <w:pPr>
        <w:jc w:val="both"/>
        <w:spacing w:before="0" w:after="120" w:line="276" w:lineRule="auto"/>
      </w:pPr>
      <w:r>
        <w:rPr>
          <w:rFonts w:ascii="Times New Roman" w:hAnsi="Times New Roman" w:cs="Times New Roman"/>
          <w:sz w:val="24"/>
          <w:szCs w:val="24"/>
        </w:rPr>
        <w:t>This project presents a continuous keystroke-biometric security framework built on Type2Branch embeddings with an online dual-gate decision policy. The first gate is a biometric distance gate calibrated on validation users (xv) and reported on held-out users (xe), while the second gate is an LLM-aware behavior gate designed to flag assisted or pasted typing patterns in online sessions. The study addresses a realistic post-login threat model where a genuine user session can switch to an impostor or assisted-input attacker after initial authentication. In the current report artifacts, impostor-session detection is 99.600% with mean delay 4.197 steps, and LLM-session detection is 99.600% with mean delay 3.000 steps. False alarm before attack is maintained at 0.400%. A multi-seed ablation protocol over baseline policies (B1/B2/B3) and proposed policy (P) was performed for two session settings (40:80 and 80:160), enabling reproducible tradeoff analysis across detection, attack acceptance, and delay. The project includes an operational demo application for enrollment and authentication workflows, and a paper-artifact pipeline that generates tables, figures, and manuscript-ready summaries. The contribution is protocol-level novelty for continuous, LLM-aware online defense with reproducible reporting rather than re-claiming the original Type2Branch architecture novelty.</w:t>
      </w:r>
    </w:p>
    <w:p>
      <w:pPr>
        <w:jc w:val="left"/>
        <w:spacing w:before="0" w:after="60" w:line="276" w:lineRule="auto"/>
      </w:pPr>
      <w:r>
        <w:rPr>
          <w:rFonts w:ascii="Times New Roman" w:hAnsi="Times New Roman" w:cs="Times New Roman"/>
          <w:sz w:val="24"/>
          <w:szCs w:val="24"/>
          <w:b/>
        </w:rPr>
        <w:t>Specific Contribution</w:t>
      </w:r>
    </w:p>
    <w:p>
      <w:pPr>
        <w:jc w:val="left"/>
        <w:spacing w:before="0" w:after="60" w:line="276" w:lineRule="auto"/>
      </w:pPr>
      <w:r>
        <w:rPr>
          <w:rFonts w:ascii="Times New Roman" w:hAnsi="Times New Roman" w:cs="Times New Roman"/>
          <w:sz w:val="24"/>
          <w:szCs w:val="24"/>
        </w:rPr>
        <w:t>• Designed and implemented continuous authentication protocol with genuine-to-attack switch sessions.</w:t>
      </w:r>
    </w:p>
    <w:p>
      <w:pPr>
        <w:jc w:val="left"/>
        <w:spacing w:before="0" w:after="60" w:line="276" w:lineRule="auto"/>
      </w:pPr>
      <w:r>
        <w:rPr>
          <w:rFonts w:ascii="Times New Roman" w:hAnsi="Times New Roman" w:cs="Times New Roman"/>
          <w:sz w:val="24"/>
          <w:szCs w:val="24"/>
        </w:rPr>
        <w:t>• Implemented dual-gate policy combining biometric thresholding and LLM-aware behavior detection.</w:t>
      </w:r>
    </w:p>
    <w:p>
      <w:pPr>
        <w:jc w:val="left"/>
        <w:spacing w:before="0" w:after="60" w:line="276" w:lineRule="auto"/>
      </w:pPr>
      <w:r>
        <w:rPr>
          <w:rFonts w:ascii="Times New Roman" w:hAnsi="Times New Roman" w:cs="Times New Roman"/>
          <w:sz w:val="24"/>
          <w:szCs w:val="24"/>
        </w:rPr>
        <w:t>• Built ablation and policy-selection pipeline with multi-seed aggregated reporting.</w:t>
      </w:r>
    </w:p>
    <w:p>
      <w:pPr>
        <w:jc w:val="left"/>
        <w:spacing w:before="0" w:after="60" w:line="276" w:lineRule="auto"/>
      </w:pPr>
      <w:r>
        <w:rPr>
          <w:rFonts w:ascii="Times New Roman" w:hAnsi="Times New Roman" w:cs="Times New Roman"/>
          <w:sz w:val="24"/>
          <w:szCs w:val="24"/>
        </w:rPr>
        <w:t>• Integrated deployment-facing Streamlit app with persistent enrollment for testcase validation.</w:t>
      </w:r>
    </w:p>
    <w:p>
      <w:pPr>
        <w:jc w:val="left"/>
        <w:spacing w:before="0" w:after="120" w:line="276" w:lineRule="auto"/>
      </w:pPr>
      <w:r>
        <w:rPr>
          <w:rFonts w:ascii="Times New Roman" w:hAnsi="Times New Roman" w:cs="Times New Roman"/>
          <w:sz w:val="24"/>
          <w:szCs w:val="24"/>
          <w:b/>
        </w:rPr>
        <w:t>Specific Learning</w:t>
      </w:r>
    </w:p>
    <w:p>
      <w:pPr>
        <w:jc w:val="left"/>
        <w:spacing w:before="0" w:after="60" w:line="276" w:lineRule="auto"/>
      </w:pPr>
      <w:r>
        <w:rPr>
          <w:rFonts w:ascii="Times New Roman" w:hAnsi="Times New Roman" w:cs="Times New Roman"/>
          <w:sz w:val="24"/>
          <w:szCs w:val="24"/>
        </w:rPr>
        <w:t>• Understood split hygiene (xt/xv/xe) and leakage-safe calibration for biometric systems.</w:t>
      </w:r>
    </w:p>
    <w:p>
      <w:pPr>
        <w:jc w:val="left"/>
        <w:spacing w:before="0" w:after="60" w:line="276" w:lineRule="auto"/>
      </w:pPr>
      <w:r>
        <w:rPr>
          <w:rFonts w:ascii="Times New Roman" w:hAnsi="Times New Roman" w:cs="Times New Roman"/>
          <w:sz w:val="24"/>
          <w:szCs w:val="24"/>
        </w:rPr>
        <w:t>• Learned tradeoff balancing between usability (false alarms) and security (detection latency).</w:t>
      </w:r>
    </w:p>
    <w:p>
      <w:pPr>
        <w:jc w:val="left"/>
        <w:spacing w:before="0" w:after="60" w:line="276" w:lineRule="auto"/>
      </w:pPr>
      <w:r>
        <w:rPr>
          <w:rFonts w:ascii="Times New Roman" w:hAnsi="Times New Roman" w:cs="Times New Roman"/>
          <w:sz w:val="24"/>
          <w:szCs w:val="24"/>
        </w:rPr>
        <w:t>• Gained practical knowledge of DGX execution, experiment reproducibility, and report automation.</w:t>
      </w:r>
    </w:p>
    <w:p>
      <w:pPr>
        <w:jc w:val="left"/>
        <w:spacing w:before="0" w:after="120" w:line="276" w:lineRule="auto"/>
      </w:pPr>
      <w:r>
        <w:rPr>
          <w:rFonts w:ascii="Times New Roman" w:hAnsi="Times New Roman" w:cs="Times New Roman"/>
          <w:sz w:val="22"/>
          <w:szCs w:val="22"/>
          <w:i/>
        </w:rPr>
        <w:t>Keywords: Keystroke Dynamics, Continuous Authentication, Behavioral Biometrics, Type2Branch, LLM-Aware Detection</w:t>
      </w:r>
    </w:p>
    <w:p>
      <w:r>
        <w:br w:type="page"/>
      </w:r>
    </w:p>
    <w:p>
      <w:pPr>
        <w:jc w:val="center"/>
        <w:spacing w:before="0" w:after="240" w:line="276" w:lineRule="auto"/>
      </w:pPr>
      <w:r>
        <w:rPr>
          <w:rFonts w:ascii="Times New Roman" w:hAnsi="Times New Roman" w:cs="Times New Roman"/>
          <w:sz w:val="28"/>
          <w:szCs w:val="28"/>
          <w:b/>
          <w:caps/>
        </w:rPr>
        <w:t>TABLE OF CONTENTS</w:t>
      </w:r>
    </w:p>
    <w:p>
      <w:pPr>
        <w:jc w:val="left"/>
        <w:spacing w:before="0" w:after="30" w:line="276" w:lineRule="auto"/>
      </w:pPr>
      <w:r>
        <w:rPr>
          <w:rFonts w:ascii="Times New Roman" w:hAnsi="Times New Roman" w:cs="Times New Roman"/>
          <w:sz w:val="22"/>
          <w:szCs w:val="22"/>
        </w:rPr>
        <w:t>Bonafide Certificate ........................................ ii</w:t>
      </w:r>
    </w:p>
    <w:p>
      <w:pPr>
        <w:jc w:val="left"/>
        <w:spacing w:before="0" w:after="30" w:line="276" w:lineRule="auto"/>
      </w:pPr>
      <w:r>
        <w:rPr>
          <w:rFonts w:ascii="Times New Roman" w:hAnsi="Times New Roman" w:cs="Times New Roman"/>
          <w:sz w:val="22"/>
          <w:szCs w:val="22"/>
        </w:rPr>
        <w:t>Declaration .................................................. iii</w:t>
      </w:r>
    </w:p>
    <w:p>
      <w:pPr>
        <w:jc w:val="left"/>
        <w:spacing w:before="0" w:after="30" w:line="276" w:lineRule="auto"/>
      </w:pPr>
      <w:r>
        <w:rPr>
          <w:rFonts w:ascii="Times New Roman" w:hAnsi="Times New Roman" w:cs="Times New Roman"/>
          <w:sz w:val="22"/>
          <w:szCs w:val="22"/>
        </w:rPr>
        <w:t>Acknowledgements ............................................. iv</w:t>
      </w:r>
    </w:p>
    <w:p>
      <w:pPr>
        <w:jc w:val="left"/>
        <w:spacing w:before="0" w:after="30" w:line="276" w:lineRule="auto"/>
      </w:pPr>
      <w:r>
        <w:rPr>
          <w:rFonts w:ascii="Times New Roman" w:hAnsi="Times New Roman" w:cs="Times New Roman"/>
          <w:sz w:val="22"/>
          <w:szCs w:val="22"/>
        </w:rPr>
        <w:t>Abstract ..................................................... v</w:t>
      </w:r>
    </w:p>
    <w:p>
      <w:pPr>
        <w:jc w:val="left"/>
        <w:spacing w:before="0" w:after="30" w:line="276" w:lineRule="auto"/>
      </w:pPr>
      <w:r>
        <w:rPr>
          <w:rFonts w:ascii="Times New Roman" w:hAnsi="Times New Roman" w:cs="Times New Roman"/>
          <w:sz w:val="22"/>
          <w:szCs w:val="22"/>
        </w:rPr>
        <w:t>List of Figures .............................................. vi</w:t>
      </w:r>
    </w:p>
    <w:p>
      <w:pPr>
        <w:jc w:val="left"/>
        <w:spacing w:before="0" w:after="30" w:line="276" w:lineRule="auto"/>
      </w:pPr>
      <w:r>
        <w:rPr>
          <w:rFonts w:ascii="Times New Roman" w:hAnsi="Times New Roman" w:cs="Times New Roman"/>
          <w:sz w:val="22"/>
          <w:szCs w:val="22"/>
        </w:rPr>
        <w:t>List of Tables ............................................... vii</w:t>
      </w:r>
    </w:p>
    <w:p>
      <w:pPr>
        <w:jc w:val="left"/>
        <w:spacing w:before="0" w:after="30" w:line="276" w:lineRule="auto"/>
      </w:pPr>
      <w:r>
        <w:rPr>
          <w:rFonts w:ascii="Times New Roman" w:hAnsi="Times New Roman" w:cs="Times New Roman"/>
          <w:sz w:val="22"/>
          <w:szCs w:val="22"/>
        </w:rPr>
        <w:t>CHAPTER 1 INTRODUCTION ....................................... 1</w:t>
      </w:r>
    </w:p>
    <w:p>
      <w:pPr>
        <w:jc w:val="left"/>
        <w:spacing w:before="0" w:after="30" w:line="276" w:lineRule="auto"/>
      </w:pPr>
      <w:r>
        <w:rPr>
          <w:rFonts w:ascii="Times New Roman" w:hAnsi="Times New Roman" w:cs="Times New Roman"/>
          <w:sz w:val="22"/>
          <w:szCs w:val="22"/>
        </w:rPr>
        <w:t>CHAPTER 2 OBJECTIVES ......................................... 9</w:t>
      </w:r>
    </w:p>
    <w:p>
      <w:pPr>
        <w:jc w:val="left"/>
        <w:spacing w:before="0" w:after="30" w:line="276" w:lineRule="auto"/>
      </w:pPr>
      <w:r>
        <w:rPr>
          <w:rFonts w:ascii="Times New Roman" w:hAnsi="Times New Roman" w:cs="Times New Roman"/>
          <w:sz w:val="22"/>
          <w:szCs w:val="22"/>
        </w:rPr>
        <w:t>CHAPTER 3 EXPERIMENTAL WORK / METHODOLOGY ................... 12</w:t>
      </w:r>
    </w:p>
    <w:p>
      <w:pPr>
        <w:jc w:val="left"/>
        <w:spacing w:before="0" w:after="30" w:line="276" w:lineRule="auto"/>
      </w:pPr>
      <w:r>
        <w:rPr>
          <w:rFonts w:ascii="Times New Roman" w:hAnsi="Times New Roman" w:cs="Times New Roman"/>
          <w:sz w:val="22"/>
          <w:szCs w:val="22"/>
        </w:rPr>
        <w:t>CHAPTER 4 RESULTS AND DISCUSSION ............................ 24</w:t>
      </w:r>
    </w:p>
    <w:p>
      <w:pPr>
        <w:jc w:val="left"/>
        <w:spacing w:before="0" w:after="30" w:line="276" w:lineRule="auto"/>
      </w:pPr>
      <w:r>
        <w:rPr>
          <w:rFonts w:ascii="Times New Roman" w:hAnsi="Times New Roman" w:cs="Times New Roman"/>
          <w:sz w:val="22"/>
          <w:szCs w:val="22"/>
        </w:rPr>
        <w:t>CHAPTER 5 CONCLUSIONS AND FURTHER WORK ...................... 37</w:t>
      </w:r>
    </w:p>
    <w:p>
      <w:pPr>
        <w:jc w:val="left"/>
        <w:spacing w:before="0" w:after="30" w:line="276" w:lineRule="auto"/>
      </w:pPr>
      <w:r>
        <w:rPr>
          <w:rFonts w:ascii="Times New Roman" w:hAnsi="Times New Roman" w:cs="Times New Roman"/>
          <w:sz w:val="22"/>
          <w:szCs w:val="22"/>
        </w:rPr>
        <w:t>REFERENCES ................................................... 40</w:t>
      </w:r>
    </w:p>
    <w:p>
      <w:pPr>
        <w:jc w:val="left"/>
        <w:spacing w:before="0" w:after="30" w:line="276" w:lineRule="auto"/>
      </w:pPr>
      <w:r>
        <w:rPr>
          <w:rFonts w:ascii="Times New Roman" w:hAnsi="Times New Roman" w:cs="Times New Roman"/>
          <w:sz w:val="22"/>
          <w:szCs w:val="22"/>
        </w:rPr>
        <w:t>APPENDIX ..................................................... 43</w:t>
      </w:r>
    </w:p>
    <w:p>
      <w:r>
        <w:br w:type="page"/>
      </w:r>
    </w:p>
    <w:p>
      <w:pPr>
        <w:jc w:val="center"/>
        <w:spacing w:before="0" w:after="240" w:line="276" w:lineRule="auto"/>
      </w:pPr>
      <w:r>
        <w:rPr>
          <w:rFonts w:ascii="Times New Roman" w:hAnsi="Times New Roman" w:cs="Times New Roman"/>
          <w:sz w:val="28"/>
          <w:szCs w:val="28"/>
          <w:b/>
          <w:caps/>
        </w:rPr>
        <w:t>LIST OF FIGURES</w:t>
      </w:r>
    </w:p>
    <w:p>
      <w:pPr>
        <w:jc w:val="left"/>
        <w:spacing w:before="0" w:after="30" w:line="276" w:lineRule="auto"/>
      </w:pPr>
      <w:r>
        <w:rPr>
          <w:rFonts w:ascii="Times New Roman" w:hAnsi="Times New Roman" w:cs="Times New Roman"/>
          <w:sz w:val="22"/>
          <w:szCs w:val="22"/>
        </w:rPr>
        <w:t>Fig. 3.1 System architecture of Type2Branch-CA .............................</w:t>
      </w:r>
    </w:p>
    <w:p>
      <w:pPr>
        <w:jc w:val="left"/>
        <w:spacing w:before="0" w:after="30" w:line="276" w:lineRule="auto"/>
      </w:pPr>
      <w:r>
        <w:rPr>
          <w:rFonts w:ascii="Times New Roman" w:hAnsi="Times New Roman" w:cs="Times New Roman"/>
          <w:sz w:val="22"/>
          <w:szCs w:val="22"/>
        </w:rPr>
        <w:t>Fig. 3.2 Continuous session protocol timeline ...............................</w:t>
      </w:r>
    </w:p>
    <w:p>
      <w:pPr>
        <w:jc w:val="left"/>
        <w:spacing w:before="0" w:after="30" w:line="276" w:lineRule="auto"/>
      </w:pPr>
      <w:r>
        <w:rPr>
          <w:rFonts w:ascii="Times New Roman" w:hAnsi="Times New Roman" w:cs="Times New Roman"/>
          <w:sz w:val="22"/>
          <w:szCs w:val="22"/>
        </w:rPr>
        <w:t>Fig. 4.1 Detection delay histogram (impostor and LLM sessions) ..............</w:t>
      </w:r>
    </w:p>
    <w:p>
      <w:pPr>
        <w:jc w:val="left"/>
        <w:spacing w:before="0" w:after="30" w:line="276" w:lineRule="auto"/>
      </w:pPr>
      <w:r>
        <w:rPr>
          <w:rFonts w:ascii="Times New Roman" w:hAnsi="Times New Roman" w:cs="Times New Roman"/>
          <w:sz w:val="22"/>
          <w:szCs w:val="22"/>
        </w:rPr>
        <w:t>Fig. 4.2 LLM detector ROC curve ............................................</w:t>
      </w:r>
    </w:p>
    <w:p>
      <w:pPr>
        <w:jc w:val="left"/>
        <w:spacing w:before="0" w:after="30" w:line="276" w:lineRule="auto"/>
      </w:pPr>
      <w:r>
        <w:rPr>
          <w:rFonts w:ascii="Times New Roman" w:hAnsi="Times New Roman" w:cs="Times New Roman"/>
          <w:sz w:val="22"/>
          <w:szCs w:val="22"/>
        </w:rPr>
        <w:t>Fig. 4.3 LLM detector calibration curve ....................................</w:t>
      </w:r>
    </w:p>
    <w:p>
      <w:pPr>
        <w:jc w:val="left"/>
        <w:spacing w:before="0" w:after="30" w:line="276" w:lineRule="auto"/>
      </w:pPr>
      <w:r>
        <w:rPr>
          <w:rFonts w:ascii="Times New Roman" w:hAnsi="Times New Roman" w:cs="Times New Roman"/>
          <w:sz w:val="22"/>
          <w:szCs w:val="22"/>
        </w:rPr>
        <w:t>Fig. 4.4 Policy tradeoff plot (false alarm vs detection) ....................</w:t>
      </w:r>
    </w:p>
    <w:p>
      <w:r>
        <w:br w:type="page"/>
      </w:r>
    </w:p>
    <w:p>
      <w:pPr>
        <w:jc w:val="center"/>
        <w:spacing w:before="0" w:after="240" w:line="276" w:lineRule="auto"/>
      </w:pPr>
      <w:r>
        <w:rPr>
          <w:rFonts w:ascii="Times New Roman" w:hAnsi="Times New Roman" w:cs="Times New Roman"/>
          <w:sz w:val="28"/>
          <w:szCs w:val="28"/>
          <w:b/>
          <w:caps/>
        </w:rPr>
        <w:t>LIST OF TABLES</w:t>
      </w:r>
    </w:p>
    <w:p>
      <w:pPr>
        <w:jc w:val="left"/>
        <w:spacing w:before="0" w:after="30" w:line="276" w:lineRule="auto"/>
      </w:pPr>
      <w:r>
        <w:rPr>
          <w:rFonts w:ascii="Times New Roman" w:hAnsi="Times New Roman" w:cs="Times New Roman"/>
          <w:sz w:val="22"/>
          <w:szCs w:val="22"/>
        </w:rPr>
        <w:t>Table 4.1 Main continuous authentication metrics ................................</w:t>
      </w:r>
    </w:p>
    <w:p>
      <w:pPr>
        <w:jc w:val="left"/>
        <w:spacing w:before="0" w:after="30" w:line="276" w:lineRule="auto"/>
      </w:pPr>
      <w:r>
        <w:rPr>
          <w:rFonts w:ascii="Times New Roman" w:hAnsi="Times New Roman" w:cs="Times New Roman"/>
          <w:sz w:val="22"/>
          <w:szCs w:val="22"/>
        </w:rPr>
        <w:t>Table 4.2 Policy-wise ablation comparison at 40:80 setting ........................</w:t>
      </w:r>
    </w:p>
    <w:p>
      <w:pPr>
        <w:jc w:val="left"/>
        <w:spacing w:before="0" w:after="30" w:line="276" w:lineRule="auto"/>
      </w:pPr>
      <w:r>
        <w:rPr>
          <w:rFonts w:ascii="Times New Roman" w:hAnsi="Times New Roman" w:cs="Times New Roman"/>
          <w:sz w:val="22"/>
          <w:szCs w:val="22"/>
        </w:rPr>
        <w:t>Table 4.3 Session-length sensitivity for proposed policy ..........................</w:t>
      </w:r>
    </w:p>
    <w:p>
      <w:r>
        <w:br w:type="page"/>
      </w:r>
    </w:p>
    <w:p>
      <w:pPr>
        <w:jc w:val="center"/>
        <w:spacing w:before="0" w:after="240" w:line="276" w:lineRule="auto"/>
      </w:pPr>
      <w:r>
        <w:rPr>
          <w:rFonts w:ascii="Times New Roman" w:hAnsi="Times New Roman" w:cs="Times New Roman"/>
          <w:sz w:val="28"/>
          <w:szCs w:val="28"/>
          <w:b/>
          <w:caps/>
        </w:rPr>
        <w:t>ABBREVIATIONS</w:t>
      </w:r>
    </w:p>
    <w:p>
      <w:pPr>
        <w:jc w:val="left"/>
        <w:spacing w:before="0" w:after="30" w:line="276" w:lineRule="auto"/>
      </w:pPr>
      <w:r>
        <w:rPr>
          <w:rFonts w:ascii="Times New Roman" w:hAnsi="Times New Roman" w:cs="Times New Roman"/>
          <w:sz w:val="22"/>
          <w:szCs w:val="22"/>
        </w:rPr>
        <w:t>EER  -  Equal Error Rate</w:t>
      </w:r>
    </w:p>
    <w:p>
      <w:pPr>
        <w:jc w:val="left"/>
        <w:spacing w:before="0" w:after="30" w:line="276" w:lineRule="auto"/>
      </w:pPr>
      <w:r>
        <w:rPr>
          <w:rFonts w:ascii="Times New Roman" w:hAnsi="Times New Roman" w:cs="Times New Roman"/>
          <w:sz w:val="22"/>
          <w:szCs w:val="22"/>
        </w:rPr>
        <w:t>FAR  -  False Acceptance Rate</w:t>
      </w:r>
    </w:p>
    <w:p>
      <w:pPr>
        <w:jc w:val="left"/>
        <w:spacing w:before="0" w:after="30" w:line="276" w:lineRule="auto"/>
      </w:pPr>
      <w:r>
        <w:rPr>
          <w:rFonts w:ascii="Times New Roman" w:hAnsi="Times New Roman" w:cs="Times New Roman"/>
          <w:sz w:val="22"/>
          <w:szCs w:val="22"/>
        </w:rPr>
        <w:t>FRR  -  False Rejection Rate</w:t>
      </w:r>
    </w:p>
    <w:p>
      <w:pPr>
        <w:jc w:val="left"/>
        <w:spacing w:before="0" w:after="30" w:line="276" w:lineRule="auto"/>
      </w:pPr>
      <w:r>
        <w:rPr>
          <w:rFonts w:ascii="Times New Roman" w:hAnsi="Times New Roman" w:cs="Times New Roman"/>
          <w:sz w:val="22"/>
          <w:szCs w:val="22"/>
        </w:rPr>
        <w:t>HTER  -  Half Total Error Rate</w:t>
      </w:r>
    </w:p>
    <w:p>
      <w:pPr>
        <w:jc w:val="left"/>
        <w:spacing w:before="0" w:after="30" w:line="276" w:lineRule="auto"/>
      </w:pPr>
      <w:r>
        <w:rPr>
          <w:rFonts w:ascii="Times New Roman" w:hAnsi="Times New Roman" w:cs="Times New Roman"/>
          <w:sz w:val="22"/>
          <w:szCs w:val="22"/>
        </w:rPr>
        <w:t>LLM  -  Large Language Model</w:t>
      </w:r>
    </w:p>
    <w:p>
      <w:pPr>
        <w:jc w:val="left"/>
        <w:spacing w:before="0" w:after="30" w:line="276" w:lineRule="auto"/>
      </w:pPr>
      <w:r>
        <w:rPr>
          <w:rFonts w:ascii="Times New Roman" w:hAnsi="Times New Roman" w:cs="Times New Roman"/>
          <w:sz w:val="22"/>
          <w:szCs w:val="22"/>
        </w:rPr>
        <w:t>ROC  -  Receiver Operating Characteristic</w:t>
      </w:r>
    </w:p>
    <w:p>
      <w:pPr>
        <w:jc w:val="left"/>
        <w:spacing w:before="0" w:after="30" w:line="276" w:lineRule="auto"/>
      </w:pPr>
      <w:r>
        <w:rPr>
          <w:rFonts w:ascii="Times New Roman" w:hAnsi="Times New Roman" w:cs="Times New Roman"/>
          <w:sz w:val="22"/>
          <w:szCs w:val="22"/>
        </w:rPr>
        <w:t>AUC  -  Area Under Curve</w:t>
      </w:r>
    </w:p>
    <w:p>
      <w:pPr>
        <w:jc w:val="left"/>
        <w:spacing w:before="0" w:after="30" w:line="276" w:lineRule="auto"/>
      </w:pPr>
      <w:r>
        <w:rPr>
          <w:rFonts w:ascii="Times New Roman" w:hAnsi="Times New Roman" w:cs="Times New Roman"/>
          <w:sz w:val="22"/>
          <w:szCs w:val="22"/>
        </w:rPr>
        <w:t>ECE  -  Expected Calibration Error</w:t>
      </w:r>
    </w:p>
    <w:p>
      <w:pPr>
        <w:jc w:val="left"/>
        <w:spacing w:before="0" w:after="30" w:line="276" w:lineRule="auto"/>
      </w:pPr>
      <w:r>
        <w:rPr>
          <w:rFonts w:ascii="Times New Roman" w:hAnsi="Times New Roman" w:cs="Times New Roman"/>
          <w:sz w:val="22"/>
          <w:szCs w:val="22"/>
        </w:rPr>
        <w:t>HPC  -  High Performance Computing</w:t>
      </w:r>
    </w:p>
    <w:p>
      <w:r>
        <w:br w:type="page"/>
      </w:r>
    </w:p>
    <w:p>
      <w:pPr>
        <w:jc w:val="center"/>
        <w:spacing w:before="0" w:after="240" w:line="276" w:lineRule="auto"/>
      </w:pPr>
      <w:r>
        <w:rPr>
          <w:rFonts w:ascii="Times New Roman" w:hAnsi="Times New Roman" w:cs="Times New Roman"/>
          <w:sz w:val="28"/>
          <w:szCs w:val="28"/>
          <w:b/>
          <w:caps/>
        </w:rPr>
        <w:t>NOTATION</w:t>
      </w:r>
    </w:p>
    <w:p>
      <w:pPr>
        <w:jc w:val="left"/>
        <w:spacing w:before="0" w:after="30" w:line="276" w:lineRule="auto"/>
      </w:pPr>
      <w:r>
        <w:rPr>
          <w:rFonts w:ascii="Times New Roman" w:hAnsi="Times New Roman" w:cs="Times New Roman"/>
          <w:sz w:val="22"/>
          <w:szCs w:val="22"/>
        </w:rPr>
        <w:t>e_t  -  Embedding vector at time step t</w:t>
      </w:r>
    </w:p>
    <w:p>
      <w:pPr>
        <w:jc w:val="left"/>
        <w:spacing w:before="0" w:after="30" w:line="276" w:lineRule="auto"/>
      </w:pPr>
      <w:r>
        <w:rPr>
          <w:rFonts w:ascii="Times New Roman" w:hAnsi="Times New Roman" w:cs="Times New Roman"/>
          <w:sz w:val="22"/>
          <w:szCs w:val="22"/>
        </w:rPr>
        <w:t>G_u  -  Gallery embedding set for enrolled user u</w:t>
      </w:r>
    </w:p>
    <w:p>
      <w:pPr>
        <w:jc w:val="left"/>
        <w:spacing w:before="0" w:after="30" w:line="276" w:lineRule="auto"/>
      </w:pPr>
      <w:r>
        <w:rPr>
          <w:rFonts w:ascii="Times New Roman" w:hAnsi="Times New Roman" w:cs="Times New Roman"/>
          <w:sz w:val="22"/>
          <w:szCs w:val="22"/>
        </w:rPr>
        <w:t>s_t  -  Raw distance score at time step t</w:t>
      </w:r>
    </w:p>
    <w:p>
      <w:pPr>
        <w:jc w:val="left"/>
        <w:spacing w:before="0" w:after="30" w:line="276" w:lineRule="auto"/>
      </w:pPr>
      <w:r>
        <w:rPr>
          <w:rFonts w:ascii="Times New Roman" w:hAnsi="Times New Roman" w:cs="Times New Roman"/>
          <w:sz w:val="22"/>
          <w:szCs w:val="22"/>
        </w:rPr>
        <w:t>s_bar_t  -  Smoothed score over decision window</w:t>
      </w:r>
    </w:p>
    <w:p>
      <w:pPr>
        <w:jc w:val="left"/>
        <w:spacing w:before="0" w:after="30" w:line="276" w:lineRule="auto"/>
      </w:pPr>
      <w:r>
        <w:rPr>
          <w:rFonts w:ascii="Times New Roman" w:hAnsi="Times New Roman" w:cs="Times New Roman"/>
          <w:sz w:val="22"/>
          <w:szCs w:val="22"/>
        </w:rPr>
        <w:t>tau  -  Biometric threshold tuned on xv</w:t>
      </w:r>
    </w:p>
    <w:p>
      <w:pPr>
        <w:jc w:val="left"/>
        <w:spacing w:before="0" w:after="30" w:line="276" w:lineRule="auto"/>
      </w:pPr>
      <w:r>
        <w:rPr>
          <w:rFonts w:ascii="Times New Roman" w:hAnsi="Times New Roman" w:cs="Times New Roman"/>
          <w:sz w:val="22"/>
          <w:szCs w:val="22"/>
        </w:rPr>
        <w:t>R_t  -  Reject decision at time step t</w:t>
      </w:r>
    </w:p>
    <w:p>
      <w:pPr>
        <w:jc w:val="left"/>
        <w:spacing w:before="0" w:after="30" w:line="276" w:lineRule="auto"/>
      </w:pPr>
      <w:r>
        <w:rPr>
          <w:rFonts w:ascii="Times New Roman" w:hAnsi="Times New Roman" w:cs="Times New Roman"/>
          <w:sz w:val="22"/>
          <w:szCs w:val="22"/>
        </w:rPr>
        <w:t>C  -  Consecutive rejects required to trigger alarm</w:t>
      </w:r>
    </w:p>
    <w:p>
      <w:pPr>
        <w:jc w:val="left"/>
        <w:spacing w:before="0" w:after="30" w:line="276" w:lineRule="auto"/>
      </w:pPr>
      <w:r>
        <w:rPr>
          <w:rFonts w:ascii="Times New Roman" w:hAnsi="Times New Roman" w:cs="Times New Roman"/>
          <w:sz w:val="22"/>
          <w:szCs w:val="22"/>
        </w:rPr>
        <w:t>L_t  -  LLM gate flag at time step t</w:t>
      </w:r>
    </w:p>
    <w:p>
      <w:r>
        <w:br w:type="page"/>
      </w:r>
    </w:p>
    <w:p>
      <w:pPr>
        <w:jc w:val="center"/>
        <w:spacing w:before="0" w:after="240" w:line="276" w:lineRule="auto"/>
      </w:pPr>
      <w:r>
        <w:rPr>
          <w:rFonts w:ascii="Times New Roman" w:hAnsi="Times New Roman" w:cs="Times New Roman"/>
          <w:sz w:val="28"/>
          <w:szCs w:val="28"/>
          <w:b/>
          <w:caps/>
        </w:rPr>
        <w:t>CHAPTER 1</w:t>
      </w:r>
    </w:p>
    <w:p>
      <w:pPr>
        <w:jc w:val="center"/>
        <w:spacing w:before="0" w:after="240" w:line="276" w:lineRule="auto"/>
      </w:pPr>
      <w:r>
        <w:rPr>
          <w:rFonts w:ascii="Times New Roman" w:hAnsi="Times New Roman" w:cs="Times New Roman"/>
          <w:sz w:val="28"/>
          <w:szCs w:val="28"/>
          <w:b/>
          <w:caps/>
        </w:rPr>
        <w:t>INTRODUCTION</w:t>
      </w:r>
    </w:p>
    <w:p>
      <w:pPr>
        <w:jc w:val="left"/>
        <w:spacing w:before="0" w:after="120" w:line="276" w:lineRule="auto"/>
      </w:pPr>
      <w:r>
        <w:rPr>
          <w:rFonts w:ascii="Times New Roman" w:hAnsi="Times New Roman" w:cs="Times New Roman"/>
          <w:sz w:val="24"/>
          <w:szCs w:val="24"/>
          <w:b/>
        </w:rPr>
        <w:t>1.1 Background and Motivation</w:t>
      </w:r>
    </w:p>
    <w:p>
      <w:pPr>
        <w:jc w:val="both"/>
        <w:spacing w:before="0" w:after="120" w:line="276" w:lineRule="auto"/>
      </w:pPr>
      <w:r>
        <w:rPr>
          <w:rFonts w:ascii="Times New Roman" w:hAnsi="Times New Roman" w:cs="Times New Roman"/>
          <w:sz w:val="24"/>
          <w:szCs w:val="24"/>
        </w:rPr>
        <w:t>Behavioral biometrics based on keystroke dynamics provide a non-intrusive security layer that can operate continuously while users type naturally. Unlike static credentials, behavioral signatures are difficult to replicate consistently and can support identity assurance throughout the active session.</w:t>
      </w:r>
    </w:p>
    <w:p>
      <w:pPr>
        <w:jc w:val="both"/>
        <w:spacing w:before="0" w:after="120" w:line="276" w:lineRule="auto"/>
      </w:pPr>
      <w:r>
        <w:rPr>
          <w:rFonts w:ascii="Times New Roman" w:hAnsi="Times New Roman" w:cs="Times New Roman"/>
          <w:sz w:val="24"/>
          <w:szCs w:val="24"/>
        </w:rPr>
        <w:t>Many deployed systems still rely on one-time login validation, creating a gap where unauthorized takeovers can occur after successful authentication. This risk is relevant in shared labs, public access terminals, remote workstations, and high-value enterprise sessions where confidentiality and integrity are critical.</w:t>
      </w:r>
    </w:p>
    <w:p>
      <w:pPr>
        <w:jc w:val="both"/>
        <w:spacing w:before="0" w:after="120" w:line="276" w:lineRule="auto"/>
      </w:pPr>
      <w:r>
        <w:rPr>
          <w:rFonts w:ascii="Times New Roman" w:hAnsi="Times New Roman" w:cs="Times New Roman"/>
          <w:sz w:val="24"/>
          <w:szCs w:val="24"/>
        </w:rPr>
        <w:t>Recent developments in AI-assisted text generation also introduce a new threat axis: a session may remain under the genuine account but receive substantial assisted content with timing behavior that diverges from user-specific typing patterns. Such behavior is not fully captured by static user verification metrics.</w:t>
      </w:r>
    </w:p>
    <w:p>
      <w:pPr>
        <w:jc w:val="both"/>
        <w:spacing w:before="0" w:after="120" w:line="276" w:lineRule="auto"/>
      </w:pPr>
      <w:r>
        <w:rPr>
          <w:rFonts w:ascii="Times New Roman" w:hAnsi="Times New Roman" w:cs="Times New Roman"/>
          <w:sz w:val="24"/>
          <w:szCs w:val="24"/>
        </w:rPr>
        <w:t>The project therefore positions continuous keystroke authentication as an online decision problem, where incoming typing windows must be evaluated in sequence with low latency and minimal false alarms.</w:t>
      </w:r>
    </w:p>
    <w:p>
      <w:pPr>
        <w:jc w:val="both"/>
        <w:spacing w:before="0" w:after="120" w:line="276" w:lineRule="auto"/>
      </w:pPr>
      <w:r>
        <w:rPr>
          <w:rFonts w:ascii="Times New Roman" w:hAnsi="Times New Roman" w:cs="Times New Roman"/>
          <w:sz w:val="24"/>
          <w:szCs w:val="24"/>
        </w:rPr>
        <w:t>Type2Branch, originally designed for static keystroke verification, provides a robust embedding backbone. However, practical deployment for continuous defense requires additional protocol logic, threshold calibration discipline, and threat-aware policy layers.</w:t>
      </w:r>
    </w:p>
    <w:p>
      <w:pPr>
        <w:jc w:val="left"/>
        <w:spacing w:before="0" w:after="120" w:line="276" w:lineRule="auto"/>
      </w:pPr>
      <w:r>
        <w:rPr>
          <w:rFonts w:ascii="Times New Roman" w:hAnsi="Times New Roman" w:cs="Times New Roman"/>
          <w:sz w:val="24"/>
          <w:szCs w:val="24"/>
          <w:b/>
        </w:rPr>
        <w:t>1.2 Problem Statement</w:t>
      </w:r>
    </w:p>
    <w:p>
      <w:pPr>
        <w:jc w:val="both"/>
        <w:spacing w:before="0" w:after="120" w:line="276" w:lineRule="auto"/>
      </w:pPr>
      <w:r>
        <w:rPr>
          <w:rFonts w:ascii="Times New Roman" w:hAnsi="Times New Roman" w:cs="Times New Roman"/>
          <w:sz w:val="24"/>
          <w:szCs w:val="24"/>
        </w:rPr>
        <w:t>The central problem addressed in this work is: how to extend a high-performing static keystroke verification model into a continuous online authentication framework that can reliably detect both human impostor takeovers and assisted-input behavior, while controlling false alarms and preserving usability.</w:t>
      </w:r>
    </w:p>
    <w:p>
      <w:pPr>
        <w:jc w:val="left"/>
        <w:spacing w:before="0" w:after="120" w:line="276" w:lineRule="auto"/>
      </w:pPr>
      <w:r>
        <w:rPr>
          <w:rFonts w:ascii="Times New Roman" w:hAnsi="Times New Roman" w:cs="Times New Roman"/>
          <w:sz w:val="24"/>
          <w:szCs w:val="24"/>
          <w:b/>
        </w:rPr>
        <w:t>1.3 Existing Gaps in Literature and Practice</w:t>
      </w:r>
    </w:p>
    <w:p>
      <w:pPr>
        <w:jc w:val="both"/>
        <w:spacing w:before="0" w:after="120" w:line="276" w:lineRule="auto"/>
      </w:pPr>
      <w:r>
        <w:rPr>
          <w:rFonts w:ascii="Times New Roman" w:hAnsi="Times New Roman" w:cs="Times New Roman"/>
          <w:sz w:val="24"/>
          <w:szCs w:val="24"/>
        </w:rPr>
        <w:t>Most benchmark reports emphasize EER/FAR/FRR at a single decision point and do not provide standardized continuous-switch protocols.</w:t>
      </w:r>
    </w:p>
    <w:p>
      <w:pPr>
        <w:jc w:val="both"/>
        <w:spacing w:before="0" w:after="120" w:line="276" w:lineRule="auto"/>
      </w:pPr>
      <w:r>
        <w:rPr>
          <w:rFonts w:ascii="Times New Roman" w:hAnsi="Times New Roman" w:cs="Times New Roman"/>
          <w:sz w:val="24"/>
          <w:szCs w:val="24"/>
        </w:rPr>
        <w:t>Continuous policy choices (decision-window length, consecutive-reject alarm depth, multi-gate interactions) are often under-documented, reducing reproducibility.</w:t>
      </w:r>
    </w:p>
    <w:p>
      <w:pPr>
        <w:jc w:val="both"/>
        <w:spacing w:before="0" w:after="120" w:line="276" w:lineRule="auto"/>
      </w:pPr>
      <w:r>
        <w:rPr>
          <w:rFonts w:ascii="Times New Roman" w:hAnsi="Times New Roman" w:cs="Times New Roman"/>
          <w:sz w:val="24"/>
          <w:szCs w:val="24"/>
        </w:rPr>
        <w:t>LLM-assisted behavior detection is frequently overclaimed with weak validity framing; project-level evidence should explicitly separate synthetic stress tests from universal real-world claims.</w:t>
      </w:r>
    </w:p>
    <w:p>
      <w:pPr>
        <w:jc w:val="both"/>
        <w:spacing w:before="0" w:after="120" w:line="276" w:lineRule="auto"/>
      </w:pPr>
      <w:r>
        <w:rPr>
          <w:rFonts w:ascii="Times New Roman" w:hAnsi="Times New Roman" w:cs="Times New Roman"/>
          <w:sz w:val="24"/>
          <w:szCs w:val="24"/>
        </w:rPr>
        <w:t>Many student and research reports lack claim-evidence traceability from manuscript statements to machine-readable artifacts.</w:t>
      </w:r>
    </w:p>
    <w:p>
      <w:pPr>
        <w:jc w:val="left"/>
        <w:spacing w:before="0" w:after="120" w:line="276" w:lineRule="auto"/>
      </w:pPr>
      <w:r>
        <w:rPr>
          <w:rFonts w:ascii="Times New Roman" w:hAnsi="Times New Roman" w:cs="Times New Roman"/>
          <w:sz w:val="24"/>
          <w:szCs w:val="24"/>
          <w:b/>
        </w:rPr>
        <w:t>1.4 Scope and Significance</w:t>
      </w:r>
    </w:p>
    <w:p>
      <w:pPr>
        <w:jc w:val="both"/>
        <w:spacing w:before="0" w:after="120" w:line="276" w:lineRule="auto"/>
      </w:pPr>
      <w:r>
        <w:rPr>
          <w:rFonts w:ascii="Times New Roman" w:hAnsi="Times New Roman" w:cs="Times New Roman"/>
          <w:sz w:val="24"/>
          <w:szCs w:val="24"/>
        </w:rPr>
        <w:t>This report focuses on protocol-level novelty: a dual-gate continuous architecture over Type2Branch embeddings, strict split hygiene (xv tune -&gt; xe report), ablation-backed policy interpretation, and deployment-aware workflow with user enrollment support. The significance lies in moving from static verification quality to actionable online defense quality under realistic session transitions.</w:t>
      </w:r>
    </w:p>
    <w:p>
      <w:pPr>
        <w:jc w:val="left"/>
        <w:spacing w:before="0" w:after="120" w:line="276" w:lineRule="auto"/>
      </w:pPr>
      <w:r>
        <w:rPr>
          <w:rFonts w:ascii="Times New Roman" w:hAnsi="Times New Roman" w:cs="Times New Roman"/>
          <w:sz w:val="24"/>
          <w:szCs w:val="24"/>
          <w:b/>
        </w:rPr>
        <w:t>1.5 Organization of the Report</w:t>
      </w:r>
    </w:p>
    <w:p>
      <w:pPr>
        <w:jc w:val="both"/>
        <w:spacing w:before="0" w:after="120" w:line="276" w:lineRule="auto"/>
      </w:pPr>
      <w:r>
        <w:rPr>
          <w:rFonts w:ascii="Times New Roman" w:hAnsi="Times New Roman" w:cs="Times New Roman"/>
          <w:sz w:val="24"/>
          <w:szCs w:val="24"/>
        </w:rPr>
        <w:t>Chapter 2 states the project objectives and measurable deliverables. Chapter 3 describes the dataset pipeline, model stack, continuous protocol, DGX execution setup, and app integration. Chapter 4 presents quantitative results, ablations, sensitivity analysis, and discussion. Chapter 5 concludes with limitations and future work directions. References and appendices provide supporting material.</w:t>
      </w:r>
    </w:p>
    <w:p>
      <w:r>
        <w:br w:type="page"/>
      </w:r>
    </w:p>
    <w:p>
      <w:pPr>
        <w:jc w:val="center"/>
        <w:spacing w:before="0" w:after="240" w:line="276" w:lineRule="auto"/>
      </w:pPr>
      <w:r>
        <w:rPr>
          <w:rFonts w:ascii="Times New Roman" w:hAnsi="Times New Roman" w:cs="Times New Roman"/>
          <w:sz w:val="28"/>
          <w:szCs w:val="28"/>
          <w:b/>
          <w:caps/>
        </w:rPr>
        <w:t>CHAPTER 2</w:t>
      </w:r>
    </w:p>
    <w:p>
      <w:pPr>
        <w:jc w:val="center"/>
        <w:spacing w:before="0" w:after="240" w:line="276" w:lineRule="auto"/>
      </w:pPr>
      <w:r>
        <w:rPr>
          <w:rFonts w:ascii="Times New Roman" w:hAnsi="Times New Roman" w:cs="Times New Roman"/>
          <w:sz w:val="28"/>
          <w:szCs w:val="28"/>
          <w:b/>
          <w:caps/>
        </w:rPr>
        <w:t>OBJECTIVES</w:t>
      </w:r>
    </w:p>
    <w:p>
      <w:pPr>
        <w:jc w:val="left"/>
        <w:spacing w:before="0" w:after="120" w:line="276" w:lineRule="auto"/>
      </w:pPr>
      <w:r>
        <w:rPr>
          <w:rFonts w:ascii="Times New Roman" w:hAnsi="Times New Roman" w:cs="Times New Roman"/>
          <w:sz w:val="24"/>
          <w:szCs w:val="24"/>
          <w:b/>
        </w:rPr>
        <w:t>2.1 Primary Objective</w:t>
      </w:r>
    </w:p>
    <w:p>
      <w:pPr>
        <w:jc w:val="both"/>
        <w:spacing w:before="0" w:after="120" w:line="276" w:lineRule="auto"/>
      </w:pPr>
      <w:r>
        <w:rPr>
          <w:rFonts w:ascii="Times New Roman" w:hAnsi="Times New Roman" w:cs="Times New Roman"/>
          <w:sz w:val="24"/>
          <w:szCs w:val="24"/>
        </w:rPr>
        <w:t>To develop and evaluate a continuous keystroke-authentication framework using Type2Branch embeddings that detects takeover events in online sessions and supports practical deployment through a user enrollment and testing application.</w:t>
      </w:r>
    </w:p>
    <w:p>
      <w:pPr>
        <w:jc w:val="left"/>
        <w:spacing w:before="0" w:after="120" w:line="276" w:lineRule="auto"/>
      </w:pPr>
      <w:r>
        <w:rPr>
          <w:rFonts w:ascii="Times New Roman" w:hAnsi="Times New Roman" w:cs="Times New Roman"/>
          <w:sz w:val="24"/>
          <w:szCs w:val="24"/>
          <w:b/>
        </w:rPr>
        <w:t>2.2 Specific Objectives</w:t>
      </w:r>
    </w:p>
    <w:p>
      <w:pPr>
        <w:jc w:val="left"/>
        <w:spacing w:before="0" w:after="60" w:line="276" w:lineRule="auto"/>
      </w:pPr>
      <w:r>
        <w:rPr>
          <w:rFonts w:ascii="Times New Roman" w:hAnsi="Times New Roman" w:cs="Times New Roman"/>
          <w:sz w:val="24"/>
          <w:szCs w:val="24"/>
        </w:rPr>
        <w:t>• Prepare an end-to-end reproducible dataset pipeline from raw Aalto keystroke records into training, validation, and evaluation splits.</w:t>
      </w:r>
    </w:p>
    <w:p>
      <w:pPr>
        <w:jc w:val="left"/>
        <w:spacing w:before="0" w:after="60" w:line="276" w:lineRule="auto"/>
      </w:pPr>
      <w:r>
        <w:rPr>
          <w:rFonts w:ascii="Times New Roman" w:hAnsi="Times New Roman" w:cs="Times New Roman"/>
          <w:sz w:val="24"/>
          <w:szCs w:val="24"/>
        </w:rPr>
        <w:t>• Train and evaluate a Type2Branch-based embedding model with scalable settings suitable for DGX-class hardware.</w:t>
      </w:r>
    </w:p>
    <w:p>
      <w:pPr>
        <w:jc w:val="left"/>
        <w:spacing w:before="0" w:after="60" w:line="276" w:lineRule="auto"/>
      </w:pPr>
      <w:r>
        <w:rPr>
          <w:rFonts w:ascii="Times New Roman" w:hAnsi="Times New Roman" w:cs="Times New Roman"/>
          <w:sz w:val="24"/>
          <w:szCs w:val="24"/>
        </w:rPr>
        <w:t>• Implement xv-tuned threshold calibration and xe-held-out reporting for leakage-safe biometric assessment.</w:t>
      </w:r>
    </w:p>
    <w:p>
      <w:pPr>
        <w:jc w:val="left"/>
        <w:spacing w:before="0" w:after="60" w:line="276" w:lineRule="auto"/>
      </w:pPr>
      <w:r>
        <w:rPr>
          <w:rFonts w:ascii="Times New Roman" w:hAnsi="Times New Roman" w:cs="Times New Roman"/>
          <w:sz w:val="24"/>
          <w:szCs w:val="24"/>
        </w:rPr>
        <w:t>• Design continuous-session simulation with genuine warmup and controlled attack-switch phases.</w:t>
      </w:r>
    </w:p>
    <w:p>
      <w:pPr>
        <w:jc w:val="left"/>
        <w:spacing w:before="0" w:after="60" w:line="276" w:lineRule="auto"/>
      </w:pPr>
      <w:r>
        <w:rPr>
          <w:rFonts w:ascii="Times New Roman" w:hAnsi="Times New Roman" w:cs="Times New Roman"/>
          <w:sz w:val="24"/>
          <w:szCs w:val="24"/>
        </w:rPr>
        <w:t>• Implement and test baseline policies B1/B2/B3 and proposed policy P with multi-seed ablation.</w:t>
      </w:r>
    </w:p>
    <w:p>
      <w:pPr>
        <w:jc w:val="left"/>
        <w:spacing w:before="0" w:after="60" w:line="276" w:lineRule="auto"/>
      </w:pPr>
      <w:r>
        <w:rPr>
          <w:rFonts w:ascii="Times New Roman" w:hAnsi="Times New Roman" w:cs="Times New Roman"/>
          <w:sz w:val="24"/>
          <w:szCs w:val="24"/>
        </w:rPr>
        <w:t>• Develop a reporting pipeline that outputs tables, charts, figures, and manuscript-ready artifacts.</w:t>
      </w:r>
    </w:p>
    <w:p>
      <w:pPr>
        <w:jc w:val="left"/>
        <w:spacing w:before="0" w:after="60" w:line="276" w:lineRule="auto"/>
      </w:pPr>
      <w:r>
        <w:rPr>
          <w:rFonts w:ascii="Times New Roman" w:hAnsi="Times New Roman" w:cs="Times New Roman"/>
          <w:sz w:val="24"/>
          <w:szCs w:val="24"/>
        </w:rPr>
        <w:t>• Integrate enrollment and authentication operations in a demo application for testcase workflows.</w:t>
      </w:r>
    </w:p>
    <w:p>
      <w:pPr>
        <w:jc w:val="left"/>
        <w:spacing w:before="0" w:after="120" w:line="276" w:lineRule="auto"/>
      </w:pPr>
      <w:r>
        <w:rPr>
          <w:rFonts w:ascii="Times New Roman" w:hAnsi="Times New Roman" w:cs="Times New Roman"/>
          <w:sz w:val="24"/>
          <w:szCs w:val="24"/>
          <w:b/>
        </w:rPr>
        <w:t>2.3 Deliverables</w:t>
      </w:r>
    </w:p>
    <w:p>
      <w:pPr>
        <w:jc w:val="left"/>
        <w:spacing w:before="0" w:after="60" w:line="276" w:lineRule="auto"/>
      </w:pPr>
      <w:r>
        <w:rPr>
          <w:rFonts w:ascii="Times New Roman" w:hAnsi="Times New Roman" w:cs="Times New Roman"/>
          <w:sz w:val="24"/>
          <w:szCs w:val="24"/>
        </w:rPr>
        <w:t>• Trained checkpoint artifact for Type2Branch-based embedding model.</w:t>
      </w:r>
    </w:p>
    <w:p>
      <w:pPr>
        <w:jc w:val="left"/>
        <w:spacing w:before="0" w:after="60" w:line="276" w:lineRule="auto"/>
      </w:pPr>
      <w:r>
        <w:rPr>
          <w:rFonts w:ascii="Times New Roman" w:hAnsi="Times New Roman" w:cs="Times New Roman"/>
          <w:sz w:val="24"/>
          <w:szCs w:val="24"/>
        </w:rPr>
        <w:t>• Static and continuous metrics JSON/CSV outputs with confidence interval fields.</w:t>
      </w:r>
    </w:p>
    <w:p>
      <w:pPr>
        <w:jc w:val="left"/>
        <w:spacing w:before="0" w:after="60" w:line="276" w:lineRule="auto"/>
      </w:pPr>
      <w:r>
        <w:rPr>
          <w:rFonts w:ascii="Times New Roman" w:hAnsi="Times New Roman" w:cs="Times New Roman"/>
          <w:sz w:val="24"/>
          <w:szCs w:val="24"/>
        </w:rPr>
        <w:t>• Ablation summary files and policy tradeoff visualizations.</w:t>
      </w:r>
    </w:p>
    <w:p>
      <w:pPr>
        <w:jc w:val="left"/>
        <w:spacing w:before="0" w:after="60" w:line="276" w:lineRule="auto"/>
      </w:pPr>
      <w:r>
        <w:rPr>
          <w:rFonts w:ascii="Times New Roman" w:hAnsi="Times New Roman" w:cs="Times New Roman"/>
          <w:sz w:val="24"/>
          <w:szCs w:val="24"/>
        </w:rPr>
        <w:t>• IEEE/SASTRA report assets (tables, figures, insertion guide).</w:t>
      </w:r>
    </w:p>
    <w:p>
      <w:pPr>
        <w:jc w:val="left"/>
        <w:spacing w:before="0" w:after="60" w:line="276" w:lineRule="auto"/>
      </w:pPr>
      <w:r>
        <w:rPr>
          <w:rFonts w:ascii="Times New Roman" w:hAnsi="Times New Roman" w:cs="Times New Roman"/>
          <w:sz w:val="24"/>
          <w:szCs w:val="24"/>
        </w:rPr>
        <w:t>• Detailed final project report in required institutional structure.</w:t>
      </w:r>
    </w:p>
    <w:p>
      <w:r>
        <w:br w:type="page"/>
      </w:r>
    </w:p>
    <w:p>
      <w:pPr>
        <w:jc w:val="center"/>
        <w:spacing w:before="0" w:after="240" w:line="276" w:lineRule="auto"/>
      </w:pPr>
      <w:r>
        <w:rPr>
          <w:rFonts w:ascii="Times New Roman" w:hAnsi="Times New Roman" w:cs="Times New Roman"/>
          <w:sz w:val="28"/>
          <w:szCs w:val="28"/>
          <w:b/>
          <w:caps/>
        </w:rPr>
        <w:t>CHAPTER 3</w:t>
      </w:r>
    </w:p>
    <w:p>
      <w:pPr>
        <w:jc w:val="center"/>
        <w:spacing w:before="0" w:after="240" w:line="276" w:lineRule="auto"/>
      </w:pPr>
      <w:r>
        <w:rPr>
          <w:rFonts w:ascii="Times New Roman" w:hAnsi="Times New Roman" w:cs="Times New Roman"/>
          <w:sz w:val="28"/>
          <w:szCs w:val="28"/>
          <w:b/>
          <w:caps/>
        </w:rPr>
        <w:t>EXPERIMENTAL WORK / METHODOLOGY</w:t>
      </w:r>
    </w:p>
    <w:p>
      <w:pPr>
        <w:jc w:val="left"/>
        <w:spacing w:before="0" w:after="120" w:line="276" w:lineRule="auto"/>
      </w:pPr>
      <w:r>
        <w:rPr>
          <w:rFonts w:ascii="Times New Roman" w:hAnsi="Times New Roman" w:cs="Times New Roman"/>
          <w:sz w:val="24"/>
          <w:szCs w:val="24"/>
          <w:b/>
        </w:rPr>
        <w:t>3.1 Dataset, Splits, and Preprocessing</w:t>
      </w:r>
    </w:p>
    <w:p>
      <w:pPr>
        <w:jc w:val="both"/>
        <w:spacing w:before="0" w:after="120" w:line="276" w:lineRule="auto"/>
      </w:pPr>
      <w:r>
        <w:rPr>
          <w:rFonts w:ascii="Times New Roman" w:hAnsi="Times New Roman" w:cs="Times New Roman"/>
          <w:sz w:val="24"/>
          <w:szCs w:val="24"/>
        </w:rPr>
        <w:t>The project uses Aalto desktop keystroke data and converts raw records into split-wise numpy artifacts (`xt`, `xv`, `xe`). The `xt` split is used for model learning, `xv` for threshold tuning and development controls, and `xe` for final hold-out evaluation. This split discipline prevents reporting leakage from development users into final results.</w:t>
      </w:r>
    </w:p>
    <w:p>
      <w:pPr>
        <w:jc w:val="both"/>
        <w:spacing w:before="0" w:after="120" w:line="276" w:lineRule="auto"/>
      </w:pPr>
      <w:r>
        <w:rPr>
          <w:rFonts w:ascii="Times New Roman" w:hAnsi="Times New Roman" w:cs="Times New Roman"/>
          <w:sz w:val="24"/>
          <w:szCs w:val="24"/>
        </w:rPr>
        <w:t>Preprocessing validates shape consistency across users, normalizes feature scales, and generates merged synthetic feature channels where required by the training configuration. Input sequence shape consistency is enforced to avoid runtime mismatch during embedding extraction.</w:t>
      </w:r>
    </w:p>
    <w:p>
      <w:pPr>
        <w:jc w:val="both"/>
        <w:spacing w:before="0" w:after="120" w:line="276" w:lineRule="auto"/>
      </w:pPr>
      <w:r>
        <w:rPr>
          <w:rFonts w:ascii="Times New Roman" w:hAnsi="Times New Roman" w:cs="Times New Roman"/>
          <w:sz w:val="24"/>
          <w:szCs w:val="24"/>
        </w:rPr>
        <w:t>All preprocessing and generation scripts are organized to run from repository root context, improving path stability across local and remote execution environments.</w:t>
      </w:r>
    </w:p>
    <w:p>
      <w:pPr>
        <w:jc w:val="left"/>
        <w:spacing w:before="0" w:after="120" w:line="276" w:lineRule="auto"/>
      </w:pPr>
      <w:r>
        <w:rPr>
          <w:rFonts w:ascii="Times New Roman" w:hAnsi="Times New Roman" w:cs="Times New Roman"/>
          <w:sz w:val="24"/>
          <w:szCs w:val="24"/>
          <w:b/>
        </w:rPr>
        <w:t>3.2 Type2Branch Backbone and Training Configuration</w:t>
      </w:r>
    </w:p>
    <w:p>
      <w:pPr>
        <w:jc w:val="both"/>
        <w:spacing w:before="0" w:after="120" w:line="276" w:lineRule="auto"/>
      </w:pPr>
      <w:r>
        <w:rPr>
          <w:rFonts w:ascii="Times New Roman" w:hAnsi="Times New Roman" w:cs="Times New Roman"/>
          <w:sz w:val="24"/>
          <w:szCs w:val="24"/>
        </w:rPr>
        <w:t>Type2Branch architecture combines recurrent and convolutional branches with attention-guided representation learning and set-structured loss behavior. The project reuses this architecture as the biometric embedding engine.</w:t>
      </w:r>
    </w:p>
    <w:p>
      <w:pPr>
        <w:jc w:val="both"/>
        <w:spacing w:before="0" w:after="120" w:line="276" w:lineRule="auto"/>
      </w:pPr>
      <w:r>
        <w:rPr>
          <w:rFonts w:ascii="Times New Roman" w:hAnsi="Times New Roman" w:cs="Times New Roman"/>
          <w:sz w:val="24"/>
          <w:szCs w:val="24"/>
        </w:rPr>
        <w:t>The training stack includes mixed precision support (where available), large-width settings for DGX-class resources, and checkpoint-based persistence for downstream evaluation and app inference.</w:t>
      </w:r>
    </w:p>
    <w:p>
      <w:pPr>
        <w:jc w:val="both"/>
        <w:spacing w:before="0" w:after="120" w:line="276" w:lineRule="auto"/>
      </w:pPr>
      <w:r>
        <w:rPr>
          <w:rFonts w:ascii="Times New Roman" w:hAnsi="Times New Roman" w:cs="Times New Roman"/>
          <w:sz w:val="24"/>
          <w:szCs w:val="24"/>
        </w:rPr>
        <w:t>The model is loaded in inference mode without optimizer state during evaluation and application runtime to reduce memory overhead and improve stability.</w:t>
      </w:r>
    </w:p>
    <w:p>
      <w:pPr>
        <w:jc w:val="left"/>
        <w:spacing w:before="0" w:after="120" w:line="276" w:lineRule="auto"/>
      </w:pPr>
      <w:r>
        <w:rPr>
          <w:rFonts w:ascii="Times New Roman" w:hAnsi="Times New Roman" w:cs="Times New Roman"/>
          <w:sz w:val="24"/>
          <w:szCs w:val="24"/>
          <w:b/>
        </w:rPr>
        <w:t>3.3 DGX H200 Compute Environment</w:t>
      </w:r>
    </w:p>
    <w:p>
      <w:pPr>
        <w:jc w:val="both"/>
        <w:spacing w:before="0" w:after="120" w:line="276" w:lineRule="auto"/>
      </w:pPr>
      <w:r>
        <w:rPr>
          <w:rFonts w:ascii="Times New Roman" w:hAnsi="Times New Roman" w:cs="Times New Roman"/>
          <w:sz w:val="24"/>
          <w:szCs w:val="24"/>
        </w:rPr>
        <w:t>The implementation workflow targets DGX H200 scale resources for both training and large-session evaluation runs. Runtime configuration includes GPU memory growth settings to avoid full VRAM pre-allocation and to support shared-node environments.</w:t>
      </w:r>
    </w:p>
    <w:p>
      <w:pPr>
        <w:jc w:val="both"/>
        <w:spacing w:before="0" w:after="120" w:line="276" w:lineRule="auto"/>
      </w:pPr>
      <w:r>
        <w:rPr>
          <w:rFonts w:ascii="Times New Roman" w:hAnsi="Times New Roman" w:cs="Times New Roman"/>
          <w:sz w:val="24"/>
          <w:szCs w:val="24"/>
        </w:rPr>
        <w:t>A preflight utility validates Python, TensorFlow, CUDA visibility, dataset presence, and checkpoint readiness before long-running jobs, reducing wasted queue time.</w:t>
      </w:r>
    </w:p>
    <w:p>
      <w:pPr>
        <w:jc w:val="both"/>
        <w:spacing w:before="0" w:after="120" w:line="276" w:lineRule="auto"/>
      </w:pPr>
      <w:r>
        <w:rPr>
          <w:rFonts w:ascii="Times New Roman" w:hAnsi="Times New Roman" w:cs="Times New Roman"/>
          <w:sz w:val="24"/>
          <w:szCs w:val="24"/>
        </w:rPr>
        <w:t>For reproducibility, experiment runs are logged with timestamped outputs and fixed seeds for ablation bundles.</w:t>
      </w:r>
    </w:p>
    <w:p>
      <w:pPr>
        <w:jc w:val="left"/>
        <w:spacing w:before="0" w:after="120" w:line="276" w:lineRule="auto"/>
      </w:pPr>
      <w:r>
        <w:rPr>
          <w:rFonts w:ascii="Times New Roman" w:hAnsi="Times New Roman" w:cs="Times New Roman"/>
          <w:sz w:val="24"/>
          <w:szCs w:val="24"/>
          <w:b/>
        </w:rPr>
        <w:t>3.4 Continuous Authentication Protocol</w:t>
      </w:r>
    </w:p>
    <w:p>
      <w:pPr>
        <w:jc w:val="both"/>
        <w:spacing w:before="0" w:after="120" w:line="276" w:lineRule="auto"/>
      </w:pPr>
      <w:r>
        <w:rPr>
          <w:rFonts w:ascii="Times New Roman" w:hAnsi="Times New Roman" w:cs="Times New Roman"/>
          <w:sz w:val="24"/>
          <w:szCs w:val="24"/>
        </w:rPr>
        <w:t>Continuous sessions are simulated in two phases: (i) genuine warmup steps where behavior belongs to enrolled user identity, and (ii) attack phase where samples are switched to impostor or assisted-input distributions.</w:t>
      </w:r>
    </w:p>
    <w:p>
      <w:pPr>
        <w:jc w:val="both"/>
        <w:spacing w:before="0" w:after="120" w:line="276" w:lineRule="auto"/>
      </w:pPr>
      <w:r>
        <w:rPr>
          <w:rFonts w:ascii="Times New Roman" w:hAnsi="Times New Roman" w:cs="Times New Roman"/>
          <w:sz w:val="24"/>
          <w:szCs w:val="24"/>
        </w:rPr>
        <w:t>An online decision is produced at each step and an alarm is raised only after a configurable number of consecutive reject decisions. This mechanism controls sporadic false triggers and makes the system robust to isolated noisy samples.</w:t>
      </w:r>
    </w:p>
    <w:p>
      <w:pPr>
        <w:jc w:val="both"/>
        <w:spacing w:before="0" w:after="120" w:line="276" w:lineRule="auto"/>
      </w:pPr>
      <w:r>
        <w:rPr>
          <w:rFonts w:ascii="Times New Roman" w:hAnsi="Times New Roman" w:cs="Times New Roman"/>
          <w:sz w:val="24"/>
          <w:szCs w:val="24"/>
        </w:rPr>
        <w:t>The protocol reports detection rate, mean delay, false alarm before attack, pre-attack reject burden, attack acceptance, and attack block rates. These metrics jointly characterize both security and usability.</w:t>
      </w:r>
    </w:p>
    <w:p>
      <w:pPr>
        <w:jc w:val="left"/>
        <w:spacing w:before="0" w:after="120" w:line="276" w:lineRule="auto"/>
      </w:pPr>
      <w:r>
        <w:rPr>
          <w:rFonts w:ascii="Times New Roman" w:hAnsi="Times New Roman" w:cs="Times New Roman"/>
          <w:sz w:val="24"/>
          <w:szCs w:val="24"/>
          <w:b/>
        </w:rPr>
        <w:t>3.5 Dual-Gate Decision Rule</w:t>
      </w:r>
    </w:p>
    <w:p>
      <w:pPr>
        <w:jc w:val="both"/>
        <w:spacing w:before="0" w:after="120" w:line="276" w:lineRule="auto"/>
      </w:pPr>
      <w:r>
        <w:rPr>
          <w:rFonts w:ascii="Times New Roman" w:hAnsi="Times New Roman" w:cs="Times New Roman"/>
          <w:sz w:val="24"/>
          <w:szCs w:val="24"/>
        </w:rPr>
        <w:t>The online rule used in this project is represented by Equations (3.1) to (3.4).</w:t>
      </w:r>
    </w:p>
    <w:p>
      <w:pPr>
        <w:jc w:val="center"/>
        <w:spacing w:before="0" w:after="120" w:line="276" w:lineRule="auto"/>
      </w:pPr>
      <w:r>
        <w:rPr>
          <w:rFonts w:ascii="Times New Roman" w:hAnsi="Times New Roman" w:cs="Times New Roman"/>
          <w:sz w:val="22"/>
          <w:szCs w:val="22"/>
          <w:i/>
        </w:rPr>
        <w:t>s_t = (1 / |G_u|) * SUM_{g in G_u} ||e_t - g||_2</w:t>
      </w:r>
    </w:p>
    <w:p>
      <w:pPr>
        <w:jc w:val="right"/>
        <w:spacing w:before="0" w:after="80" w:line="276" w:lineRule="auto"/>
      </w:pPr>
      <w:r>
        <w:rPr>
          <w:rFonts w:ascii="Times New Roman" w:hAnsi="Times New Roman" w:cs="Times New Roman"/>
          <w:sz w:val="22"/>
          <w:szCs w:val="22"/>
        </w:rPr>
        <w:t>(3.1)</w:t>
      </w:r>
    </w:p>
    <w:p>
      <w:pPr>
        <w:jc w:val="center"/>
        <w:spacing w:before="0" w:after="120" w:line="276" w:lineRule="auto"/>
      </w:pPr>
      <w:r>
        <w:rPr>
          <w:rFonts w:ascii="Times New Roman" w:hAnsi="Times New Roman" w:cs="Times New Roman"/>
          <w:sz w:val="22"/>
          <w:szCs w:val="22"/>
          <w:i/>
        </w:rPr>
        <w:t>s_bar_t = (1 / m_t) * SUM_{k=max(1,t-W+1)}^t s_k</w:t>
      </w:r>
    </w:p>
    <w:p>
      <w:pPr>
        <w:jc w:val="right"/>
        <w:spacing w:before="0" w:after="80" w:line="276" w:lineRule="auto"/>
      </w:pPr>
      <w:r>
        <w:rPr>
          <w:rFonts w:ascii="Times New Roman" w:hAnsi="Times New Roman" w:cs="Times New Roman"/>
          <w:sz w:val="22"/>
          <w:szCs w:val="22"/>
        </w:rPr>
        <w:t>(3.2)</w:t>
      </w:r>
    </w:p>
    <w:p>
      <w:pPr>
        <w:jc w:val="center"/>
        <w:spacing w:before="0" w:after="120" w:line="276" w:lineRule="auto"/>
      </w:pPr>
      <w:r>
        <w:rPr>
          <w:rFonts w:ascii="Times New Roman" w:hAnsi="Times New Roman" w:cs="Times New Roman"/>
          <w:sz w:val="22"/>
          <w:szCs w:val="22"/>
          <w:i/>
        </w:rPr>
        <w:t>R_t = I[(s_bar_t &gt; tau) OR (L_t = 1)]</w:t>
      </w:r>
    </w:p>
    <w:p>
      <w:pPr>
        <w:jc w:val="right"/>
        <w:spacing w:before="0" w:after="80" w:line="276" w:lineRule="auto"/>
      </w:pPr>
      <w:r>
        <w:rPr>
          <w:rFonts w:ascii="Times New Roman" w:hAnsi="Times New Roman" w:cs="Times New Roman"/>
          <w:sz w:val="22"/>
          <w:szCs w:val="22"/>
        </w:rPr>
        <w:t>(3.3)</w:t>
      </w:r>
    </w:p>
    <w:p>
      <w:pPr>
        <w:jc w:val="center"/>
        <w:spacing w:before="0" w:after="120" w:line="276" w:lineRule="auto"/>
      </w:pPr>
      <w:r>
        <w:rPr>
          <w:rFonts w:ascii="Times New Roman" w:hAnsi="Times New Roman" w:cs="Times New Roman"/>
          <w:sz w:val="22"/>
          <w:szCs w:val="22"/>
          <w:i/>
        </w:rPr>
        <w:t>alarm_t = I[R_{t-C+1} = ... = R_t = 1]</w:t>
      </w:r>
    </w:p>
    <w:p>
      <w:pPr>
        <w:jc w:val="right"/>
        <w:spacing w:before="0" w:after="120" w:line="276" w:lineRule="auto"/>
      </w:pPr>
      <w:r>
        <w:rPr>
          <w:rFonts w:ascii="Times New Roman" w:hAnsi="Times New Roman" w:cs="Times New Roman"/>
          <w:sz w:val="22"/>
          <w:szCs w:val="22"/>
        </w:rPr>
        <w:t>(3.4)</w:t>
      </w:r>
    </w:p>
    <w:p>
      <w:pPr>
        <w:jc w:val="both"/>
        <w:spacing w:before="0" w:after="120" w:line="276" w:lineRule="auto"/>
      </w:pPr>
      <w:r>
        <w:rPr>
          <w:rFonts w:ascii="Times New Roman" w:hAnsi="Times New Roman" w:cs="Times New Roman"/>
          <w:sz w:val="24"/>
          <w:szCs w:val="24"/>
        </w:rPr>
        <w:t>In the current run, the biometric threshold tuned on xv is tau = 14.902046 with xv EER = 0.277%.</w:t>
      </w:r>
    </w:p>
    <w:p>
      <w:pPr>
        <w:jc w:val="left"/>
        <w:spacing w:before="0" w:after="120" w:line="276" w:lineRule="auto"/>
      </w:pPr>
      <w:r>
        <w:rPr>
          <w:rFonts w:ascii="Times New Roman" w:hAnsi="Times New Roman" w:cs="Times New Roman"/>
          <w:sz w:val="24"/>
          <w:szCs w:val="24"/>
          <w:b/>
        </w:rPr>
        <w:t>3.6 System Overview and Artifact Pipeline</w:t>
      </w:r>
    </w:p>
    <w:p>
      <w:pPr>
        <w:jc w:val="center"/>
        <w:spacing w:before="0" w:after="120" w:line="276" w:lineRule="auto"/>
      </w:pPr>
      <w:r>
        <w:rPr>
          <w:rFonts w:ascii="Times New Roman" w:hAnsi="Times New Roman" w:cs="Times New Roman"/>
          <w:sz w:val="22"/>
          <w:szCs w:val="22"/>
          <w:i/>
        </w:rPr>
        <w:t>[INSERT FIGURE HERE]</w:t>
      </w:r>
    </w:p>
    <w:p>
      <w:pPr>
        <w:jc w:val="center"/>
        <w:spacing w:before="0" w:after="120" w:line="276" w:lineRule="auto"/>
      </w:pPr>
      <w:r>
        <w:rPr>
          <w:rFonts w:ascii="Times New Roman" w:hAnsi="Times New Roman" w:cs="Times New Roman"/>
          <w:sz w:val="22"/>
          <w:szCs w:val="22"/>
          <w:i/>
        </w:rPr>
        <w:t>Fig. 3.1 System architecture of Type2Branch-CA including enrollment, dual-gate scoring, and alarm output.</w:t>
      </w:r>
    </w:p>
    <w:p>
      <w:pPr>
        <w:jc w:val="center"/>
        <w:spacing w:before="0" w:after="120" w:line="276" w:lineRule="auto"/>
      </w:pPr>
      <w:r>
        <w:rPr>
          <w:rFonts w:ascii="Times New Roman" w:hAnsi="Times New Roman" w:cs="Times New Roman"/>
          <w:sz w:val="22"/>
          <w:szCs w:val="22"/>
          <w:i/>
        </w:rPr>
        <w:t>[INSERT FIGURE HERE]</w:t>
      </w:r>
    </w:p>
    <w:p>
      <w:pPr>
        <w:jc w:val="center"/>
        <w:spacing w:before="0" w:after="120" w:line="276" w:lineRule="auto"/>
      </w:pPr>
      <w:r>
        <w:rPr>
          <w:rFonts w:ascii="Times New Roman" w:hAnsi="Times New Roman" w:cs="Times New Roman"/>
          <w:sz w:val="22"/>
          <w:szCs w:val="22"/>
          <w:i/>
        </w:rPr>
        <w:t>Fig. 3.2 Continuous session timeline showing warmup phase and attack-switch phase.</w:t>
      </w:r>
    </w:p>
    <w:p>
      <w:pPr>
        <w:jc w:val="both"/>
        <w:spacing w:before="0" w:after="120" w:line="276" w:lineRule="auto"/>
      </w:pPr>
      <w:r>
        <w:rPr>
          <w:rFonts w:ascii="Times New Roman" w:hAnsi="Times New Roman" w:cs="Times New Roman"/>
          <w:sz w:val="24"/>
          <w:szCs w:val="24"/>
        </w:rPr>
        <w:t>Figure assets generated for this report are available in `results_ieee/figures`, including delay distribution, ROC, calibration, and tradeoff charts. Table assets are available in `results_ieee/tables` and are aligned with report chapter numbering.</w:t>
      </w:r>
    </w:p>
    <w:p>
      <w:r>
        <w:br w:type="page"/>
      </w:r>
    </w:p>
    <w:p>
      <w:pPr>
        <w:jc w:val="center"/>
        <w:spacing w:before="0" w:after="240" w:line="276" w:lineRule="auto"/>
      </w:pPr>
      <w:r>
        <w:rPr>
          <w:rFonts w:ascii="Times New Roman" w:hAnsi="Times New Roman" w:cs="Times New Roman"/>
          <w:sz w:val="28"/>
          <w:szCs w:val="28"/>
          <w:b/>
          <w:caps/>
        </w:rPr>
        <w:t>CHAPTER 4</w:t>
      </w:r>
    </w:p>
    <w:p>
      <w:pPr>
        <w:jc w:val="center"/>
        <w:spacing w:before="0" w:after="240" w:line="276" w:lineRule="auto"/>
      </w:pPr>
      <w:r>
        <w:rPr>
          <w:rFonts w:ascii="Times New Roman" w:hAnsi="Times New Roman" w:cs="Times New Roman"/>
          <w:sz w:val="28"/>
          <w:szCs w:val="28"/>
          <w:b/>
          <w:caps/>
        </w:rPr>
        <w:t>RESULTS AND DISCUSSION</w:t>
      </w:r>
    </w:p>
    <w:p>
      <w:pPr>
        <w:jc w:val="left"/>
        <w:spacing w:before="0" w:after="120" w:line="276" w:lineRule="auto"/>
      </w:pPr>
      <w:r>
        <w:rPr>
          <w:rFonts w:ascii="Times New Roman" w:hAnsi="Times New Roman" w:cs="Times New Roman"/>
          <w:sz w:val="24"/>
          <w:szCs w:val="24"/>
          <w:b/>
        </w:rPr>
        <w:t>4.1 Main Continuous Authentication Results</w:t>
      </w:r>
    </w:p>
    <w:p>
      <w:pPr>
        <w:jc w:val="both"/>
        <w:spacing w:before="0" w:after="120" w:line="276" w:lineRule="auto"/>
      </w:pPr>
      <w:r>
        <w:rPr>
          <w:rFonts w:ascii="Times New Roman" w:hAnsi="Times New Roman" w:cs="Times New Roman"/>
          <w:sz w:val="24"/>
          <w:szCs w:val="24"/>
        </w:rPr>
        <w:t>The proposed policy reports impostor-session detection rate of 99.600%, with false alarm before attack 0.400% and mean detection delay 4.197 steps. Attack acceptance for impostor sessions is 1.491%.</w:t>
      </w:r>
    </w:p>
    <w:p>
      <w:pPr>
        <w:jc w:val="both"/>
        <w:spacing w:before="0" w:after="120" w:line="276" w:lineRule="auto"/>
      </w:pPr>
      <w:r>
        <w:rPr>
          <w:rFonts w:ascii="Times New Roman" w:hAnsi="Times New Roman" w:cs="Times New Roman"/>
          <w:sz w:val="24"/>
          <w:szCs w:val="24"/>
        </w:rPr>
        <w:t>For LLM/paste sessions, detection rate is 99.600%, false alarm before attack is 0.400%, and mean delay is 3.000 steps. Attack acceptance in LLM sessions is 0.000%, indicating near-complete block behavior under tested conditions.</w:t>
      </w:r>
    </w:p>
    <w:p>
      <w:pPr>
        <w:jc w:val="center"/>
        <w:spacing w:before="0" w:after="60" w:line="276" w:lineRule="auto"/>
      </w:pPr>
      <w:r>
        <w:rPr>
          <w:rFonts w:ascii="Times New Roman" w:hAnsi="Times New Roman" w:cs="Times New Roman"/>
          <w:sz w:val="22"/>
          <w:szCs w:val="22"/>
          <w:b/>
        </w:rPr>
        <w:t>Table 4.1 Main continuous authentication metrics.</w:t>
      </w:r>
    </w:p>
    <w:tbl>
      <w:tblPr>
        <w:tblStyle w:val="TableGrid"/>
        <w:tblW w:w="0" w:type="auto"/>
      </w:tblPr>
      <w:tr>
        <w:tc>
          <w:tcPr>
            <w:tcW w:w="2200" w:type="dxa"/>
          </w:tcPr>
          <w:p>
            <w:pPr>
              <w:jc w:val="center"/>
              <w:spacing w:before="0" w:after="0" w:line="240" w:lineRule="auto"/>
            </w:pPr>
            <w:r>
              <w:rPr>
                <w:rFonts w:ascii="Times New Roman" w:hAnsi="Times New Roman" w:cs="Times New Roman"/>
                <w:sz w:val="22"/>
                <w:szCs w:val="22"/>
                <w:b/>
              </w:rPr>
              <w:t>Attack Type</w:t>
            </w:r>
          </w:p>
        </w:tc>
        <w:tc>
          <w:tcPr>
            <w:tcW w:w="2200" w:type="dxa"/>
          </w:tcPr>
          <w:p>
            <w:pPr>
              <w:jc w:val="center"/>
              <w:spacing w:before="0" w:after="0" w:line="240" w:lineRule="auto"/>
            </w:pPr>
            <w:r>
              <w:rPr>
                <w:rFonts w:ascii="Times New Roman" w:hAnsi="Times New Roman" w:cs="Times New Roman"/>
                <w:sz w:val="22"/>
                <w:szCs w:val="22"/>
                <w:b/>
              </w:rPr>
              <w:t>Detection Rate</w:t>
            </w:r>
          </w:p>
        </w:tc>
        <w:tc>
          <w:tcPr>
            <w:tcW w:w="2200" w:type="dxa"/>
          </w:tcPr>
          <w:p>
            <w:pPr>
              <w:jc w:val="center"/>
              <w:spacing w:before="0" w:after="0" w:line="240" w:lineRule="auto"/>
            </w:pPr>
            <w:r>
              <w:rPr>
                <w:rFonts w:ascii="Times New Roman" w:hAnsi="Times New Roman" w:cs="Times New Roman"/>
                <w:sz w:val="22"/>
                <w:szCs w:val="22"/>
                <w:b/>
              </w:rPr>
              <w:t>False Alarm</w:t>
            </w:r>
          </w:p>
        </w:tc>
        <w:tc>
          <w:tcPr>
            <w:tcW w:w="2200" w:type="dxa"/>
          </w:tcPr>
          <w:p>
            <w:pPr>
              <w:jc w:val="center"/>
              <w:spacing w:before="0" w:after="0" w:line="240" w:lineRule="auto"/>
            </w:pPr>
            <w:r>
              <w:rPr>
                <w:rFonts w:ascii="Times New Roman" w:hAnsi="Times New Roman" w:cs="Times New Roman"/>
                <w:sz w:val="22"/>
                <w:szCs w:val="22"/>
                <w:b/>
              </w:rPr>
              <w:t>Attack Accept</w:t>
            </w:r>
          </w:p>
        </w:tc>
        <w:tc>
          <w:tcPr>
            <w:tcW w:w="2200" w:type="dxa"/>
          </w:tcPr>
          <w:p>
            <w:pPr>
              <w:jc w:val="center"/>
              <w:spacing w:before="0" w:after="0" w:line="240" w:lineRule="auto"/>
            </w:pPr>
            <w:r>
              <w:rPr>
                <w:rFonts w:ascii="Times New Roman" w:hAnsi="Times New Roman" w:cs="Times New Roman"/>
                <w:sz w:val="22"/>
                <w:szCs w:val="22"/>
                <w:b/>
              </w:rPr>
              <w:t>Attack Block</w:t>
            </w:r>
          </w:p>
        </w:tc>
        <w:tc>
          <w:tcPr>
            <w:tcW w:w="2200" w:type="dxa"/>
          </w:tcPr>
          <w:p>
            <w:pPr>
              <w:jc w:val="center"/>
              <w:spacing w:before="0" w:after="0" w:line="240" w:lineRule="auto"/>
            </w:pPr>
            <w:r>
              <w:rPr>
                <w:rFonts w:ascii="Times New Roman" w:hAnsi="Times New Roman" w:cs="Times New Roman"/>
                <w:sz w:val="22"/>
                <w:szCs w:val="22"/>
                <w:b/>
              </w:rPr>
              <w:t>Mean Delay</w:t>
            </w:r>
          </w:p>
        </w:tc>
      </w:tr>
      <w:tr>
        <w:tc>
          <w:tcPr>
            <w:tcW w:w="2200" w:type="dxa"/>
          </w:tcPr>
          <w:p>
            <w:pPr>
              <w:jc w:val="left"/>
              <w:spacing w:before="0" w:after="0" w:line="240" w:lineRule="auto"/>
            </w:pPr>
            <w:r>
              <w:rPr>
                <w:rFonts w:ascii="Times New Roman" w:hAnsi="Times New Roman" w:cs="Times New Roman"/>
                <w:sz w:val="22"/>
                <w:szCs w:val="22"/>
              </w:rPr>
              <w:t>Impostor</w:t>
            </w:r>
          </w:p>
        </w:tc>
        <w:tc>
          <w:tcPr>
            <w:tcW w:w="2200" w:type="dxa"/>
          </w:tcPr>
          <w:p>
            <w:pPr>
              <w:jc w:val="left"/>
              <w:spacing w:before="0" w:after="0" w:line="240" w:lineRule="auto"/>
            </w:pPr>
            <w:r>
              <w:rPr>
                <w:rFonts w:ascii="Times New Roman" w:hAnsi="Times New Roman" w:cs="Times New Roman"/>
                <w:sz w:val="22"/>
                <w:szCs w:val="22"/>
              </w:rPr>
              <w:t>99.600%</w:t>
            </w:r>
          </w:p>
        </w:tc>
        <w:tc>
          <w:tcPr>
            <w:tcW w:w="2200" w:type="dxa"/>
          </w:tcPr>
          <w:p>
            <w:pPr>
              <w:jc w:val="left"/>
              <w:spacing w:before="0" w:after="0" w:line="240" w:lineRule="auto"/>
            </w:pPr>
            <w:r>
              <w:rPr>
                <w:rFonts w:ascii="Times New Roman" w:hAnsi="Times New Roman" w:cs="Times New Roman"/>
                <w:sz w:val="22"/>
                <w:szCs w:val="22"/>
              </w:rPr>
              <w:t>0.400%</w:t>
            </w:r>
          </w:p>
        </w:tc>
        <w:tc>
          <w:tcPr>
            <w:tcW w:w="2200" w:type="dxa"/>
          </w:tcPr>
          <w:p>
            <w:pPr>
              <w:jc w:val="left"/>
              <w:spacing w:before="0" w:after="0" w:line="240" w:lineRule="auto"/>
            </w:pPr>
            <w:r>
              <w:rPr>
                <w:rFonts w:ascii="Times New Roman" w:hAnsi="Times New Roman" w:cs="Times New Roman"/>
                <w:sz w:val="22"/>
                <w:szCs w:val="22"/>
              </w:rPr>
              <w:t>1.491%</w:t>
            </w:r>
          </w:p>
        </w:tc>
        <w:tc>
          <w:tcPr>
            <w:tcW w:w="2200" w:type="dxa"/>
          </w:tcPr>
          <w:p>
            <w:pPr>
              <w:jc w:val="left"/>
              <w:spacing w:before="0" w:after="0" w:line="240" w:lineRule="auto"/>
            </w:pPr>
            <w:r>
              <w:rPr>
                <w:rFonts w:ascii="Times New Roman" w:hAnsi="Times New Roman" w:cs="Times New Roman"/>
                <w:sz w:val="22"/>
                <w:szCs w:val="22"/>
              </w:rPr>
              <w:t>98.509%</w:t>
            </w:r>
          </w:p>
        </w:tc>
        <w:tc>
          <w:tcPr>
            <w:tcW w:w="2200" w:type="dxa"/>
          </w:tcPr>
          <w:p>
            <w:pPr>
              <w:jc w:val="left"/>
              <w:spacing w:before="0" w:after="0" w:line="240" w:lineRule="auto"/>
            </w:pPr>
            <w:r>
              <w:rPr>
                <w:rFonts w:ascii="Times New Roman" w:hAnsi="Times New Roman" w:cs="Times New Roman"/>
                <w:sz w:val="22"/>
                <w:szCs w:val="22"/>
              </w:rPr>
              <w:t>4.197</w:t>
            </w:r>
          </w:p>
        </w:tc>
      </w:tr>
      <w:tr>
        <w:tc>
          <w:tcPr>
            <w:tcW w:w="2200" w:type="dxa"/>
          </w:tcPr>
          <w:p>
            <w:pPr>
              <w:jc w:val="left"/>
              <w:spacing w:before="0" w:after="0" w:line="240" w:lineRule="auto"/>
            </w:pPr>
            <w:r>
              <w:rPr>
                <w:rFonts w:ascii="Times New Roman" w:hAnsi="Times New Roman" w:cs="Times New Roman"/>
                <w:sz w:val="22"/>
                <w:szCs w:val="22"/>
              </w:rPr>
              <w:t>LLM</w:t>
            </w:r>
          </w:p>
        </w:tc>
        <w:tc>
          <w:tcPr>
            <w:tcW w:w="2200" w:type="dxa"/>
          </w:tcPr>
          <w:p>
            <w:pPr>
              <w:jc w:val="left"/>
              <w:spacing w:before="0" w:after="0" w:line="240" w:lineRule="auto"/>
            </w:pPr>
            <w:r>
              <w:rPr>
                <w:rFonts w:ascii="Times New Roman" w:hAnsi="Times New Roman" w:cs="Times New Roman"/>
                <w:sz w:val="22"/>
                <w:szCs w:val="22"/>
              </w:rPr>
              <w:t>99.600%</w:t>
            </w:r>
          </w:p>
        </w:tc>
        <w:tc>
          <w:tcPr>
            <w:tcW w:w="2200" w:type="dxa"/>
          </w:tcPr>
          <w:p>
            <w:pPr>
              <w:jc w:val="left"/>
              <w:spacing w:before="0" w:after="0" w:line="240" w:lineRule="auto"/>
            </w:pPr>
            <w:r>
              <w:rPr>
                <w:rFonts w:ascii="Times New Roman" w:hAnsi="Times New Roman" w:cs="Times New Roman"/>
                <w:sz w:val="22"/>
                <w:szCs w:val="22"/>
              </w:rPr>
              <w:t>0.400%</w:t>
            </w:r>
          </w:p>
        </w:tc>
        <w:tc>
          <w:tcPr>
            <w:tcW w:w="2200" w:type="dxa"/>
          </w:tcPr>
          <w:p>
            <w:pPr>
              <w:jc w:val="left"/>
              <w:spacing w:before="0" w:after="0" w:line="240" w:lineRule="auto"/>
            </w:pPr>
            <w:r>
              <w:rPr>
                <w:rFonts w:ascii="Times New Roman" w:hAnsi="Times New Roman" w:cs="Times New Roman"/>
                <w:sz w:val="22"/>
                <w:szCs w:val="22"/>
              </w:rPr>
              <w:t>0.000%</w:t>
            </w:r>
          </w:p>
        </w:tc>
        <w:tc>
          <w:tcPr>
            <w:tcW w:w="2200" w:type="dxa"/>
          </w:tcPr>
          <w:p>
            <w:pPr>
              <w:jc w:val="left"/>
              <w:spacing w:before="0" w:after="0" w:line="240" w:lineRule="auto"/>
            </w:pPr>
            <w:r>
              <w:rPr>
                <w:rFonts w:ascii="Times New Roman" w:hAnsi="Times New Roman" w:cs="Times New Roman"/>
                <w:sz w:val="22"/>
                <w:szCs w:val="22"/>
              </w:rPr>
              <w:t>100.000%</w:t>
            </w:r>
          </w:p>
        </w:tc>
        <w:tc>
          <w:tcPr>
            <w:tcW w:w="2200" w:type="dxa"/>
          </w:tcPr>
          <w:p>
            <w:pPr>
              <w:jc w:val="left"/>
              <w:spacing w:before="0" w:after="0" w:line="240" w:lineRule="auto"/>
            </w:pPr>
            <w:r>
              <w:rPr>
                <w:rFonts w:ascii="Times New Roman" w:hAnsi="Times New Roman" w:cs="Times New Roman"/>
                <w:sz w:val="22"/>
                <w:szCs w:val="22"/>
              </w:rPr>
              <w:t>3.000</w:t>
            </w:r>
          </w:p>
        </w:tc>
      </w:tr>
    </w:tbl>
    <w:p>
      <w:pPr>
        <w:jc w:val="left"/>
        <w:spacing w:before="0" w:after="120" w:line="276" w:lineRule="auto"/>
      </w:pPr>
      <w:r>
        <w:rPr>
          <w:rFonts w:ascii="Times New Roman" w:hAnsi="Times New Roman" w:cs="Times New Roman"/>
          <w:sz w:val="24"/>
          <w:szCs w:val="24"/>
          <w:b/>
        </w:rPr>
        <w:t>4.2 LLM Detector Validity Signals</w:t>
      </w:r>
    </w:p>
    <w:p>
      <w:pPr>
        <w:jc w:val="both"/>
        <w:spacing w:before="0" w:after="120" w:line="276" w:lineRule="auto"/>
      </w:pPr>
      <w:r>
        <w:rPr>
          <w:rFonts w:ascii="Times New Roman" w:hAnsi="Times New Roman" w:cs="Times New Roman"/>
          <w:sz w:val="24"/>
          <w:szCs w:val="24"/>
        </w:rPr>
        <w:t>The LLM-aware detector reports synthetic TPR = 100.000%, human FPR estimate = 0.000%, and ROC AUC = 1.000. The current run uses decision threshold = 0.350.</w:t>
      </w:r>
    </w:p>
    <w:p>
      <w:pPr>
        <w:jc w:val="both"/>
        <w:spacing w:before="0" w:after="120" w:line="276" w:lineRule="auto"/>
      </w:pPr>
      <w:r>
        <w:rPr>
          <w:rFonts w:ascii="Times New Roman" w:hAnsi="Times New Roman" w:cs="Times New Roman"/>
          <w:sz w:val="24"/>
          <w:szCs w:val="24"/>
        </w:rPr>
        <w:t>The interpretation remains conservative: these values demonstrate strong discrimination in the present synthetic-vs-human setup, but do not claim universal detection for all real-world assisted writing patterns without broader external validation pools.</w:t>
      </w:r>
    </w:p>
    <w:p>
      <w:pPr>
        <w:jc w:val="center"/>
        <w:spacing w:before="0" w:after="120" w:line="276" w:lineRule="auto"/>
      </w:pPr>
      <w:r>
        <w:rPr>
          <w:rFonts w:ascii="Times New Roman" w:hAnsi="Times New Roman" w:cs="Times New Roman"/>
          <w:sz w:val="22"/>
          <w:szCs w:val="22"/>
          <w:i/>
        </w:rPr>
        <w:t>[INSERT FIGURE FROM results_ieee/figures/FIG_llm_roc.png]</w:t>
      </w:r>
    </w:p>
    <w:p>
      <w:pPr>
        <w:jc w:val="center"/>
        <w:spacing w:before="0" w:after="120" w:line="276" w:lineRule="auto"/>
      </w:pPr>
      <w:r>
        <w:rPr>
          <w:rFonts w:ascii="Times New Roman" w:hAnsi="Times New Roman" w:cs="Times New Roman"/>
          <w:sz w:val="22"/>
          <w:szCs w:val="22"/>
          <w:i/>
        </w:rPr>
        <w:t>Fig. 4.1 ROC curve for LLM-aware detector.</w:t>
      </w:r>
    </w:p>
    <w:p>
      <w:pPr>
        <w:jc w:val="center"/>
        <w:spacing w:before="0" w:after="120" w:line="276" w:lineRule="auto"/>
      </w:pPr>
      <w:r>
        <w:rPr>
          <w:rFonts w:ascii="Times New Roman" w:hAnsi="Times New Roman" w:cs="Times New Roman"/>
          <w:sz w:val="22"/>
          <w:szCs w:val="22"/>
          <w:i/>
        </w:rPr>
        <w:t>[INSERT FIGURE FROM results_ieee/figures/FIG_llm_calibration.png]</w:t>
      </w:r>
    </w:p>
    <w:p>
      <w:pPr>
        <w:jc w:val="center"/>
        <w:spacing w:before="0" w:after="120" w:line="276" w:lineRule="auto"/>
      </w:pPr>
      <w:r>
        <w:rPr>
          <w:rFonts w:ascii="Times New Roman" w:hAnsi="Times New Roman" w:cs="Times New Roman"/>
          <w:sz w:val="22"/>
          <w:szCs w:val="22"/>
          <w:i/>
        </w:rPr>
        <w:t>Fig. 4.2 Calibration behavior of LLM-aware detector.</w:t>
      </w:r>
    </w:p>
    <w:p>
      <w:pPr>
        <w:jc w:val="left"/>
        <w:spacing w:before="0" w:after="120" w:line="276" w:lineRule="auto"/>
      </w:pPr>
      <w:r>
        <w:rPr>
          <w:rFonts w:ascii="Times New Roman" w:hAnsi="Times New Roman" w:cs="Times New Roman"/>
          <w:sz w:val="24"/>
          <w:szCs w:val="24"/>
          <w:b/>
        </w:rPr>
        <w:t>4.3 Ablation and Baseline Comparison</w:t>
      </w:r>
    </w:p>
    <w:p>
      <w:pPr>
        <w:jc w:val="both"/>
        <w:spacing w:before="0" w:after="120" w:line="276" w:lineRule="auto"/>
      </w:pPr>
      <w:r>
        <w:rPr>
          <w:rFonts w:ascii="Times New Roman" w:hAnsi="Times New Roman" w:cs="Times New Roman"/>
          <w:sz w:val="24"/>
          <w:szCs w:val="24"/>
        </w:rPr>
        <w:t>Ablation rows compare baseline policies and proposed policy under identical conditions. B1 removes smoothing, B2 disables LLM gate (biometric-only), B3 disables biometric gate (LLM-only), and P uses both gates. The ablation outcome explains each policy's failure mode and supports the combined gate design.</w:t>
      </w:r>
    </w:p>
    <w:p>
      <w:pPr>
        <w:jc w:val="center"/>
        <w:spacing w:before="0" w:after="60" w:line="276" w:lineRule="auto"/>
      </w:pPr>
      <w:r>
        <w:rPr>
          <w:rFonts w:ascii="Times New Roman" w:hAnsi="Times New Roman" w:cs="Times New Roman"/>
          <w:sz w:val="22"/>
          <w:szCs w:val="22"/>
          <w:b/>
        </w:rPr>
        <w:t>Table 4.2 Policy-wise comparison at warmup:attack = 40:80.</w:t>
      </w:r>
    </w:p>
    <w:tbl>
      <w:tblPr>
        <w:tblStyle w:val="TableGrid"/>
        <w:tblW w:w="0" w:type="auto"/>
      </w:tblPr>
      <w:tr>
        <w:tc>
          <w:tcPr>
            <w:tcW w:w="2200" w:type="dxa"/>
          </w:tcPr>
          <w:p>
            <w:pPr>
              <w:jc w:val="center"/>
              <w:spacing w:before="0" w:after="0" w:line="240" w:lineRule="auto"/>
            </w:pPr>
            <w:r>
              <w:rPr>
                <w:rFonts w:ascii="Times New Roman" w:hAnsi="Times New Roman" w:cs="Times New Roman"/>
                <w:sz w:val="22"/>
                <w:szCs w:val="22"/>
                <w:b/>
              </w:rPr>
              <w:t>Policy</w:t>
            </w:r>
          </w:p>
        </w:tc>
        <w:tc>
          <w:tcPr>
            <w:tcW w:w="2200" w:type="dxa"/>
          </w:tcPr>
          <w:p>
            <w:pPr>
              <w:jc w:val="center"/>
              <w:spacing w:before="0" w:after="0" w:line="240" w:lineRule="auto"/>
            </w:pPr>
            <w:r>
              <w:rPr>
                <w:rFonts w:ascii="Times New Roman" w:hAnsi="Times New Roman" w:cs="Times New Roman"/>
                <w:sz w:val="22"/>
                <w:szCs w:val="22"/>
                <w:b/>
              </w:rPr>
              <w:t>Imp Detect</w:t>
            </w:r>
          </w:p>
        </w:tc>
        <w:tc>
          <w:tcPr>
            <w:tcW w:w="2200" w:type="dxa"/>
          </w:tcPr>
          <w:p>
            <w:pPr>
              <w:jc w:val="center"/>
              <w:spacing w:before="0" w:after="0" w:line="240" w:lineRule="auto"/>
            </w:pPr>
            <w:r>
              <w:rPr>
                <w:rFonts w:ascii="Times New Roman" w:hAnsi="Times New Roman" w:cs="Times New Roman"/>
                <w:sz w:val="22"/>
                <w:szCs w:val="22"/>
                <w:b/>
              </w:rPr>
              <w:t>Imp Accept</w:t>
            </w:r>
          </w:p>
        </w:tc>
        <w:tc>
          <w:tcPr>
            <w:tcW w:w="2200" w:type="dxa"/>
          </w:tcPr>
          <w:p>
            <w:pPr>
              <w:jc w:val="center"/>
              <w:spacing w:before="0" w:after="0" w:line="240" w:lineRule="auto"/>
            </w:pPr>
            <w:r>
              <w:rPr>
                <w:rFonts w:ascii="Times New Roman" w:hAnsi="Times New Roman" w:cs="Times New Roman"/>
                <w:sz w:val="22"/>
                <w:szCs w:val="22"/>
                <w:b/>
              </w:rPr>
              <w:t>LLM Detect</w:t>
            </w:r>
          </w:p>
        </w:tc>
        <w:tc>
          <w:tcPr>
            <w:tcW w:w="2200" w:type="dxa"/>
          </w:tcPr>
          <w:p>
            <w:pPr>
              <w:jc w:val="center"/>
              <w:spacing w:before="0" w:after="0" w:line="240" w:lineRule="auto"/>
            </w:pPr>
            <w:r>
              <w:rPr>
                <w:rFonts w:ascii="Times New Roman" w:hAnsi="Times New Roman" w:cs="Times New Roman"/>
                <w:sz w:val="22"/>
                <w:szCs w:val="22"/>
                <w:b/>
              </w:rPr>
              <w:t>LLM Accept</w:t>
            </w:r>
          </w:p>
        </w:tc>
        <w:tc>
          <w:tcPr>
            <w:tcW w:w="2200" w:type="dxa"/>
          </w:tcPr>
          <w:p>
            <w:pPr>
              <w:jc w:val="center"/>
              <w:spacing w:before="0" w:after="0" w:line="240" w:lineRule="auto"/>
            </w:pPr>
            <w:r>
              <w:rPr>
                <w:rFonts w:ascii="Times New Roman" w:hAnsi="Times New Roman" w:cs="Times New Roman"/>
                <w:sz w:val="22"/>
                <w:szCs w:val="22"/>
                <w:b/>
              </w:rPr>
              <w:t>Imp Delay</w:t>
            </w:r>
          </w:p>
        </w:tc>
        <w:tc>
          <w:tcPr>
            <w:tcW w:w="2200" w:type="dxa"/>
          </w:tcPr>
          <w:p>
            <w:pPr>
              <w:jc w:val="center"/>
              <w:spacing w:before="0" w:after="0" w:line="240" w:lineRule="auto"/>
            </w:pPr>
            <w:r>
              <w:rPr>
                <w:rFonts w:ascii="Times New Roman" w:hAnsi="Times New Roman" w:cs="Times New Roman"/>
                <w:sz w:val="22"/>
                <w:szCs w:val="22"/>
                <w:b/>
              </w:rPr>
              <w:t>LLM Delay</w:t>
            </w:r>
          </w:p>
        </w:tc>
      </w:tr>
      <w:tr>
        <w:tc>
          <w:tcPr>
            <w:tcW w:w="2200" w:type="dxa"/>
          </w:tcPr>
          <w:p>
            <w:pPr>
              <w:jc w:val="left"/>
              <w:spacing w:before="0" w:after="0" w:line="240" w:lineRule="auto"/>
            </w:pPr>
            <w:r>
              <w:rPr>
                <w:rFonts w:ascii="Times New Roman" w:hAnsi="Times New Roman" w:cs="Times New Roman"/>
                <w:sz w:val="22"/>
                <w:szCs w:val="22"/>
              </w:rPr>
              <w:t>B1</w:t>
            </w:r>
          </w:p>
        </w:tc>
        <w:tc>
          <w:tcPr>
            <w:tcW w:w="2200" w:type="dxa"/>
          </w:tcPr>
          <w:p>
            <w:pPr>
              <w:jc w:val="left"/>
              <w:spacing w:before="0" w:after="0" w:line="240" w:lineRule="auto"/>
            </w:pPr>
            <w:r>
              <w:rPr>
                <w:rFonts w:ascii="Times New Roman" w:hAnsi="Times New Roman" w:cs="Times New Roman"/>
                <w:sz w:val="22"/>
                <w:szCs w:val="22"/>
              </w:rPr>
              <w:t>99.775%</w:t>
            </w:r>
          </w:p>
        </w:tc>
        <w:tc>
          <w:tcPr>
            <w:tcW w:w="2200" w:type="dxa"/>
          </w:tcPr>
          <w:p>
            <w:pPr>
              <w:jc w:val="left"/>
              <w:spacing w:before="0" w:after="0" w:line="240" w:lineRule="auto"/>
            </w:pPr>
            <w:r>
              <w:rPr>
                <w:rFonts w:ascii="Times New Roman" w:hAnsi="Times New Roman" w:cs="Times New Roman"/>
                <w:sz w:val="22"/>
                <w:szCs w:val="22"/>
              </w:rPr>
              <w:t>0.296%</w:t>
            </w:r>
          </w:p>
        </w:tc>
        <w:tc>
          <w:tcPr>
            <w:tcW w:w="2200" w:type="dxa"/>
          </w:tcPr>
          <w:p>
            <w:pPr>
              <w:jc w:val="left"/>
              <w:spacing w:before="0" w:after="0" w:line="240" w:lineRule="auto"/>
            </w:pPr>
            <w:r>
              <w:rPr>
                <w:rFonts w:ascii="Times New Roman" w:hAnsi="Times New Roman" w:cs="Times New Roman"/>
                <w:sz w:val="22"/>
                <w:szCs w:val="22"/>
              </w:rPr>
              <w:t>99.775%</w:t>
            </w:r>
          </w:p>
        </w:tc>
        <w:tc>
          <w:tcPr>
            <w:tcW w:w="2200" w:type="dxa"/>
          </w:tcPr>
          <w:p>
            <w:pPr>
              <w:jc w:val="left"/>
              <w:spacing w:before="0" w:after="0" w:line="240" w:lineRule="auto"/>
            </w:pPr>
            <w:r>
              <w:rPr>
                <w:rFonts w:ascii="Times New Roman" w:hAnsi="Times New Roman" w:cs="Times New Roman"/>
                <w:sz w:val="22"/>
                <w:szCs w:val="22"/>
              </w:rPr>
              <w:t>0.000%</w:t>
            </w:r>
          </w:p>
        </w:tc>
        <w:tc>
          <w:tcPr>
            <w:tcW w:w="2200" w:type="dxa"/>
          </w:tcPr>
          <w:p>
            <w:pPr>
              <w:jc w:val="left"/>
              <w:spacing w:before="0" w:after="0" w:line="240" w:lineRule="auto"/>
            </w:pPr>
            <w:r>
              <w:rPr>
                <w:rFonts w:ascii="Times New Roman" w:hAnsi="Times New Roman" w:cs="Times New Roman"/>
                <w:sz w:val="22"/>
                <w:szCs w:val="22"/>
              </w:rPr>
              <w:t>3.018</w:t>
            </w:r>
          </w:p>
        </w:tc>
        <w:tc>
          <w:tcPr>
            <w:tcW w:w="2200" w:type="dxa"/>
          </w:tcPr>
          <w:p>
            <w:pPr>
              <w:jc w:val="left"/>
              <w:spacing w:before="0" w:after="0" w:line="240" w:lineRule="auto"/>
            </w:pPr>
            <w:r>
              <w:rPr>
                <w:rFonts w:ascii="Times New Roman" w:hAnsi="Times New Roman" w:cs="Times New Roman"/>
                <w:sz w:val="22"/>
                <w:szCs w:val="22"/>
              </w:rPr>
              <w:t>2.997</w:t>
            </w:r>
          </w:p>
        </w:tc>
      </w:tr>
      <w:tr>
        <w:tc>
          <w:tcPr>
            <w:tcW w:w="2200" w:type="dxa"/>
          </w:tcPr>
          <w:p>
            <w:pPr>
              <w:jc w:val="left"/>
              <w:spacing w:before="0" w:after="0" w:line="240" w:lineRule="auto"/>
            </w:pPr>
            <w:r>
              <w:rPr>
                <w:rFonts w:ascii="Times New Roman" w:hAnsi="Times New Roman" w:cs="Times New Roman"/>
                <w:sz w:val="22"/>
                <w:szCs w:val="22"/>
              </w:rPr>
              <w:t>B2</w:t>
            </w:r>
          </w:p>
        </w:tc>
        <w:tc>
          <w:tcPr>
            <w:tcW w:w="2200" w:type="dxa"/>
          </w:tcPr>
          <w:p>
            <w:pPr>
              <w:jc w:val="left"/>
              <w:spacing w:before="0" w:after="0" w:line="240" w:lineRule="auto"/>
            </w:pPr>
            <w:r>
              <w:rPr>
                <w:rFonts w:ascii="Times New Roman" w:hAnsi="Times New Roman" w:cs="Times New Roman"/>
                <w:sz w:val="22"/>
                <w:szCs w:val="22"/>
              </w:rPr>
              <w:t>99.787%</w:t>
            </w:r>
          </w:p>
        </w:tc>
        <w:tc>
          <w:tcPr>
            <w:tcW w:w="2200" w:type="dxa"/>
          </w:tcPr>
          <w:p>
            <w:pPr>
              <w:jc w:val="left"/>
              <w:spacing w:before="0" w:after="0" w:line="240" w:lineRule="auto"/>
            </w:pPr>
            <w:r>
              <w:rPr>
                <w:rFonts w:ascii="Times New Roman" w:hAnsi="Times New Roman" w:cs="Times New Roman"/>
                <w:sz w:val="22"/>
                <w:szCs w:val="22"/>
              </w:rPr>
              <w:t>1.544%</w:t>
            </w:r>
          </w:p>
        </w:tc>
        <w:tc>
          <w:tcPr>
            <w:tcW w:w="2200" w:type="dxa"/>
          </w:tcPr>
          <w:p>
            <w:pPr>
              <w:jc w:val="left"/>
              <w:spacing w:before="0" w:after="0" w:line="240" w:lineRule="auto"/>
            </w:pPr>
            <w:r>
              <w:rPr>
                <w:rFonts w:ascii="Times New Roman" w:hAnsi="Times New Roman" w:cs="Times New Roman"/>
                <w:sz w:val="22"/>
                <w:szCs w:val="22"/>
              </w:rPr>
              <w:t>99.663%</w:t>
            </w:r>
          </w:p>
        </w:tc>
        <w:tc>
          <w:tcPr>
            <w:tcW w:w="2200" w:type="dxa"/>
          </w:tcPr>
          <w:p>
            <w:pPr>
              <w:jc w:val="left"/>
              <w:spacing w:before="0" w:after="0" w:line="240" w:lineRule="auto"/>
            </w:pPr>
            <w:r>
              <w:rPr>
                <w:rFonts w:ascii="Times New Roman" w:hAnsi="Times New Roman" w:cs="Times New Roman"/>
                <w:sz w:val="22"/>
                <w:szCs w:val="22"/>
              </w:rPr>
              <w:t>1.884%</w:t>
            </w:r>
          </w:p>
        </w:tc>
        <w:tc>
          <w:tcPr>
            <w:tcW w:w="2200" w:type="dxa"/>
          </w:tcPr>
          <w:p>
            <w:pPr>
              <w:jc w:val="left"/>
              <w:spacing w:before="0" w:after="0" w:line="240" w:lineRule="auto"/>
            </w:pPr>
            <w:r>
              <w:rPr>
                <w:rFonts w:ascii="Times New Roman" w:hAnsi="Times New Roman" w:cs="Times New Roman"/>
                <w:sz w:val="22"/>
                <w:szCs w:val="22"/>
              </w:rPr>
              <w:t>4.237</w:t>
            </w:r>
          </w:p>
        </w:tc>
        <w:tc>
          <w:tcPr>
            <w:tcW w:w="2200" w:type="dxa"/>
          </w:tcPr>
          <w:p>
            <w:pPr>
              <w:jc w:val="left"/>
              <w:spacing w:before="0" w:after="0" w:line="240" w:lineRule="auto"/>
            </w:pPr>
            <w:r>
              <w:rPr>
                <w:rFonts w:ascii="Times New Roman" w:hAnsi="Times New Roman" w:cs="Times New Roman"/>
                <w:sz w:val="22"/>
                <w:szCs w:val="22"/>
              </w:rPr>
              <w:t>4.374</w:t>
            </w:r>
          </w:p>
        </w:tc>
      </w:tr>
      <w:tr>
        <w:tc>
          <w:tcPr>
            <w:tcW w:w="2200" w:type="dxa"/>
          </w:tcPr>
          <w:p>
            <w:pPr>
              <w:jc w:val="left"/>
              <w:spacing w:before="0" w:after="0" w:line="240" w:lineRule="auto"/>
            </w:pPr>
            <w:r>
              <w:rPr>
                <w:rFonts w:ascii="Times New Roman" w:hAnsi="Times New Roman" w:cs="Times New Roman"/>
                <w:sz w:val="22"/>
                <w:szCs w:val="22"/>
              </w:rPr>
              <w:t>B3</w:t>
            </w:r>
          </w:p>
        </w:tc>
        <w:tc>
          <w:tcPr>
            <w:tcW w:w="2200" w:type="dxa"/>
          </w:tcPr>
          <w:p>
            <w:pPr>
              <w:jc w:val="left"/>
              <w:spacing w:before="0" w:after="0" w:line="240" w:lineRule="auto"/>
            </w:pPr>
            <w:r>
              <w:rPr>
                <w:rFonts w:ascii="Times New Roman" w:hAnsi="Times New Roman" w:cs="Times New Roman"/>
                <w:sz w:val="22"/>
                <w:szCs w:val="22"/>
              </w:rPr>
              <w:t>0.000%</w:t>
            </w:r>
          </w:p>
        </w:tc>
        <w:tc>
          <w:tcPr>
            <w:tcW w:w="2200" w:type="dxa"/>
          </w:tcPr>
          <w:p>
            <w:pPr>
              <w:jc w:val="left"/>
              <w:spacing w:before="0" w:after="0" w:line="240" w:lineRule="auto"/>
            </w:pPr>
            <w:r>
              <w:rPr>
                <w:rFonts w:ascii="Times New Roman" w:hAnsi="Times New Roman" w:cs="Times New Roman"/>
                <w:sz w:val="22"/>
                <w:szCs w:val="22"/>
              </w:rPr>
              <w:t>100.000%</w:t>
            </w:r>
          </w:p>
        </w:tc>
        <w:tc>
          <w:tcPr>
            <w:tcW w:w="2200" w:type="dxa"/>
          </w:tcPr>
          <w:p>
            <w:pPr>
              <w:jc w:val="left"/>
              <w:spacing w:before="0" w:after="0" w:line="240" w:lineRule="auto"/>
            </w:pPr>
            <w:r>
              <w:rPr>
                <w:rFonts w:ascii="Times New Roman" w:hAnsi="Times New Roman" w:cs="Times New Roman"/>
                <w:sz w:val="22"/>
                <w:szCs w:val="22"/>
              </w:rPr>
              <w:t>100.000%</w:t>
            </w:r>
          </w:p>
        </w:tc>
        <w:tc>
          <w:tcPr>
            <w:tcW w:w="2200" w:type="dxa"/>
          </w:tcPr>
          <w:p>
            <w:pPr>
              <w:jc w:val="left"/>
              <w:spacing w:before="0" w:after="0" w:line="240" w:lineRule="auto"/>
            </w:pPr>
            <w:r>
              <w:rPr>
                <w:rFonts w:ascii="Times New Roman" w:hAnsi="Times New Roman" w:cs="Times New Roman"/>
                <w:sz w:val="22"/>
                <w:szCs w:val="22"/>
              </w:rPr>
              <w:t>0.000%</w:t>
            </w:r>
          </w:p>
        </w:tc>
        <w:tc>
          <w:tcPr>
            <w:tcW w:w="2200" w:type="dxa"/>
          </w:tcPr>
          <w:p>
            <w:pPr>
              <w:jc w:val="left"/>
              <w:spacing w:before="0" w:after="0" w:line="240" w:lineRule="auto"/>
            </w:pPr>
            <w:r>
              <w:rPr>
                <w:rFonts w:ascii="Times New Roman" w:hAnsi="Times New Roman" w:cs="Times New Roman"/>
                <w:sz w:val="22"/>
                <w:szCs w:val="22"/>
              </w:rPr>
              <w:t>NA</w:t>
            </w:r>
          </w:p>
        </w:tc>
        <w:tc>
          <w:tcPr>
            <w:tcW w:w="2200" w:type="dxa"/>
          </w:tcPr>
          <w:p>
            <w:pPr>
              <w:jc w:val="left"/>
              <w:spacing w:before="0" w:after="0" w:line="240" w:lineRule="auto"/>
            </w:pPr>
            <w:r>
              <w:rPr>
                <w:rFonts w:ascii="Times New Roman" w:hAnsi="Times New Roman" w:cs="Times New Roman"/>
                <w:sz w:val="22"/>
                <w:szCs w:val="22"/>
              </w:rPr>
              <w:t>3.000</w:t>
            </w:r>
          </w:p>
        </w:tc>
      </w:tr>
      <w:tr>
        <w:tc>
          <w:tcPr>
            <w:tcW w:w="2200" w:type="dxa"/>
          </w:tcPr>
          <w:p>
            <w:pPr>
              <w:jc w:val="left"/>
              <w:spacing w:before="0" w:after="0" w:line="240" w:lineRule="auto"/>
            </w:pPr>
            <w:r>
              <w:rPr>
                <w:rFonts w:ascii="Times New Roman" w:hAnsi="Times New Roman" w:cs="Times New Roman"/>
                <w:sz w:val="22"/>
                <w:szCs w:val="22"/>
              </w:rPr>
              <w:t>P</w:t>
            </w:r>
          </w:p>
        </w:tc>
        <w:tc>
          <w:tcPr>
            <w:tcW w:w="2200" w:type="dxa"/>
          </w:tcPr>
          <w:p>
            <w:pPr>
              <w:jc w:val="left"/>
              <w:spacing w:before="0" w:after="0" w:line="240" w:lineRule="auto"/>
            </w:pPr>
            <w:r>
              <w:rPr>
                <w:rFonts w:ascii="Times New Roman" w:hAnsi="Times New Roman" w:cs="Times New Roman"/>
                <w:sz w:val="22"/>
                <w:szCs w:val="22"/>
              </w:rPr>
              <w:t>99.787%</w:t>
            </w:r>
          </w:p>
        </w:tc>
        <w:tc>
          <w:tcPr>
            <w:tcW w:w="2200" w:type="dxa"/>
          </w:tcPr>
          <w:p>
            <w:pPr>
              <w:jc w:val="left"/>
              <w:spacing w:before="0" w:after="0" w:line="240" w:lineRule="auto"/>
            </w:pPr>
            <w:r>
              <w:rPr>
                <w:rFonts w:ascii="Times New Roman" w:hAnsi="Times New Roman" w:cs="Times New Roman"/>
                <w:sz w:val="22"/>
                <w:szCs w:val="22"/>
              </w:rPr>
              <w:t>1.544%</w:t>
            </w:r>
          </w:p>
        </w:tc>
        <w:tc>
          <w:tcPr>
            <w:tcW w:w="2200" w:type="dxa"/>
          </w:tcPr>
          <w:p>
            <w:pPr>
              <w:jc w:val="left"/>
              <w:spacing w:before="0" w:after="0" w:line="240" w:lineRule="auto"/>
            </w:pPr>
            <w:r>
              <w:rPr>
                <w:rFonts w:ascii="Times New Roman" w:hAnsi="Times New Roman" w:cs="Times New Roman"/>
                <w:sz w:val="22"/>
                <w:szCs w:val="22"/>
              </w:rPr>
              <w:t>99.787%</w:t>
            </w:r>
          </w:p>
        </w:tc>
        <w:tc>
          <w:tcPr>
            <w:tcW w:w="2200" w:type="dxa"/>
          </w:tcPr>
          <w:p>
            <w:pPr>
              <w:jc w:val="left"/>
              <w:spacing w:before="0" w:after="0" w:line="240" w:lineRule="auto"/>
            </w:pPr>
            <w:r>
              <w:rPr>
                <w:rFonts w:ascii="Times New Roman" w:hAnsi="Times New Roman" w:cs="Times New Roman"/>
                <w:sz w:val="22"/>
                <w:szCs w:val="22"/>
              </w:rPr>
              <w:t>0.000%</w:t>
            </w:r>
          </w:p>
        </w:tc>
        <w:tc>
          <w:tcPr>
            <w:tcW w:w="2200" w:type="dxa"/>
          </w:tcPr>
          <w:p>
            <w:pPr>
              <w:jc w:val="left"/>
              <w:spacing w:before="0" w:after="0" w:line="240" w:lineRule="auto"/>
            </w:pPr>
            <w:r>
              <w:rPr>
                <w:rFonts w:ascii="Times New Roman" w:hAnsi="Times New Roman" w:cs="Times New Roman"/>
                <w:sz w:val="22"/>
                <w:szCs w:val="22"/>
              </w:rPr>
              <w:t>4.237</w:t>
            </w:r>
          </w:p>
        </w:tc>
        <w:tc>
          <w:tcPr>
            <w:tcW w:w="2200" w:type="dxa"/>
          </w:tcPr>
          <w:p>
            <w:pPr>
              <w:jc w:val="left"/>
              <w:spacing w:before="0" w:after="0" w:line="240" w:lineRule="auto"/>
            </w:pPr>
            <w:r>
              <w:rPr>
                <w:rFonts w:ascii="Times New Roman" w:hAnsi="Times New Roman" w:cs="Times New Roman"/>
                <w:sz w:val="22"/>
                <w:szCs w:val="22"/>
              </w:rPr>
              <w:t>3.000</w:t>
            </w:r>
          </w:p>
        </w:tc>
      </w:tr>
    </w:tbl>
    <w:p>
      <w:pPr>
        <w:jc w:val="both"/>
        <w:spacing w:before="0" w:after="120" w:line="276" w:lineRule="auto"/>
      </w:pPr>
      <w:r>
        <w:rPr>
          <w:rFonts w:ascii="Times New Roman" w:hAnsi="Times New Roman" w:cs="Times New Roman"/>
          <w:sz w:val="24"/>
          <w:szCs w:val="24"/>
        </w:rPr>
        <w:t>B3 policy demonstrates strong LLM blocking but cannot detect impostor-only takeover because biometric checks are disabled. B2 policy retains impostor detection but allows non-zero assisted-input acceptance due to absence of dedicated LLM gate. Proposed policy P combines strengths and addresses both threat channels.</w:t>
      </w:r>
    </w:p>
    <w:p>
      <w:pPr>
        <w:jc w:val="center"/>
        <w:spacing w:before="0" w:after="120" w:line="276" w:lineRule="auto"/>
      </w:pPr>
      <w:r>
        <w:rPr>
          <w:rFonts w:ascii="Times New Roman" w:hAnsi="Times New Roman" w:cs="Times New Roman"/>
          <w:sz w:val="22"/>
          <w:szCs w:val="22"/>
          <w:i/>
        </w:rPr>
        <w:t>[INSERT FIGURE FROM results_ieee/figures/FIG_policy_tradeoff_combined.png]</w:t>
      </w:r>
    </w:p>
    <w:p>
      <w:pPr>
        <w:jc w:val="center"/>
        <w:spacing w:before="0" w:after="120" w:line="276" w:lineRule="auto"/>
      </w:pPr>
      <w:r>
        <w:rPr>
          <w:rFonts w:ascii="Times New Roman" w:hAnsi="Times New Roman" w:cs="Times New Roman"/>
          <w:sz w:val="22"/>
          <w:szCs w:val="22"/>
          <w:i/>
        </w:rPr>
        <w:t>Fig. 4.3 Policy tradeoff between false alarm and detection rate.</w:t>
      </w:r>
    </w:p>
    <w:p>
      <w:pPr>
        <w:jc w:val="left"/>
        <w:spacing w:before="0" w:after="120" w:line="276" w:lineRule="auto"/>
      </w:pPr>
      <w:r>
        <w:rPr>
          <w:rFonts w:ascii="Times New Roman" w:hAnsi="Times New Roman" w:cs="Times New Roman"/>
          <w:sz w:val="24"/>
          <w:szCs w:val="24"/>
          <w:b/>
        </w:rPr>
        <w:t>4.4 Session-Length Sensitivity</w:t>
      </w:r>
    </w:p>
    <w:p>
      <w:pPr>
        <w:jc w:val="both"/>
        <w:spacing w:before="0" w:after="120" w:line="276" w:lineRule="auto"/>
      </w:pPr>
      <w:r>
        <w:rPr>
          <w:rFonts w:ascii="Times New Roman" w:hAnsi="Times New Roman" w:cs="Times New Roman"/>
          <w:sz w:val="24"/>
          <w:szCs w:val="24"/>
        </w:rPr>
        <w:t>To examine protocol sensitivity, the proposed policy was compared across two session settings: 40:80 and 80:160. Results indicate stable high detection while attack acceptance changes with longer attack windows.</w:t>
      </w:r>
    </w:p>
    <w:p>
      <w:pPr>
        <w:jc w:val="center"/>
        <w:spacing w:before="0" w:after="60" w:line="276" w:lineRule="auto"/>
      </w:pPr>
      <w:r>
        <w:rPr>
          <w:rFonts w:ascii="Times New Roman" w:hAnsi="Times New Roman" w:cs="Times New Roman"/>
          <w:sz w:val="22"/>
          <w:szCs w:val="22"/>
          <w:b/>
        </w:rPr>
        <w:t>Table 4.3 Session-length sensitivity for proposed policy.</w:t>
      </w:r>
    </w:p>
    <w:tbl>
      <w:tblPr>
        <w:tblStyle w:val="TableGrid"/>
        <w:tblW w:w="0" w:type="auto"/>
      </w:tblPr>
      <w:tr>
        <w:tc>
          <w:tcPr>
            <w:tcW w:w="2200" w:type="dxa"/>
          </w:tcPr>
          <w:p>
            <w:pPr>
              <w:jc w:val="center"/>
              <w:spacing w:before="0" w:after="0" w:line="240" w:lineRule="auto"/>
            </w:pPr>
            <w:r>
              <w:rPr>
                <w:rFonts w:ascii="Times New Roman" w:hAnsi="Times New Roman" w:cs="Times New Roman"/>
                <w:sz w:val="22"/>
                <w:szCs w:val="22"/>
                <w:b/>
              </w:rPr>
              <w:t>Setting</w:t>
            </w:r>
          </w:p>
        </w:tc>
        <w:tc>
          <w:tcPr>
            <w:tcW w:w="2200" w:type="dxa"/>
          </w:tcPr>
          <w:p>
            <w:pPr>
              <w:jc w:val="center"/>
              <w:spacing w:before="0" w:after="0" w:line="240" w:lineRule="auto"/>
            </w:pPr>
            <w:r>
              <w:rPr>
                <w:rFonts w:ascii="Times New Roman" w:hAnsi="Times New Roman" w:cs="Times New Roman"/>
                <w:sz w:val="22"/>
                <w:szCs w:val="22"/>
                <w:b/>
              </w:rPr>
              <w:t>Imp Detect</w:t>
            </w:r>
          </w:p>
        </w:tc>
        <w:tc>
          <w:tcPr>
            <w:tcW w:w="2200" w:type="dxa"/>
          </w:tcPr>
          <w:p>
            <w:pPr>
              <w:jc w:val="center"/>
              <w:spacing w:before="0" w:after="0" w:line="240" w:lineRule="auto"/>
            </w:pPr>
            <w:r>
              <w:rPr>
                <w:rFonts w:ascii="Times New Roman" w:hAnsi="Times New Roman" w:cs="Times New Roman"/>
                <w:sz w:val="22"/>
                <w:szCs w:val="22"/>
                <w:b/>
              </w:rPr>
              <w:t>Imp Accept</w:t>
            </w:r>
          </w:p>
        </w:tc>
        <w:tc>
          <w:tcPr>
            <w:tcW w:w="2200" w:type="dxa"/>
          </w:tcPr>
          <w:p>
            <w:pPr>
              <w:jc w:val="center"/>
              <w:spacing w:before="0" w:after="0" w:line="240" w:lineRule="auto"/>
            </w:pPr>
            <w:r>
              <w:rPr>
                <w:rFonts w:ascii="Times New Roman" w:hAnsi="Times New Roman" w:cs="Times New Roman"/>
                <w:sz w:val="22"/>
                <w:szCs w:val="22"/>
                <w:b/>
              </w:rPr>
              <w:t>LLM Detect</w:t>
            </w:r>
          </w:p>
        </w:tc>
        <w:tc>
          <w:tcPr>
            <w:tcW w:w="2200" w:type="dxa"/>
          </w:tcPr>
          <w:p>
            <w:pPr>
              <w:jc w:val="center"/>
              <w:spacing w:before="0" w:after="0" w:line="240" w:lineRule="auto"/>
            </w:pPr>
            <w:r>
              <w:rPr>
                <w:rFonts w:ascii="Times New Roman" w:hAnsi="Times New Roman" w:cs="Times New Roman"/>
                <w:sz w:val="22"/>
                <w:szCs w:val="22"/>
                <w:b/>
              </w:rPr>
              <w:t>LLM Accept</w:t>
            </w:r>
          </w:p>
        </w:tc>
        <w:tc>
          <w:tcPr>
            <w:tcW w:w="2200" w:type="dxa"/>
          </w:tcPr>
          <w:p>
            <w:pPr>
              <w:jc w:val="center"/>
              <w:spacing w:before="0" w:after="0" w:line="240" w:lineRule="auto"/>
            </w:pPr>
            <w:r>
              <w:rPr>
                <w:rFonts w:ascii="Times New Roman" w:hAnsi="Times New Roman" w:cs="Times New Roman"/>
                <w:sz w:val="22"/>
                <w:szCs w:val="22"/>
                <w:b/>
              </w:rPr>
              <w:t>Imp Delay</w:t>
            </w:r>
          </w:p>
        </w:tc>
        <w:tc>
          <w:tcPr>
            <w:tcW w:w="2200" w:type="dxa"/>
          </w:tcPr>
          <w:p>
            <w:pPr>
              <w:jc w:val="center"/>
              <w:spacing w:before="0" w:after="0" w:line="240" w:lineRule="auto"/>
            </w:pPr>
            <w:r>
              <w:rPr>
                <w:rFonts w:ascii="Times New Roman" w:hAnsi="Times New Roman" w:cs="Times New Roman"/>
                <w:sz w:val="22"/>
                <w:szCs w:val="22"/>
                <w:b/>
              </w:rPr>
              <w:t>LLM Delay</w:t>
            </w:r>
          </w:p>
        </w:tc>
      </w:tr>
      <w:tr>
        <w:tc>
          <w:tcPr>
            <w:tcW w:w="2200" w:type="dxa"/>
          </w:tcPr>
          <w:p>
            <w:pPr>
              <w:jc w:val="left"/>
              <w:spacing w:before="0" w:after="0" w:line="240" w:lineRule="auto"/>
            </w:pPr>
            <w:r>
              <w:rPr>
                <w:rFonts w:ascii="Times New Roman" w:hAnsi="Times New Roman" w:cs="Times New Roman"/>
                <w:sz w:val="22"/>
                <w:szCs w:val="22"/>
              </w:rPr>
              <w:t>40:80</w:t>
            </w:r>
          </w:p>
        </w:tc>
        <w:tc>
          <w:tcPr>
            <w:tcW w:w="2200" w:type="dxa"/>
          </w:tcPr>
          <w:p>
            <w:pPr>
              <w:jc w:val="left"/>
              <w:spacing w:before="0" w:after="0" w:line="240" w:lineRule="auto"/>
            </w:pPr>
            <w:r>
              <w:rPr>
                <w:rFonts w:ascii="Times New Roman" w:hAnsi="Times New Roman" w:cs="Times New Roman"/>
                <w:sz w:val="22"/>
                <w:szCs w:val="22"/>
              </w:rPr>
              <w:t>99.787%</w:t>
            </w:r>
          </w:p>
        </w:tc>
        <w:tc>
          <w:tcPr>
            <w:tcW w:w="2200" w:type="dxa"/>
          </w:tcPr>
          <w:p>
            <w:pPr>
              <w:jc w:val="left"/>
              <w:spacing w:before="0" w:after="0" w:line="240" w:lineRule="auto"/>
            </w:pPr>
            <w:r>
              <w:rPr>
                <w:rFonts w:ascii="Times New Roman" w:hAnsi="Times New Roman" w:cs="Times New Roman"/>
                <w:sz w:val="22"/>
                <w:szCs w:val="22"/>
              </w:rPr>
              <w:t>1.544%</w:t>
            </w:r>
          </w:p>
        </w:tc>
        <w:tc>
          <w:tcPr>
            <w:tcW w:w="2200" w:type="dxa"/>
          </w:tcPr>
          <w:p>
            <w:pPr>
              <w:jc w:val="left"/>
              <w:spacing w:before="0" w:after="0" w:line="240" w:lineRule="auto"/>
            </w:pPr>
            <w:r>
              <w:rPr>
                <w:rFonts w:ascii="Times New Roman" w:hAnsi="Times New Roman" w:cs="Times New Roman"/>
                <w:sz w:val="22"/>
                <w:szCs w:val="22"/>
              </w:rPr>
              <w:t>99.787%</w:t>
            </w:r>
          </w:p>
        </w:tc>
        <w:tc>
          <w:tcPr>
            <w:tcW w:w="2200" w:type="dxa"/>
          </w:tcPr>
          <w:p>
            <w:pPr>
              <w:jc w:val="left"/>
              <w:spacing w:before="0" w:after="0" w:line="240" w:lineRule="auto"/>
            </w:pPr>
            <w:r>
              <w:rPr>
                <w:rFonts w:ascii="Times New Roman" w:hAnsi="Times New Roman" w:cs="Times New Roman"/>
                <w:sz w:val="22"/>
                <w:szCs w:val="22"/>
              </w:rPr>
              <w:t>0.000%</w:t>
            </w:r>
          </w:p>
        </w:tc>
        <w:tc>
          <w:tcPr>
            <w:tcW w:w="2200" w:type="dxa"/>
          </w:tcPr>
          <w:p>
            <w:pPr>
              <w:jc w:val="left"/>
              <w:spacing w:before="0" w:after="0" w:line="240" w:lineRule="auto"/>
            </w:pPr>
            <w:r>
              <w:rPr>
                <w:rFonts w:ascii="Times New Roman" w:hAnsi="Times New Roman" w:cs="Times New Roman"/>
                <w:sz w:val="22"/>
                <w:szCs w:val="22"/>
              </w:rPr>
              <w:t>4.237</w:t>
            </w:r>
          </w:p>
        </w:tc>
        <w:tc>
          <w:tcPr>
            <w:tcW w:w="2200" w:type="dxa"/>
          </w:tcPr>
          <w:p>
            <w:pPr>
              <w:jc w:val="left"/>
              <w:spacing w:before="0" w:after="0" w:line="240" w:lineRule="auto"/>
            </w:pPr>
            <w:r>
              <w:rPr>
                <w:rFonts w:ascii="Times New Roman" w:hAnsi="Times New Roman" w:cs="Times New Roman"/>
                <w:sz w:val="22"/>
                <w:szCs w:val="22"/>
              </w:rPr>
              <w:t>3.000</w:t>
            </w:r>
          </w:p>
        </w:tc>
      </w:tr>
      <w:tr>
        <w:tc>
          <w:tcPr>
            <w:tcW w:w="2200" w:type="dxa"/>
          </w:tcPr>
          <w:p>
            <w:pPr>
              <w:jc w:val="left"/>
              <w:spacing w:before="0" w:after="0" w:line="240" w:lineRule="auto"/>
            </w:pPr>
            <w:r>
              <w:rPr>
                <w:rFonts w:ascii="Times New Roman" w:hAnsi="Times New Roman" w:cs="Times New Roman"/>
                <w:sz w:val="22"/>
                <w:szCs w:val="22"/>
              </w:rPr>
              <w:t>80:160</w:t>
            </w:r>
          </w:p>
        </w:tc>
        <w:tc>
          <w:tcPr>
            <w:tcW w:w="2200" w:type="dxa"/>
          </w:tcPr>
          <w:p>
            <w:pPr>
              <w:jc w:val="left"/>
              <w:spacing w:before="0" w:after="0" w:line="240" w:lineRule="auto"/>
            </w:pPr>
            <w:r>
              <w:rPr>
                <w:rFonts w:ascii="Times New Roman" w:hAnsi="Times New Roman" w:cs="Times New Roman"/>
                <w:sz w:val="22"/>
                <w:szCs w:val="22"/>
              </w:rPr>
              <w:t>99.787%</w:t>
            </w:r>
          </w:p>
        </w:tc>
        <w:tc>
          <w:tcPr>
            <w:tcW w:w="2200" w:type="dxa"/>
          </w:tcPr>
          <w:p>
            <w:pPr>
              <w:jc w:val="left"/>
              <w:spacing w:before="0" w:after="0" w:line="240" w:lineRule="auto"/>
            </w:pPr>
            <w:r>
              <w:rPr>
                <w:rFonts w:ascii="Times New Roman" w:hAnsi="Times New Roman" w:cs="Times New Roman"/>
                <w:sz w:val="22"/>
                <w:szCs w:val="22"/>
              </w:rPr>
              <w:t>0.772%</w:t>
            </w:r>
          </w:p>
        </w:tc>
        <w:tc>
          <w:tcPr>
            <w:tcW w:w="2200" w:type="dxa"/>
          </w:tcPr>
          <w:p>
            <w:pPr>
              <w:jc w:val="left"/>
              <w:spacing w:before="0" w:after="0" w:line="240" w:lineRule="auto"/>
            </w:pPr>
            <w:r>
              <w:rPr>
                <w:rFonts w:ascii="Times New Roman" w:hAnsi="Times New Roman" w:cs="Times New Roman"/>
                <w:sz w:val="22"/>
                <w:szCs w:val="22"/>
              </w:rPr>
              <w:t>99.787%</w:t>
            </w:r>
          </w:p>
        </w:tc>
        <w:tc>
          <w:tcPr>
            <w:tcW w:w="2200" w:type="dxa"/>
          </w:tcPr>
          <w:p>
            <w:pPr>
              <w:jc w:val="left"/>
              <w:spacing w:before="0" w:after="0" w:line="240" w:lineRule="auto"/>
            </w:pPr>
            <w:r>
              <w:rPr>
                <w:rFonts w:ascii="Times New Roman" w:hAnsi="Times New Roman" w:cs="Times New Roman"/>
                <w:sz w:val="22"/>
                <w:szCs w:val="22"/>
              </w:rPr>
              <w:t>0.000%</w:t>
            </w:r>
          </w:p>
        </w:tc>
        <w:tc>
          <w:tcPr>
            <w:tcW w:w="2200" w:type="dxa"/>
          </w:tcPr>
          <w:p>
            <w:pPr>
              <w:jc w:val="left"/>
              <w:spacing w:before="0" w:after="0" w:line="240" w:lineRule="auto"/>
            </w:pPr>
            <w:r>
              <w:rPr>
                <w:rFonts w:ascii="Times New Roman" w:hAnsi="Times New Roman" w:cs="Times New Roman"/>
                <w:sz w:val="22"/>
                <w:szCs w:val="22"/>
              </w:rPr>
              <w:t>4.237</w:t>
            </w:r>
          </w:p>
        </w:tc>
        <w:tc>
          <w:tcPr>
            <w:tcW w:w="2200" w:type="dxa"/>
          </w:tcPr>
          <w:p>
            <w:pPr>
              <w:jc w:val="left"/>
              <w:spacing w:before="0" w:after="0" w:line="240" w:lineRule="auto"/>
            </w:pPr>
            <w:r>
              <w:rPr>
                <w:rFonts w:ascii="Times New Roman" w:hAnsi="Times New Roman" w:cs="Times New Roman"/>
                <w:sz w:val="22"/>
                <w:szCs w:val="22"/>
              </w:rPr>
              <w:t>3.000</w:t>
            </w:r>
          </w:p>
        </w:tc>
      </w:tr>
    </w:tbl>
    <w:p>
      <w:pPr>
        <w:jc w:val="left"/>
        <w:spacing w:before="0" w:after="120" w:line="276" w:lineRule="auto"/>
      </w:pPr>
      <w:r>
        <w:rPr>
          <w:rFonts w:ascii="Times New Roman" w:hAnsi="Times New Roman" w:cs="Times New Roman"/>
          <w:sz w:val="24"/>
          <w:szCs w:val="24"/>
          <w:b/>
        </w:rPr>
        <w:t>4.5 Discussion</w:t>
      </w:r>
    </w:p>
    <w:p>
      <w:pPr>
        <w:jc w:val="both"/>
        <w:spacing w:before="0" w:after="120" w:line="276" w:lineRule="auto"/>
      </w:pPr>
      <w:r>
        <w:rPr>
          <w:rFonts w:ascii="Times New Roman" w:hAnsi="Times New Roman" w:cs="Times New Roman"/>
          <w:sz w:val="24"/>
          <w:szCs w:val="24"/>
        </w:rPr>
        <w:t>The reported results suggest that combining biometric and assisted-input gates is necessary for balanced security across heterogeneous takeover types.</w:t>
      </w:r>
    </w:p>
    <w:p>
      <w:pPr>
        <w:jc w:val="both"/>
        <w:spacing w:before="0" w:after="120" w:line="276" w:lineRule="auto"/>
      </w:pPr>
      <w:r>
        <w:rPr>
          <w:rFonts w:ascii="Times New Roman" w:hAnsi="Times New Roman" w:cs="Times New Roman"/>
          <w:sz w:val="24"/>
          <w:szCs w:val="24"/>
        </w:rPr>
        <w:t>Low false alarm before attack indicates that pre-attack user disruption remains limited in the tested setting, but deployment tuning should account for domain drift and user heterogeneity.</w:t>
      </w:r>
    </w:p>
    <w:p>
      <w:pPr>
        <w:jc w:val="both"/>
        <w:spacing w:before="0" w:after="120" w:line="276" w:lineRule="auto"/>
      </w:pPr>
      <w:r>
        <w:rPr>
          <w:rFonts w:ascii="Times New Roman" w:hAnsi="Times New Roman" w:cs="Times New Roman"/>
          <w:sz w:val="24"/>
          <w:szCs w:val="24"/>
        </w:rPr>
        <w:t>Delay values around 3 to 4 steps show practical early warning potential for online containment workflows in supervised environments.</w:t>
      </w:r>
    </w:p>
    <w:p>
      <w:pPr>
        <w:jc w:val="both"/>
        <w:spacing w:before="0" w:after="120" w:line="276" w:lineRule="auto"/>
      </w:pPr>
      <w:r>
        <w:rPr>
          <w:rFonts w:ascii="Times New Roman" w:hAnsi="Times New Roman" w:cs="Times New Roman"/>
          <w:sz w:val="24"/>
          <w:szCs w:val="24"/>
        </w:rPr>
        <w:t>The continuous protocol design, machine-readable artifacts, and ablation-led interpretation improve defensibility of project claims during viva and publication review.</w:t>
      </w:r>
    </w:p>
    <w:p>
      <w:pPr>
        <w:jc w:val="both"/>
        <w:spacing w:before="0" w:after="120" w:line="276" w:lineRule="auto"/>
      </w:pPr>
      <w:r>
        <w:rPr>
          <w:rFonts w:ascii="Times New Roman" w:hAnsi="Times New Roman" w:cs="Times New Roman"/>
          <w:sz w:val="24"/>
          <w:szCs w:val="24"/>
        </w:rPr>
        <w:t>Current detector validity depends on available assisted-input pools. Expanded external evaluation and domain shift tests are required before broad production claims.</w:t>
      </w:r>
    </w:p>
    <w:p>
      <w:r>
        <w:br w:type="page"/>
      </w:r>
    </w:p>
    <w:p>
      <w:pPr>
        <w:jc w:val="center"/>
        <w:spacing w:before="0" w:after="240" w:line="276" w:lineRule="auto"/>
      </w:pPr>
      <w:r>
        <w:rPr>
          <w:rFonts w:ascii="Times New Roman" w:hAnsi="Times New Roman" w:cs="Times New Roman"/>
          <w:sz w:val="28"/>
          <w:szCs w:val="28"/>
          <w:b/>
          <w:caps/>
        </w:rPr>
        <w:t>CHAPTER 5</w:t>
      </w:r>
    </w:p>
    <w:p>
      <w:pPr>
        <w:jc w:val="center"/>
        <w:spacing w:before="0" w:after="240" w:line="276" w:lineRule="auto"/>
      </w:pPr>
      <w:r>
        <w:rPr>
          <w:rFonts w:ascii="Times New Roman" w:hAnsi="Times New Roman" w:cs="Times New Roman"/>
          <w:sz w:val="28"/>
          <w:szCs w:val="28"/>
          <w:b/>
          <w:caps/>
        </w:rPr>
        <w:t>CONCLUSIONS AND FURTHER WORK</w:t>
      </w:r>
    </w:p>
    <w:p>
      <w:pPr>
        <w:jc w:val="both"/>
        <w:spacing w:before="0" w:after="120" w:line="276" w:lineRule="auto"/>
      </w:pPr>
      <w:r>
        <w:rPr>
          <w:rFonts w:ascii="Times New Roman" w:hAnsi="Times New Roman" w:cs="Times New Roman"/>
          <w:sz w:val="24"/>
          <w:szCs w:val="24"/>
        </w:rPr>
        <w:t>This project demonstrates a full-stack continuous keystroke security framework that extends Type2Branch embeddings into online session defense.</w:t>
      </w:r>
    </w:p>
    <w:p>
      <w:pPr>
        <w:jc w:val="both"/>
        <w:spacing w:before="0" w:after="120" w:line="276" w:lineRule="auto"/>
      </w:pPr>
      <w:r>
        <w:rPr>
          <w:rFonts w:ascii="Times New Roman" w:hAnsi="Times New Roman" w:cs="Times New Roman"/>
          <w:sz w:val="24"/>
          <w:szCs w:val="24"/>
        </w:rPr>
        <w:t>The implemented dual-gate policy effectively combines biometric mismatch checks and LLM-aware behavior checks, improving coverage against both impostor and assisted-input takeovers.</w:t>
      </w:r>
    </w:p>
    <w:p>
      <w:pPr>
        <w:jc w:val="both"/>
        <w:spacing w:before="0" w:after="120" w:line="276" w:lineRule="auto"/>
      </w:pPr>
      <w:r>
        <w:rPr>
          <w:rFonts w:ascii="Times New Roman" w:hAnsi="Times New Roman" w:cs="Times New Roman"/>
          <w:sz w:val="24"/>
          <w:szCs w:val="24"/>
        </w:rPr>
        <w:t>The developed artifact pipeline supports research reporting with consistent tables, figures, and machine-readable metrics for claim-evidence traceability.</w:t>
      </w:r>
    </w:p>
    <w:p>
      <w:pPr>
        <w:jc w:val="both"/>
        <w:spacing w:before="0" w:after="120" w:line="276" w:lineRule="auto"/>
      </w:pPr>
      <w:r>
        <w:rPr>
          <w:rFonts w:ascii="Times New Roman" w:hAnsi="Times New Roman" w:cs="Times New Roman"/>
          <w:sz w:val="24"/>
          <w:szCs w:val="24"/>
        </w:rPr>
        <w:t>Integration with enrollment and runtime testing application supports practical testcase workflows and bridges research outputs with deployment-oriented behavior.</w:t>
      </w:r>
    </w:p>
    <w:p>
      <w:pPr>
        <w:jc w:val="left"/>
        <w:spacing w:before="0" w:after="120" w:line="276" w:lineRule="auto"/>
      </w:pPr>
      <w:r>
        <w:rPr>
          <w:rFonts w:ascii="Times New Roman" w:hAnsi="Times New Roman" w:cs="Times New Roman"/>
          <w:sz w:val="24"/>
          <w:szCs w:val="24"/>
          <w:b/>
        </w:rPr>
        <w:t>Future Work</w:t>
      </w:r>
    </w:p>
    <w:p>
      <w:pPr>
        <w:jc w:val="left"/>
        <w:spacing w:before="0" w:after="60" w:line="276" w:lineRule="auto"/>
      </w:pPr>
      <w:r>
        <w:rPr>
          <w:rFonts w:ascii="Times New Roman" w:hAnsi="Times New Roman" w:cs="Times New Roman"/>
          <w:sz w:val="24"/>
          <w:szCs w:val="24"/>
        </w:rPr>
        <w:t>• Collect and evaluate larger external assisted-input datasets to strengthen validity claims beyond synthetic pools.</w:t>
      </w:r>
    </w:p>
    <w:p>
      <w:pPr>
        <w:jc w:val="left"/>
        <w:spacing w:before="0" w:after="60" w:line="276" w:lineRule="auto"/>
      </w:pPr>
      <w:r>
        <w:rPr>
          <w:rFonts w:ascii="Times New Roman" w:hAnsi="Times New Roman" w:cs="Times New Roman"/>
          <w:sz w:val="24"/>
          <w:szCs w:val="24"/>
        </w:rPr>
        <w:t>• Incorporate uncertainty-aware thresholds and adaptive policy tuning for long-session drift.</w:t>
      </w:r>
    </w:p>
    <w:p>
      <w:pPr>
        <w:jc w:val="left"/>
        <w:spacing w:before="0" w:after="60" w:line="276" w:lineRule="auto"/>
      </w:pPr>
      <w:r>
        <w:rPr>
          <w:rFonts w:ascii="Times New Roman" w:hAnsi="Times New Roman" w:cs="Times New Roman"/>
          <w:sz w:val="24"/>
          <w:szCs w:val="24"/>
        </w:rPr>
        <w:t>• Perform cross-device and cross-keyboard robustness studies.</w:t>
      </w:r>
    </w:p>
    <w:p>
      <w:pPr>
        <w:jc w:val="left"/>
        <w:spacing w:before="0" w:after="60" w:line="276" w:lineRule="auto"/>
      </w:pPr>
      <w:r>
        <w:rPr>
          <w:rFonts w:ascii="Times New Roman" w:hAnsi="Times New Roman" w:cs="Times New Roman"/>
          <w:sz w:val="24"/>
          <w:szCs w:val="24"/>
        </w:rPr>
        <w:t>• Add subgroup fairness and calibration monitoring in continuous mode.</w:t>
      </w:r>
    </w:p>
    <w:p>
      <w:pPr>
        <w:jc w:val="left"/>
        <w:spacing w:before="0" w:after="60" w:line="276" w:lineRule="auto"/>
      </w:pPr>
      <w:r>
        <w:rPr>
          <w:rFonts w:ascii="Times New Roman" w:hAnsi="Times New Roman" w:cs="Times New Roman"/>
          <w:sz w:val="24"/>
          <w:szCs w:val="24"/>
        </w:rPr>
        <w:t>• Extend app telemetry for secure audit trails and operational risk analytics.</w:t>
      </w:r>
    </w:p>
    <w:p>
      <w:r>
        <w:br w:type="page"/>
      </w:r>
    </w:p>
    <w:p>
      <w:pPr>
        <w:jc w:val="center"/>
        <w:spacing w:before="0" w:after="240" w:line="276" w:lineRule="auto"/>
      </w:pPr>
      <w:r>
        <w:rPr>
          <w:rFonts w:ascii="Times New Roman" w:hAnsi="Times New Roman" w:cs="Times New Roman"/>
          <w:sz w:val="28"/>
          <w:szCs w:val="28"/>
          <w:b/>
          <w:caps/>
        </w:rPr>
        <w:t>REFERENCES</w:t>
      </w:r>
    </w:p>
    <w:p>
      <w:pPr>
        <w:jc w:val="left"/>
        <w:spacing w:before="0" w:after="120" w:line="240" w:lineRule="auto"/>
      </w:pPr>
      <w:r>
        <w:rPr>
          <w:rFonts w:ascii="Times New Roman" w:hAnsi="Times New Roman" w:cs="Times New Roman"/>
          <w:sz w:val="22"/>
          <w:szCs w:val="22"/>
        </w:rPr>
        <w:t>Acien, A., et al. (2022). TypeNet and scalable deep keystroke biometrics. IEEE Transactions on Biometrics, Behavior, and Identity Science.</w:t>
      </w:r>
    </w:p>
    <w:p>
      <w:pPr>
        <w:jc w:val="left"/>
        <w:spacing w:before="0" w:after="120" w:line="240" w:lineRule="auto"/>
      </w:pPr>
      <w:r>
        <w:rPr>
          <w:rFonts w:ascii="Times New Roman" w:hAnsi="Times New Roman" w:cs="Times New Roman"/>
          <w:sz w:val="22"/>
          <w:szCs w:val="22"/>
        </w:rPr>
        <w:t>Adewole, D. O., et al. (2016). The evolution of neuroprosthetic interfaces. Critical Reviews in Biomedical Engineering, 44, 123-152.</w:t>
      </w:r>
    </w:p>
    <w:p>
      <w:pPr>
        <w:jc w:val="left"/>
        <w:spacing w:before="0" w:after="120" w:line="240" w:lineRule="auto"/>
      </w:pPr>
      <w:r>
        <w:rPr>
          <w:rFonts w:ascii="Times New Roman" w:hAnsi="Times New Roman" w:cs="Times New Roman"/>
          <w:sz w:val="22"/>
          <w:szCs w:val="22"/>
        </w:rPr>
        <w:t>Bensmaia, S. J. (2015). Biological and bionic hand: natural neural coding and artificial perception. Philosophical Transactions of the Royal Society B.</w:t>
      </w:r>
    </w:p>
    <w:p>
      <w:pPr>
        <w:jc w:val="left"/>
        <w:spacing w:before="0" w:after="120" w:line="240" w:lineRule="auto"/>
      </w:pPr>
      <w:r>
        <w:rPr>
          <w:rFonts w:ascii="Times New Roman" w:hAnsi="Times New Roman" w:cs="Times New Roman"/>
          <w:sz w:val="22"/>
          <w:szCs w:val="22"/>
        </w:rPr>
        <w:t>Ghafoor, U., Kim, S., and Hong, K. S. (2017). Selectivity and longevity of peripheral nerve and machine interfaces. Frontiers in Neurorobotics, 11, 59.</w:t>
      </w:r>
    </w:p>
    <w:p>
      <w:pPr>
        <w:jc w:val="left"/>
        <w:spacing w:before="0" w:after="120" w:line="240" w:lineRule="auto"/>
      </w:pPr>
      <w:r>
        <w:rPr>
          <w:rFonts w:ascii="Times New Roman" w:hAnsi="Times New Roman" w:cs="Times New Roman"/>
          <w:sz w:val="22"/>
          <w:szCs w:val="22"/>
        </w:rPr>
        <w:t>Gonzalez, N., Stragapede, G., Vera-Rodriguez, R., and Tolosana, R. (2025). Type2Branch: Keystroke biometrics based on a dual-branch architecture with attention mechanisms and Set2Set loss. IEEE Transactions on Information Forensics and Security, 20.</w:t>
      </w:r>
    </w:p>
    <w:p>
      <w:pPr>
        <w:jc w:val="left"/>
        <w:spacing w:before="0" w:after="120" w:line="240" w:lineRule="auto"/>
      </w:pPr>
      <w:r>
        <w:rPr>
          <w:rFonts w:ascii="Times New Roman" w:hAnsi="Times New Roman" w:cs="Times New Roman"/>
          <w:sz w:val="22"/>
          <w:szCs w:val="22"/>
        </w:rPr>
        <w:t>Knutson, J. S., et al. (2015). Neuromuscular electrical stimulation for motor restoration. PM&amp;R Clinics of North America, 26(4), 729-745.</w:t>
      </w:r>
    </w:p>
    <w:p>
      <w:pPr>
        <w:jc w:val="left"/>
        <w:spacing w:before="0" w:after="120" w:line="240" w:lineRule="auto"/>
      </w:pPr>
      <w:r>
        <w:rPr>
          <w:rFonts w:ascii="Times New Roman" w:hAnsi="Times New Roman" w:cs="Times New Roman"/>
          <w:sz w:val="22"/>
          <w:szCs w:val="22"/>
        </w:rPr>
        <w:t>Morales, A., et al. (2022). SetMargin-based loss functions in deep keystroke biometric learning. Pattern Recognition.</w:t>
      </w:r>
    </w:p>
    <w:p>
      <w:pPr>
        <w:jc w:val="left"/>
        <w:spacing w:before="0" w:after="120" w:line="240" w:lineRule="auto"/>
      </w:pPr>
      <w:r>
        <w:rPr>
          <w:rFonts w:ascii="Times New Roman" w:hAnsi="Times New Roman" w:cs="Times New Roman"/>
          <w:sz w:val="22"/>
          <w:szCs w:val="22"/>
        </w:rPr>
        <w:t>SASTRA Deemed to be University (2026). Project Guidelines: M.Tech &amp; M.C.A Main Project. School of Computing.</w:t>
      </w:r>
    </w:p>
    <w:p>
      <w:pPr>
        <w:jc w:val="left"/>
        <w:spacing w:before="0" w:after="120" w:line="240" w:lineRule="auto"/>
      </w:pPr>
      <w:r>
        <w:rPr>
          <w:rFonts w:ascii="Times New Roman" w:hAnsi="Times New Roman" w:cs="Times New Roman"/>
          <w:sz w:val="22"/>
          <w:szCs w:val="22"/>
        </w:rPr>
        <w:t>Stragapede, G., et al. (2023). IEEE BigData Keystroke Verification Challenge benchmark report.</w:t>
      </w:r>
    </w:p>
    <w:p>
      <w:pPr>
        <w:jc w:val="left"/>
        <w:spacing w:before="0" w:after="120" w:line="240" w:lineRule="auto"/>
      </w:pPr>
      <w:r>
        <w:rPr>
          <w:rFonts w:ascii="Times New Roman" w:hAnsi="Times New Roman" w:cs="Times New Roman"/>
          <w:sz w:val="22"/>
          <w:szCs w:val="22"/>
        </w:rPr>
        <w:t>Stragapede, G., et al. (2024). KVC-onGoing protocol and fairness-oriented large-scale keystroke verification.</w:t>
      </w:r>
    </w:p>
    <w:p>
      <w:pPr>
        <w:jc w:val="left"/>
        <w:spacing w:before="0" w:after="120" w:line="240" w:lineRule="auto"/>
      </w:pPr>
      <w:r>
        <w:rPr>
          <w:rFonts w:ascii="Times New Roman" w:hAnsi="Times New Roman" w:cs="Times New Roman"/>
          <w:sz w:val="22"/>
          <w:szCs w:val="22"/>
        </w:rPr>
        <w:t>Tabot, G. A., et al. (2015). Restoring tactile and proprioceptive sensation through a brain interface. Neurobiology of Disease, 83, 191-198.</w:t>
      </w:r>
    </w:p>
    <w:p>
      <w:pPr>
        <w:jc w:val="left"/>
        <w:spacing w:before="0" w:after="120" w:line="240" w:lineRule="auto"/>
      </w:pPr>
      <w:r>
        <w:rPr>
          <w:rFonts w:ascii="Times New Roman" w:hAnsi="Times New Roman" w:cs="Times New Roman"/>
          <w:sz w:val="22"/>
          <w:szCs w:val="22"/>
        </w:rPr>
        <w:t>Zhang, Y., et al. (2024). Continuous authentication in behavioral biometrics: A survey of online decision policies and drift handling.</w:t>
      </w:r>
    </w:p>
    <w:p>
      <w:r>
        <w:br w:type="page"/>
      </w:r>
    </w:p>
    <w:p>
      <w:pPr>
        <w:jc w:val="center"/>
        <w:spacing w:before="0" w:after="240" w:line="276" w:lineRule="auto"/>
      </w:pPr>
      <w:r>
        <w:rPr>
          <w:rFonts w:ascii="Times New Roman" w:hAnsi="Times New Roman" w:cs="Times New Roman"/>
          <w:sz w:val="28"/>
          <w:szCs w:val="28"/>
          <w:b/>
          <w:caps/>
        </w:rPr>
        <w:t>APPENDIX</w:t>
      </w:r>
    </w:p>
    <w:p>
      <w:pPr>
        <w:jc w:val="left"/>
        <w:spacing w:before="0" w:after="120" w:line="276" w:lineRule="auto"/>
      </w:pPr>
      <w:r>
        <w:rPr>
          <w:rFonts w:ascii="Times New Roman" w:hAnsi="Times New Roman" w:cs="Times New Roman"/>
          <w:sz w:val="24"/>
          <w:szCs w:val="24"/>
          <w:b/>
        </w:rPr>
        <w:t>A. Similarity Check Report</w:t>
      </w:r>
    </w:p>
    <w:p>
      <w:pPr>
        <w:jc w:val="left"/>
        <w:spacing w:before="0" w:after="120" w:line="276" w:lineRule="auto"/>
      </w:pPr>
      <w:r>
        <w:rPr>
          <w:rFonts w:ascii="Times New Roman" w:hAnsi="Times New Roman" w:cs="Times New Roman"/>
          <w:sz w:val="22"/>
          <w:szCs w:val="22"/>
          <w:i/>
        </w:rPr>
        <w:t>[Attach Turnitin similarity report here as per department submission process.]</w:t>
      </w:r>
    </w:p>
    <w:p>
      <w:pPr>
        <w:jc w:val="left"/>
        <w:spacing w:before="0" w:after="120" w:line="276" w:lineRule="auto"/>
      </w:pPr>
      <w:r>
        <w:rPr>
          <w:rFonts w:ascii="Times New Roman" w:hAnsi="Times New Roman" w:cs="Times New Roman"/>
          <w:sz w:val="24"/>
          <w:szCs w:val="24"/>
          <w:b/>
        </w:rPr>
        <w:t>B. Figure and Table Artifact Locations</w:t>
      </w:r>
    </w:p>
    <w:p>
      <w:pPr>
        <w:jc w:val="left"/>
        <w:spacing w:before="0" w:after="120" w:line="276" w:lineRule="auto"/>
      </w:pPr>
      <w:r>
        <w:rPr>
          <w:rFonts w:ascii="Times New Roman" w:hAnsi="Times New Roman" w:cs="Times New Roman"/>
          <w:sz w:val="22"/>
          <w:szCs w:val="22"/>
        </w:rPr>
        <w:t>Figures: results_ieee\figures\*.png</w:t>
      </w:r>
    </w:p>
    <w:p>
      <w:pPr>
        <w:jc w:val="left"/>
        <w:spacing w:before="0" w:after="120" w:line="276" w:lineRule="auto"/>
      </w:pPr>
      <w:r>
        <w:rPr>
          <w:rFonts w:ascii="Times New Roman" w:hAnsi="Times New Roman" w:cs="Times New Roman"/>
          <w:sz w:val="22"/>
          <w:szCs w:val="22"/>
        </w:rPr>
        <w:t>Tables: results_ieee\tables\*.csv</w:t>
      </w:r>
    </w:p>
    <w:p>
      <w:pPr>
        <w:jc w:val="left"/>
        <w:spacing w:before="0" w:after="120" w:line="276" w:lineRule="auto"/>
      </w:pPr>
      <w:r>
        <w:rPr>
          <w:rFonts w:ascii="Times New Roman" w:hAnsi="Times New Roman" w:cs="Times New Roman"/>
          <w:sz w:val="24"/>
          <w:szCs w:val="24"/>
          <w:b/>
        </w:rPr>
        <w:t>C. Source Code and Reproducibility Notes</w:t>
      </w:r>
    </w:p>
    <w:p>
      <w:pPr>
        <w:jc w:val="left"/>
        <w:spacing w:before="0" w:after="120" w:line="276" w:lineRule="auto"/>
      </w:pPr>
      <w:r>
        <w:rPr>
          <w:rFonts w:ascii="Times New Roman" w:hAnsi="Times New Roman" w:cs="Times New Roman"/>
          <w:sz w:val="22"/>
          <w:szCs w:val="22"/>
        </w:rPr>
        <w:t>Key scripts used for this report:</w:t>
      </w:r>
    </w:p>
    <w:p>
      <w:pPr>
        <w:jc w:val="left"/>
        <w:spacing w:before="0" w:after="60" w:line="276" w:lineRule="auto"/>
      </w:pPr>
      <w:r>
        <w:rPr>
          <w:rFonts w:ascii="Times New Roman" w:hAnsi="Times New Roman" w:cs="Times New Roman"/>
          <w:sz w:val="24"/>
          <w:szCs w:val="24"/>
        </w:rPr>
        <w:t>• evaluate_continuous.py</w:t>
      </w:r>
    </w:p>
    <w:p>
      <w:pPr>
        <w:jc w:val="left"/>
        <w:spacing w:before="0" w:after="60" w:line="276" w:lineRule="auto"/>
      </w:pPr>
      <w:r>
        <w:rPr>
          <w:rFonts w:ascii="Times New Roman" w:hAnsi="Times New Roman" w:cs="Times New Roman"/>
          <w:sz w:val="24"/>
          <w:szCs w:val="24"/>
        </w:rPr>
        <w:t>• run_continuous_ablations.py</w:t>
      </w:r>
    </w:p>
    <w:p>
      <w:pPr>
        <w:jc w:val="left"/>
        <w:spacing w:before="0" w:after="60" w:line="276" w:lineRule="auto"/>
      </w:pPr>
      <w:r>
        <w:rPr>
          <w:rFonts w:ascii="Times New Roman" w:hAnsi="Times New Roman" w:cs="Times New Roman"/>
          <w:sz w:val="24"/>
          <w:szCs w:val="24"/>
        </w:rPr>
        <w:t>• generate_paper_tables.py</w:t>
      </w:r>
    </w:p>
    <w:p>
      <w:pPr>
        <w:jc w:val="left"/>
        <w:spacing w:before="0" w:after="60" w:line="276" w:lineRule="auto"/>
      </w:pPr>
      <w:r>
        <w:rPr>
          <w:rFonts w:ascii="Times New Roman" w:hAnsi="Times New Roman" w:cs="Times New Roman"/>
          <w:sz w:val="24"/>
          <w:szCs w:val="24"/>
        </w:rPr>
        <w:t>• generate_ieee_assets.py</w:t>
      </w:r>
    </w:p>
    <w:p>
      <w:pPr>
        <w:jc w:val="left"/>
        <w:spacing w:before="0" w:after="60" w:line="276" w:lineRule="auto"/>
      </w:pPr>
      <w:r>
        <w:rPr>
          <w:rFonts w:ascii="Times New Roman" w:hAnsi="Times New Roman" w:cs="Times New Roman"/>
          <w:sz w:val="24"/>
          <w:szCs w:val="24"/>
        </w:rPr>
        <w:t>• build_sastra_report_docx.py</w:t>
      </w:r>
    </w:p>
    <w:sectPr>
      <w:pgSz w:w="12240" w:h="15840"/>
      <w:pgMar w:left="1800" w:right="1440" w:top="1440" w:bottom="1440" w:header="708" w:footer="708" w:gutter="0"/>
      <w:cols w:num="1" w:space="720"/>
    </w:sectPr>
  </w:body>
</w:document>
</file>

<file path=word/styles.xml><?xml version="1.0" encoding="utf-8"?>
<w:styles xmlns:w="http://schemas.openxmlformats.org/wordprocessingml/2006/main">
  <w:style w:type="paragraph" w:default="1" w:styleId="Normal">
    <w:name w:val="Normal"/>
    <w:rPr>
      <w:rFonts w:ascii="Times New Roman" w:hAnsi="Times New Roman" w:cs="Times New Roman"/>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