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Architecture and Product Documentation: Voice-First, Offline-First Financial Management for Rural Women in Tamil Nadu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Macro-Economic and Socio-Cultural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extreme financial vulnerability, rapid technological penetration, and deep-rooted socio-cultural paradigms in rural India presents a unique landscape for financial technology design. For decades, the Republic of India has driven the financial inclusion of poor rural women as a primary mechanism to facilitate poverty alleviation and social empowerment. Historically, this demographic has been systematically excluded from formal banking, suffering from a profound lack of access to affordable credit, financial literacy, and independent asset control. In the state of Tamil Nadu, the structural response to this systemic exclusion has been the aggressive promotion of the Self-Help Group (SHG) movement, operating under the aegis of the Tamil Nadu State Rural Livelihoods Mission (TNSRLM) and the foundational Mahalir Thittam program.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macro-level success of these state-sponsored community organizations, the day-to-day personal financial management of individual rural women remains dangerously opaque. Ethnographic research mapping the daily financial habits of rural Indian women reveals that while women in the poorest households prioritize spending on essential food items and localized, liquid assets such as jewelry, they are simultaneously responsible for navigating acute, high-frequency liquidity crises. The lack of appropriate, high-frequency digital tools designed for low-literacy users forces these women to rely on informal mental accounting or entirely abdicate financial tracking, leaving them highly vulnerable to predatory informal debt markets.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an exhaustive architectural, behavioral, and product specification for a highly specialized, voice-first, offline-first personal financial management application tailored explicitly for rural women in Tamil Nadu. Acknowledging the severe intersectional constraints of this demographic—specifically low textual literacy, intermittent internet connectivity, complex regional linguistic diglossia, and reliance on low-end mobile hardware—traditional Graphical User Interfaces (GUIs) are rendered completely obsolete. The mandate outlined herein demands radical simplification, enforcing a strict Minimum Viable Product (MVP) prioritization strategy that distills a conventional nine-feature financial suite down to just three essential, habit-forming interactions executable within a highly compressed build cycle.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Structural Framework of Rural Finance in Tamil Nadu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technological intervention that successfully integrates into the lives of rural women in Tamil Nadu, the underlying financial architecture of their daily existence must be meticulously mapped.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Self-Help Group (SHG) Ecosystem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cornerstone of financial empowerment for rural women in Tamil Nadu is the SHG, formalized under the Deendayal Antyodaya Yojana-National Rural Livelihoods Mission (DAY-NRLM) and executed via the TNSRLM. Mahalir Thittam, initiated in 1989 in the Dharmapuri district, laid the groundwork for this socio-economic empowerment program. Today, the mission mandates that all eligible rural poor households be mobilized into affinity-based SHGs, typically comprising 10 to 20 female members.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integrity of an SHG relies entirely on its adherence to the </w:t>
      </w:r>
      <w:r w:rsidDel="00000000" w:rsidR="00000000" w:rsidRPr="00000000">
        <w:rPr>
          <w:rFonts w:ascii="Google Sans" w:cs="Google Sans" w:eastAsia="Google Sans" w:hAnsi="Google Sans"/>
          <w:i w:val="1"/>
          <w:iCs w:val="1"/>
          <w:color w:val="1f1f1f"/>
          <w:rtl w:val="0"/>
        </w:rPr>
        <w:t xml:space="preserve">Panchasutra</w:t>
      </w:r>
      <w:r w:rsidDel="00000000" w:rsidR="00000000" w:rsidRPr="00000000">
        <w:rPr>
          <w:rFonts w:ascii="Google Sans" w:cs="Google Sans" w:eastAsia="Google Sans" w:hAnsi="Google Sans"/>
          <w:color w:val="1f1f1f"/>
          <w:rtl w:val="0"/>
        </w:rPr>
        <w:t xml:space="preserve"> principles: regular weekly meetings, regular internal savings, regular internal lending, regular recoveries, and the maintenance of proper books of accounts.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Debt Traps and Predatory Lending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formal and SHG credit mechanisms prove too rigid or slow, rural women turn to the informal sector, which is deeply woven into the fabric of village life. Tamil Nadu's rural economy is heavily populated by diverse informal lenders. While these lenders provide highly flexible, immediate cash, the cost is catastrophic.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Tamil Nadu Prohibition of Charging Exorbitant Interest Act, 2003, was enacted specifically to combat the devastation caused by these practices, defining and outlawing several distinct forms of usury prevalent in the state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Daily Vatti:</w:t>
      </w:r>
      <w:r w:rsidDel="00000000" w:rsidR="00000000" w:rsidRPr="00000000">
        <w:rPr>
          <w:rFonts w:ascii="Google Sans" w:cs="Google Sans" w:eastAsia="Google Sans" w:hAnsi="Google Sans"/>
          <w:color w:val="1f1f1f"/>
          <w:rtl w:val="0"/>
        </w:rPr>
        <w:t xml:space="preserve"> Interest calculated and collected on a daily basis.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Hourly Vatti:</w:t>
      </w:r>
      <w:r w:rsidDel="00000000" w:rsidR="00000000" w:rsidRPr="00000000">
        <w:rPr>
          <w:rFonts w:ascii="Google Sans" w:cs="Google Sans" w:eastAsia="Google Sans" w:hAnsi="Google Sans"/>
          <w:color w:val="1f1f1f"/>
          <w:rtl w:val="0"/>
        </w:rPr>
        <w:t xml:space="preserve"> An extreme form of usury where interest compounds on an hourly basis.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Kandhu Vatti:</w:t>
      </w:r>
      <w:r w:rsidDel="00000000" w:rsidR="00000000" w:rsidRPr="00000000">
        <w:rPr>
          <w:rFonts w:ascii="Google Sans" w:cs="Google Sans" w:eastAsia="Google Sans" w:hAnsi="Google Sans"/>
          <w:color w:val="1f1f1f"/>
          <w:rtl w:val="0"/>
        </w:rPr>
        <w:t xml:space="preserve"> A draconian, blanket term for exorbitant interest rates that rapidly compound.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Meter Vatti:</w:t>
      </w:r>
      <w:r w:rsidDel="00000000" w:rsidR="00000000" w:rsidRPr="00000000">
        <w:rPr>
          <w:rFonts w:ascii="Google Sans" w:cs="Google Sans" w:eastAsia="Google Sans" w:hAnsi="Google Sans"/>
          <w:color w:val="1f1f1f"/>
          <w:rtl w:val="0"/>
        </w:rPr>
        <w:t xml:space="preserve"> A highly aggressive penal interest structure where the rate multiplies significantly for every day a loan remains unpaid.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digital financial management tool must function as an early warning system, granting users acute visibility into their daily cash flow and liquidity deficits before they approach a </w:t>
      </w:r>
      <w:r w:rsidDel="00000000" w:rsidR="00000000" w:rsidRPr="00000000">
        <w:rPr>
          <w:rFonts w:ascii="Google Sans" w:cs="Google Sans" w:eastAsia="Google Sans" w:hAnsi="Google Sans"/>
          <w:i w:val="1"/>
          <w:iCs w:val="1"/>
          <w:color w:val="1f1f1f"/>
          <w:rtl w:val="0"/>
        </w:rPr>
        <w:t xml:space="preserve">meter vatti</w:t>
      </w:r>
      <w:r w:rsidDel="00000000" w:rsidR="00000000" w:rsidRPr="00000000">
        <w:rPr>
          <w:rFonts w:ascii="Google Sans" w:cs="Google Sans" w:eastAsia="Google Sans" w:hAnsi="Google Sans"/>
          <w:color w:val="1f1f1f"/>
          <w:rtl w:val="0"/>
        </w:rPr>
        <w:t xml:space="preserve"> lender.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State Welfare Injections: The Kalaignar Magalir Urimai Thogai Scheme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topography for women in Tamil Nadu was fundamentally altered with the introduction of the Kalaignar Magalir Urimai Thogai Scheme. This welfare initiative operates as a targeted universal basic income, providing a direct benefit transfer (DBT) of ₹1,000 every month directly into the Aadhaar-linked bank accounts of eligible female heads of households.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target demographic, this ₹1,000 monthly injection is a highly significant capital event. The proposed architecture must inherently recognize this routine influx and proactively guide eligible users to secure these funds through contextual guidance.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Strict MVP Prioritization and Feature Distillation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financial management applications suffer from immense feature bloat. When building for a low-literacy, resource-constrained demographic, every additional feature introduces geometric complexity and compounding cognitive friction. To ensure the application establishes a "daily habit loop," extreme simplification is a structural necessity.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MVP Definition (3 Features)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is restricted to exactly three core interactive features, augmented by a completely invisible intelligence layer and a non-interactive avatar: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1: Voice-First Daily Expense and Income Ledger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graphical interface is reduced to a single, massive interaction point—a microphone button. The user taps the button and speaks her transaction in natural, colloquial Tamil.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2: SHG Meeting and Balance Audio Nudge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passive consumption feature utilizing Text-to-Speech (TTS) to deliver a localized audio reminder of the user's upcoming weekly SHG meeting and the required weekly contribution.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3: Contextual Voice-Based Scheme Guidance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constrained, offline-first recommendation engine that proactively identifies if the user is eligible for critical state funding through a strict 3-question yes/no voice dialogue triggered automatically during moments of financial distress.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Core System Architecture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strictly offline-first, running entirely on the edge device to guarantee performance in zero-connectivity environments.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ASR (Automatic Speech Recognition):</w:t>
      </w:r>
      <w:r w:rsidDel="00000000" w:rsidR="00000000" w:rsidRPr="00000000">
        <w:rPr>
          <w:rFonts w:ascii="Google Sans" w:cs="Google Sans" w:eastAsia="Google Sans" w:hAnsi="Google Sans"/>
          <w:color w:val="1f1f1f"/>
          <w:rtl w:val="0"/>
        </w:rPr>
        <w:t xml:space="preserve"> Integrates Sherpa-ONNX utilizing an INT8 quantized Tamil model. These models require approximately ~104 MB to ~147 MB of storage, ensuring low RAM consumption and preventing Out-Of-Memory (OOM) crashes on low-end &lt;4GB RAM Android devices.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NLU (Natural Language Understanding):</w:t>
      </w:r>
      <w:r w:rsidDel="00000000" w:rsidR="00000000" w:rsidRPr="00000000">
        <w:rPr>
          <w:rFonts w:ascii="Google Sans" w:cs="Google Sans" w:eastAsia="Google Sans" w:hAnsi="Google Sans"/>
          <w:color w:val="1f1f1f"/>
          <w:rtl w:val="0"/>
        </w:rPr>
        <w:t xml:space="preserve"> A lightweight, on-device Regex &amp; Keyword matching engine. No heavy NLP models are used; intent and entity extraction rely entirely on predefined colloquial Kongu Tamil dictionaries.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Database:</w:t>
      </w:r>
      <w:r w:rsidDel="00000000" w:rsidR="00000000" w:rsidRPr="00000000">
        <w:rPr>
          <w:rFonts w:ascii="Google Sans" w:cs="Google Sans" w:eastAsia="Google Sans" w:hAnsi="Google Sans"/>
          <w:color w:val="1f1f1f"/>
          <w:rtl w:val="0"/>
        </w:rPr>
        <w:t xml:space="preserve"> Android Room functions as an abstraction layer over SQLite, offering compile-time verification of SQL queries and seamless integration with Kotlin Coroutines. It executes asynchronously on the I/O dispatcher to prevent UI thread blocking.</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Financial Engine:</w:t>
      </w:r>
      <w:r w:rsidDel="00000000" w:rsidR="00000000" w:rsidRPr="00000000">
        <w:rPr>
          <w:rFonts w:ascii="Google Sans" w:cs="Google Sans" w:eastAsia="Google Sans" w:hAnsi="Google Sans"/>
          <w:color w:val="1f1f1f"/>
          <w:rtl w:val="0"/>
        </w:rPr>
        <w:t xml:space="preserve"> A localized rules-based calculator that executes basic aggregate queries (SUM, AVG) directly within Room to evaluate thresholds.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Decision Engine:</w:t>
      </w:r>
      <w:r w:rsidDel="00000000" w:rsidR="00000000" w:rsidRPr="00000000">
        <w:rPr>
          <w:rFonts w:ascii="Google Sans" w:cs="Google Sans" w:eastAsia="Google Sans" w:hAnsi="Google Sans"/>
          <w:color w:val="1f1f1f"/>
          <w:rtl w:val="0"/>
        </w:rPr>
        <w:t xml:space="preserve"> A priority logic gate that evaluates Financial Engine outputs and selects only the single most critical nudge per interaction.</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TTS (Text-to-Speech):</w:t>
      </w:r>
      <w:r w:rsidDel="00000000" w:rsidR="00000000" w:rsidRPr="00000000">
        <w:rPr>
          <w:rFonts w:ascii="Google Sans" w:cs="Google Sans" w:eastAsia="Google Sans" w:hAnsi="Google Sans"/>
          <w:color w:val="1f1f1f"/>
          <w:rtl w:val="0"/>
        </w:rPr>
        <w:t xml:space="preserve"> Android's native offline TTS engine.</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Avatar State Engine:</w:t>
      </w:r>
      <w:r w:rsidDel="00000000" w:rsidR="00000000" w:rsidRPr="00000000">
        <w:rPr>
          <w:rFonts w:ascii="Google Sans" w:cs="Google Sans" w:eastAsia="Google Sans" w:hAnsi="Google Sans"/>
          <w:color w:val="1f1f1f"/>
          <w:rtl w:val="0"/>
        </w:rPr>
        <w:t xml:space="preserve"> Lottie runtime library rendering heavily optimized JSON files (&lt;200KB) synchronized with TTS lifecycle events.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Flow: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Microphone -&gt; Sherpa-ONNX (Audio to Text) -&gt; Keyword Matcher (Text to Intent/Amount) -&gt; Room DB (Store Transaction) -&gt; Financial Engine (Analyze) -&gt; Decision Engine (Select Nudge) -&gt; TTS &amp; Avatar Engine (Audio &amp; Visual Output).</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Voice Understanding Design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NLU relies on hardcoded fuzzy matching to bypass the need for a cloud-based language model. It is explicitly tuned for the Kongu Tamil dialect.</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Amount Extraction:</w:t>
      </w:r>
      <w:r w:rsidDel="00000000" w:rsidR="00000000" w:rsidRPr="00000000">
        <w:rPr>
          <w:rFonts w:ascii="Google Sans" w:cs="Google Sans" w:eastAsia="Google Sans" w:hAnsi="Google Sans"/>
          <w:color w:val="1f1f1f"/>
          <w:rtl w:val="0"/>
        </w:rPr>
        <w:t xml:space="preserve"> Regex parsing targeting numerical digits and spoken Tamil numbers (e.g., "நூறு" -&gt; 100).</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Income vs. Expense Detection:</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Expense Keywords:</w:t>
      </w:r>
      <w:r w:rsidDel="00000000" w:rsidR="00000000" w:rsidRPr="00000000">
        <w:rPr>
          <w:rFonts w:ascii="Google Sans" w:cs="Google Sans" w:eastAsia="Google Sans" w:hAnsi="Google Sans"/>
          <w:color w:val="1f1f1f"/>
          <w:rtl w:val="0"/>
        </w:rPr>
        <w:t xml:space="preserve"> செலவு (Selavu - Expense), குடுத்தேன் (Koduthen - Gave), வாங்குனேன் (Vaangunen - Bought).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Income Keywords:</w:t>
      </w:r>
      <w:r w:rsidDel="00000000" w:rsidR="00000000" w:rsidRPr="00000000">
        <w:rPr>
          <w:rFonts w:ascii="Google Sans" w:cs="Google Sans" w:eastAsia="Google Sans" w:hAnsi="Google Sans"/>
          <w:color w:val="1f1f1f"/>
          <w:rtl w:val="0"/>
        </w:rPr>
        <w:t xml:space="preserve"> வரவு (Varavu - Income), சம்பளம் (Sambalam - Salary), வந்துச்சு (Vandhuchu - Came).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Category Extraction (Implicit):</w:t>
      </w:r>
      <w:r w:rsidDel="00000000" w:rsidR="00000000" w:rsidRPr="00000000">
        <w:rPr>
          <w:rFonts w:ascii="Google Sans" w:cs="Google Sans" w:eastAsia="Google Sans" w:hAnsi="Google Sans"/>
          <w:color w:val="1f1f1f"/>
          <w:rtl w:val="0"/>
        </w:rPr>
        <w:t xml:space="preserve"> Matches specific nouns to macro-categories without requiring user tagging: மளிகை (Groceries) maps to Essential; ஆஸ்பத்திரி (Hospital/Medical) maps to Emergency; வட்டி (Interest/Debt) maps to Loan Repayment.</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Handling Incomplete Sentences:</w:t>
      </w:r>
      <w:r w:rsidDel="00000000" w:rsidR="00000000" w:rsidRPr="00000000">
        <w:rPr>
          <w:rFonts w:ascii="Google Sans" w:cs="Google Sans" w:eastAsia="Google Sans" w:hAnsi="Google Sans"/>
          <w:color w:val="1f1f1f"/>
          <w:rtl w:val="0"/>
        </w:rPr>
        <w:t xml:space="preserve"> If the user says "நூறு ரூவா" (100 Rupees) without an intent keyword, the system defaults to "Expense" (as rural women log expenses more frequently) but asks for confirmation: "நூறு ரூவா செலவா?" (Is 100 rupees an expense?).</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Fallback Mechanism:</w:t>
      </w:r>
      <w:r w:rsidDel="00000000" w:rsidR="00000000" w:rsidRPr="00000000">
        <w:rPr>
          <w:rFonts w:ascii="Google Sans" w:cs="Google Sans" w:eastAsia="Google Sans" w:hAnsi="Google Sans"/>
          <w:color w:val="1f1f1f"/>
          <w:rtl w:val="0"/>
        </w:rPr>
        <w:t xml:space="preserve"> If the ASR fails to extract an integer, the flow instantly aborts: "மன்னிக்கவும், எவ்ளோ காசு னு சரியா கேக்கல. மறுபடியும் சொல்லுங்க." (Sorry, didn't hear the amount clearly. Please say it again.).</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Voice-Synchronized Avatar System (Lottie-Based)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an intimidating digital interface and the deeply social financial world of rural Tamil Nadu, the application incorporates a highly restricted visual layer.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Purpose and Design Constraints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avatar is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an interactive chatbot. It is a passive visual reflection of the system's state, acting as a "digital SHG mentor" to build trust. Traditional 3D rendering is strictly forbidden. The avatar is rendered using Lottie JSON animations, optimized to under 200KB.</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Avatar State Machine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avatar's behavior is dictated by a rigid state machine:</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Idle:</w:t>
      </w:r>
      <w:r w:rsidDel="00000000" w:rsidR="00000000" w:rsidRPr="00000000">
        <w:rPr>
          <w:rFonts w:ascii="Google Sans" w:cs="Google Sans" w:eastAsia="Google Sans" w:hAnsi="Google Sans"/>
          <w:color w:val="1f1f1f"/>
          <w:rtl w:val="0"/>
        </w:rPr>
        <w:t xml:space="preserve"> Calm, barely perceptible breathing animation.</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Listening:</w:t>
      </w:r>
      <w:r w:rsidDel="00000000" w:rsidR="00000000" w:rsidRPr="00000000">
        <w:rPr>
          <w:rFonts w:ascii="Google Sans" w:cs="Google Sans" w:eastAsia="Google Sans" w:hAnsi="Google Sans"/>
          <w:color w:val="1f1f1f"/>
          <w:rtl w:val="0"/>
        </w:rPr>
        <w:t xml:space="preserve"> A subtle pulse or soft glow activates around the avatar when the microphone is active.</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Speaking:</w:t>
      </w:r>
      <w:r w:rsidDel="00000000" w:rsidR="00000000" w:rsidRPr="00000000">
        <w:rPr>
          <w:rFonts w:ascii="Google Sans" w:cs="Google Sans" w:eastAsia="Google Sans" w:hAnsi="Google Sans"/>
          <w:color w:val="1f1f1f"/>
          <w:rtl w:val="0"/>
        </w:rPr>
        <w:t xml:space="preserve"> Subtle, looped lip and head motion synchronized with TTS.</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Warning:</w:t>
      </w:r>
      <w:r w:rsidDel="00000000" w:rsidR="00000000" w:rsidRPr="00000000">
        <w:rPr>
          <w:rFonts w:ascii="Google Sans" w:cs="Google Sans" w:eastAsia="Google Sans" w:hAnsi="Google Sans"/>
          <w:color w:val="1f1f1f"/>
          <w:rtl w:val="0"/>
        </w:rPr>
        <w:t xml:space="preserve"> A slight, serious facial expression deployed during financial anomalies or debt risks.</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Positive:</w:t>
      </w:r>
      <w:r w:rsidDel="00000000" w:rsidR="00000000" w:rsidRPr="00000000">
        <w:rPr>
          <w:rFonts w:ascii="Google Sans" w:cs="Google Sans" w:eastAsia="Google Sans" w:hAnsi="Google Sans"/>
          <w:color w:val="1f1f1f"/>
          <w:rtl w:val="0"/>
        </w:rPr>
        <w:t xml:space="preserve"> An encouraging, warm expression deployed when the user saves money.</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Integration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Lottie file is engineered as a single JSON asset containing multiple timeline segments.</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Mic active</w:t>
      </w:r>
      <w:r w:rsidDel="00000000" w:rsidR="00000000" w:rsidRPr="00000000">
        <w:rPr>
          <w:rFonts w:ascii="Google Sans" w:cs="Google Sans" w:eastAsia="Google Sans" w:hAnsi="Google Sans"/>
          <w:color w:val="1f1f1f"/>
          <w:rtl w:val="0"/>
        </w:rPr>
        <w:t xml:space="preserve"> → Triggers "Listening".</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Voice input complete</w:t>
      </w:r>
      <w:r w:rsidDel="00000000" w:rsidR="00000000" w:rsidRPr="00000000">
        <w:rPr>
          <w:rFonts w:ascii="Google Sans" w:cs="Google Sans" w:eastAsia="Google Sans" w:hAnsi="Google Sans"/>
          <w:color w:val="1f1f1f"/>
          <w:rtl w:val="0"/>
        </w:rPr>
        <w:t xml:space="preserve"> → Triggers "Idle" during processing.</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TTS Playback</w:t>
      </w:r>
      <w:r w:rsidDel="00000000" w:rsidR="00000000" w:rsidRPr="00000000">
        <w:rPr>
          <w:rFonts w:ascii="Google Sans" w:cs="Google Sans" w:eastAsia="Google Sans" w:hAnsi="Google Sans"/>
          <w:color w:val="1f1f1f"/>
          <w:rtl w:val="0"/>
        </w:rPr>
        <w:t xml:space="preserve"> → Triggers "Speaking", layered with "Warning" or "Positive" depending on the Decision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ensure zero blocking of the UI thread on low-end hardware, the LottieComposition is loaded asynchronously on a background thread.</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Financial Intelligence Logic and Goal-Based Savings (NO ML)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feature bloat while still offering deep financial value, the application employs a background intelligence layer utilizing simple, rule-based algorithms.</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Spending Anomaly Detection:</w:t>
      </w:r>
    </w:p>
    <w:p w:rsidR="00000000" w:rsidDel="00000000" w:rsidP="00000000" w:rsidRDefault="00000000" w:rsidRPr="00000000" w14:paraId="0000004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Logic:</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457985" cy="2378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985" cy="237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today's expenses and </w:t>
      </w:r>
      <w:r w:rsidDel="00000000" w:rsidR="00000000" w:rsidRPr="00000000">
        <w:rPr>
          <w:rFonts w:ascii="Google Sans" w:cs="Google Sans" w:eastAsia="Google Sans" w:hAnsi="Google Sans"/>
          <w:color w:val="1f1f1f"/>
        </w:rPr>
        <w:drawing>
          <wp:inline distB="19050" distT="19050" distL="19050" distR="19050">
            <wp:extent cx="284938" cy="21586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4938" cy="215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daily average over the past 30 days. Trigger alert if </w:t>
      </w:r>
      <w:r w:rsidDel="00000000" w:rsidR="00000000" w:rsidRPr="00000000">
        <w:rPr>
          <w:rFonts w:ascii="Google Sans" w:cs="Google Sans" w:eastAsia="Google Sans" w:hAnsi="Google Sans"/>
          <w:color w:val="1f1f1f"/>
        </w:rPr>
        <w:drawing>
          <wp:inline distB="19050" distT="19050" distL="19050" distR="19050">
            <wp:extent cx="1449724" cy="23438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49724" cy="234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Missing Data:</w:t>
      </w:r>
      <w:r w:rsidDel="00000000" w:rsidR="00000000" w:rsidRPr="00000000">
        <w:rPr>
          <w:rFonts w:ascii="Google Sans" w:cs="Google Sans" w:eastAsia="Google Sans" w:hAnsi="Google Sans"/>
          <w:color w:val="1f1f1f"/>
          <w:rtl w:val="0"/>
        </w:rPr>
        <w:t xml:space="preserve"> If the user has &lt; 7 days of data, use a hardcoded rural baseline of ₹150/day.</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Monthly Spending Prediction:</w:t>
      </w:r>
    </w:p>
    <w:p w:rsidR="00000000" w:rsidDel="00000000" w:rsidP="00000000" w:rsidRDefault="00000000" w:rsidRPr="00000000" w14:paraId="0000004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Logic:</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575829" cy="235566"/>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5829" cy="235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total expenses this month and </w:t>
      </w:r>
      <w:r w:rsidDel="00000000" w:rsidR="00000000" w:rsidRPr="00000000">
        <w:rPr>
          <w:rFonts w:ascii="Google Sans" w:cs="Google Sans" w:eastAsia="Google Sans" w:hAnsi="Google Sans"/>
          <w:color w:val="1f1f1f"/>
        </w:rPr>
        <w:drawing>
          <wp:inline distB="19050" distT="19050" distL="19050" distR="19050">
            <wp:extent cx="543494" cy="236683"/>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3494" cy="236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days passed in the month. </w:t>
      </w:r>
      <w:r w:rsidDel="00000000" w:rsidR="00000000" w:rsidRPr="00000000">
        <w:rPr>
          <w:rFonts w:ascii="Google Sans" w:cs="Google Sans" w:eastAsia="Google Sans" w:hAnsi="Google Sans"/>
          <w:color w:val="1f1f1f"/>
        </w:rPr>
        <w:drawing>
          <wp:inline distB="19050" distT="19050" distL="19050" distR="19050">
            <wp:extent cx="2893762" cy="233927"/>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893762" cy="233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Passive Income Drop Detection:</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Logic:</w:t>
      </w:r>
      <w:r w:rsidDel="00000000" w:rsidR="00000000" w:rsidRPr="00000000">
        <w:rPr>
          <w:rFonts w:ascii="Google Sans" w:cs="Google Sans" w:eastAsia="Google Sans" w:hAnsi="Google Sans"/>
          <w:color w:val="1f1f1f"/>
          <w:rtl w:val="0"/>
        </w:rPr>
        <w:t xml:space="preserve"> Compare current month's cumulative income (</w:t>
      </w:r>
      <w:r w:rsidDel="00000000" w:rsidR="00000000" w:rsidRPr="00000000">
        <w:rPr>
          <w:rFonts w:ascii="Google Sans" w:cs="Google Sans" w:eastAsia="Google Sans" w:hAnsi="Google Sans"/>
          <w:color w:val="1f1f1f"/>
        </w:rPr>
        <w:drawing>
          <wp:inline distB="19050" distT="19050" distL="19050" distR="19050">
            <wp:extent cx="520898" cy="23440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0898" cy="23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previous month (</w:t>
      </w:r>
      <w:r w:rsidDel="00000000" w:rsidR="00000000" w:rsidRPr="00000000">
        <w:rPr>
          <w:rFonts w:ascii="Google Sans" w:cs="Google Sans" w:eastAsia="Google Sans" w:hAnsi="Google Sans"/>
          <w:color w:val="1f1f1f"/>
        </w:rPr>
        <w:drawing>
          <wp:inline distB="19050" distT="19050" distL="19050" distR="19050">
            <wp:extent cx="340952" cy="236044"/>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0952" cy="236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Evaluated only after the 20th of the month. Trigger if </w:t>
      </w:r>
      <w:r w:rsidDel="00000000" w:rsidR="00000000" w:rsidRPr="00000000">
        <w:rPr>
          <w:rFonts w:ascii="Google Sans" w:cs="Google Sans" w:eastAsia="Google Sans" w:hAnsi="Google Sans"/>
          <w:color w:val="1f1f1f"/>
        </w:rPr>
        <w:drawing>
          <wp:inline distB="19050" distT="19050" distL="19050" distR="19050">
            <wp:extent cx="1568653" cy="233998"/>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568653" cy="2339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Goal-Based Savings:</w:t>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Logic:</w:t>
      </w:r>
      <w:r w:rsidDel="00000000" w:rsidR="00000000" w:rsidRPr="00000000">
        <w:rPr>
          <w:rFonts w:ascii="Google Sans" w:cs="Google Sans" w:eastAsia="Google Sans" w:hAnsi="Google Sans"/>
          <w:color w:val="1f1f1f"/>
          <w:rtl w:val="0"/>
        </w:rPr>
        <w:t xml:space="preserve"> Users declare a tangible savings goal via voice (e.g., "தையல் மிஷின் வாங்கணும்" - I want to buy a sewing machine). Progress is calculated implicitly: </w:t>
      </w:r>
      <w:r w:rsidDel="00000000" w:rsidR="00000000" w:rsidRPr="00000000">
        <w:rPr>
          <w:rFonts w:ascii="Google Sans" w:cs="Google Sans" w:eastAsia="Google Sans" w:hAnsi="Google Sans"/>
          <w:color w:val="1f1f1f"/>
        </w:rPr>
        <w:drawing>
          <wp:inline distB="19050" distT="19050" distL="19050" distR="19050">
            <wp:extent cx="1990506" cy="234688"/>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990506" cy="2346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the goal start date.</w:t>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Nudge: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336881" cy="234388"/>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336881" cy="234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37976" cy="222352"/>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37976" cy="222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target_amount, a positive audio nudge is triggered upon the next income log.</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Voice-Based Government Scheme Guidance 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feature replaces text-heavy discovery modules with an invisible contextual intervention triggered by a low balance state. The logic is strictly rule-based and maps to the Kalaignar Magalir Urimai Thogai scheme.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Question 1:</w:t>
      </w:r>
      <w:r w:rsidDel="00000000" w:rsidR="00000000" w:rsidRPr="00000000">
        <w:rPr>
          <w:rFonts w:ascii="Google Sans" w:cs="Google Sans" w:eastAsia="Google Sans" w:hAnsi="Google Sans"/>
          <w:color w:val="1f1f1f"/>
          <w:rtl w:val="0"/>
        </w:rPr>
        <w:t xml:space="preserve"> "குடும்ப வருமானம் வருஷத்துக்கு ரெண்டரை லட்சத்துக்கு கம்மியா இருக்கா?" (Is family income &lt; 2.5 Lakhs?).</w:t>
      </w:r>
    </w:p>
    <w:p w:rsidR="00000000" w:rsidDel="00000000" w:rsidP="00000000" w:rsidRDefault="00000000" w:rsidRPr="00000000" w14:paraId="0000005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If Yes -&gt; Go to Q2. If No -&gt; Abort gracefully.</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Question 2:</w:t>
      </w:r>
      <w:r w:rsidDel="00000000" w:rsidR="00000000" w:rsidRPr="00000000">
        <w:rPr>
          <w:rFonts w:ascii="Google Sans" w:cs="Google Sans" w:eastAsia="Google Sans" w:hAnsi="Google Sans"/>
          <w:color w:val="1f1f1f"/>
          <w:rtl w:val="0"/>
        </w:rPr>
        <w:t xml:space="preserve"> "சொந்தமா கார் இல்ல டிராக்டர் இருக்கா?" (Do you own a car/tractor?).</w:t>
      </w:r>
    </w:p>
    <w:p w:rsidR="00000000" w:rsidDel="00000000" w:rsidP="00000000" w:rsidRDefault="00000000" w:rsidRPr="00000000" w14:paraId="00000055">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If No -&gt; Go to Q3. If Yes -&gt; Abort gracefully.</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Question 3:</w:t>
      </w:r>
      <w:r w:rsidDel="00000000" w:rsidR="00000000" w:rsidRPr="00000000">
        <w:rPr>
          <w:rFonts w:ascii="Google Sans" w:cs="Google Sans" w:eastAsia="Google Sans" w:hAnsi="Google Sans"/>
          <w:color w:val="1f1f1f"/>
          <w:rtl w:val="0"/>
        </w:rPr>
        <w:t xml:space="preserve"> "ரேஷன் கார்டுல நீங்க தான் குடும்ப தலைவியா?" (Are you the head of the household on the ration card?).</w:t>
      </w:r>
    </w:p>
    <w:p w:rsidR="00000000" w:rsidDel="00000000" w:rsidP="00000000" w:rsidRDefault="00000000" w:rsidRPr="00000000" w14:paraId="00000057">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If Yes -&gt; Provide Action Step.</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 Step:</w:t>
      </w:r>
      <w:r w:rsidDel="00000000" w:rsidR="00000000" w:rsidRPr="00000000">
        <w:rPr>
          <w:rFonts w:ascii="Google Sans" w:cs="Google Sans" w:eastAsia="Google Sans" w:hAnsi="Google Sans"/>
          <w:color w:val="1f1f1f"/>
          <w:rtl w:val="0"/>
        </w:rPr>
        <w:t xml:space="preserve"> "உங்களுக்கு மாசம் ஆயிரம் ரூவா கிடைக்க தகுதி இருக்கு. இ-சேவை மையத்துக்கு போங்க." (You are eligible for 1000Rs monthly. Go to the e-Sevai center.).</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Decision Engine and Unified Interaction Flow</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success relies on the fact that there are no separate screens or modules. To prevent cognitive overload, the system enforces a strict "One Output Per Interaction" rule using a priority queue.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Engine Priority Logic: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IF (Balance &lt;= 0) AND (Eligible_For_Scheme):</w:t>
        <w:br w:type="textWrapping"/>
        <w:t xml:space="preserve">    return SCHEME_GUIDANCE_NUDGE (Priority 1 - Critical Liquidity)</w:t>
        <w:br w:type="textWrapping"/>
        <w:t xml:space="preserve">ELSE IF (Days_To_SHG_Meeting &lt;= 2) AND (Balance &lt; SHG_Contribution):</w:t>
        <w:br w:type="textWrapping"/>
        <w:t xml:space="preserve">    return SHG_WARNING_NUDGE (Priority 2 - Imminent Social/Financial Default)</w:t>
        <w:br w:type="textWrapping"/>
        <w:t xml:space="preserve">ELSE IF (E_today &gt; 2.0 * E_30day_avg):</w:t>
        <w:br w:type="textWrapping"/>
        <w:t xml:space="preserve">    return ANOMALY_ALERT_NUDGE (Priority 3 - Behavioral Correction)</w:t>
        <w:br w:type="textWrapping"/>
        <w:t xml:space="preserve">ELSE IF (Goal_Progress_Milestone_Reached):</w:t>
        <w:br w:type="textWrapping"/>
        <w:t xml:space="preserve">    return GOAL_POSITIVE_NUDGE (Priority 4 - Positive Reinforcement)</w:t>
        <w:br w:type="textWrapping"/>
        <w:t xml:space="preserve">ELSE:</w:t>
        <w:br w:type="textWrapping"/>
        <w:t xml:space="preserve">    return STANDARD_CONFIRMATION (Priority 5)</w:t>
        <w:br w:type="textWrapp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End-to-End Flow (&lt;10 Seconds)</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0.0s - 3.0s (Input):</w:t>
      </w:r>
      <w:r w:rsidDel="00000000" w:rsidR="00000000" w:rsidRPr="00000000">
        <w:rPr>
          <w:rFonts w:ascii="Google Sans" w:cs="Google Sans" w:eastAsia="Google Sans" w:hAnsi="Google Sans"/>
          <w:color w:val="1f1f1f"/>
          <w:rtl w:val="0"/>
        </w:rPr>
        <w:t xml:space="preserve"> User taps mic, avatar pulses (Listening), user speaks ("இன்னைக்கு மளிகை செலவு நூறு ரூவா" - Today grocery expense 100 rupees).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3.0s - 4.5s (Processing):</w:t>
      </w:r>
      <w:r w:rsidDel="00000000" w:rsidR="00000000" w:rsidRPr="00000000">
        <w:rPr>
          <w:rFonts w:ascii="Google Sans" w:cs="Google Sans" w:eastAsia="Google Sans" w:hAnsi="Google Sans"/>
          <w:color w:val="1f1f1f"/>
          <w:rtl w:val="0"/>
        </w:rPr>
        <w:t xml:space="preserve"> Mic released. Sherpa-ONNX transcribes audio locally.</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4.5s - 4.6s (Database &amp; Logic):</w:t>
      </w:r>
      <w:r w:rsidDel="00000000" w:rsidR="00000000" w:rsidRPr="00000000">
        <w:rPr>
          <w:rFonts w:ascii="Google Sans" w:cs="Google Sans" w:eastAsia="Google Sans" w:hAnsi="Google Sans"/>
          <w:color w:val="1f1f1f"/>
          <w:rtl w:val="0"/>
        </w:rPr>
        <w:t xml:space="preserve"> Keyword matcher extracts 100 and Expense. Room DB executes INSERT. Decision Engine evaluates rules and selects ANOMALY_ALERT_NUDGE.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4.6s - 8.0s (Output):</w:t>
      </w:r>
      <w:r w:rsidDel="00000000" w:rsidR="00000000" w:rsidRPr="00000000">
        <w:rPr>
          <w:rFonts w:ascii="Google Sans" w:cs="Google Sans" w:eastAsia="Google Sans" w:hAnsi="Google Sans"/>
          <w:color w:val="1f1f1f"/>
          <w:rtl w:val="0"/>
        </w:rPr>
        <w:t xml:space="preserve"> TTS speaks: "நூறு ரூபாய் பதிவு செஞ்சிட்டேன். ஆனா இன்னைக்கு செலவு கொஞ்சம் அதிகம்." (100 Rs recorded. But today's expense is a bit high.) Avatar plays Warning state.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8.0s:</w:t>
      </w:r>
      <w:r w:rsidDel="00000000" w:rsidR="00000000" w:rsidRPr="00000000">
        <w:rPr>
          <w:rFonts w:ascii="Google Sans" w:cs="Google Sans" w:eastAsia="Google Sans" w:hAnsi="Google Sans"/>
          <w:color w:val="1f1f1f"/>
          <w:rtl w:val="0"/>
        </w:rPr>
        <w:t xml:space="preserve"> Avatar returns to Idle.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Behavioral Design: Trust, Avatars, and Overwhelm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the Scheme Guidance System and the visual Avatar acts as a powerful catalyst for trust. Behavioral science studies on digital financial inclusion in rural India demonstrate that users often exhibit a "habitual resistance" and trust deficit toward purely digital ledgers.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demographic that relies heavily on face-to-face, community-based financial interactions, a purely text or chart-based app feels sterile. The Lottie avatar bridges this gap. By utilizing visual emotion to reinforce audio cues (e.g., a warm expression when a savings goal is met), the application leverages basic human social reciprocity. Overly expressive animations are avoided as they can appear condescending; the calm, authoritative "digital mentor" persona ensures the cognitive load remains low while maximizing psychological safety.</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Failure Analysis, Edge Cases, and Mitigation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an offline, voice-based recommendation engine equipped with visual avatars in rural environments introduces specific failure vectors that must be proactively mitigated.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ASR Misrecognition (Heavy Dialect)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NLU fails to find amount/intent. TTS triggers fallback: "புரியல, மறுபடியும் சொல்லுங்க" (Didn't understand, say again). Interaction resets.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Over-Animation / Device Lag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application attempts to parse Lottie JSON on the main UI thread, low-end devices will freeze. LottieComposition must be pre-loaded on a background Coroutine dispatcher.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Conflicting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Engine's strict IF/ELSE IF priority queue mathematically prevents more than one nudge from firing, eliminating alert fatigue.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Voice Tone and Avatar Mismatch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user logs a dangerous expense, but the avatar defaults to a "Positive" smile, trust breaks. The Decision Engine must pass a strict Emotion_Tag alongside the TTS string to hard-lock the avatar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Historical Data for Prediction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Engine checks the COUNT() of transaction rows in Room. If </w:t>
            </w:r>
            <w:r w:rsidDel="00000000" w:rsidR="00000000" w:rsidRPr="00000000">
              <w:rPr>
                <w:rFonts w:ascii="Google Sans" w:cs="Google Sans" w:eastAsia="Google Sans" w:hAnsi="Google Sans"/>
                <w:color w:val="1f1f1f"/>
              </w:rPr>
              <w:drawing>
                <wp:inline distB="19050" distT="19050" distL="19050" distR="19050">
                  <wp:extent cx="286967" cy="217399"/>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86967" cy="217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bypasses prediction logic entirely to avoid wild inaccuracies.</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Practical MVP Build Plan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Core Logging (Days 1-3)</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Sherpa-ONNX INT8 Tamil acoustic model.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Build Android Room database with the base Transaction table.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simple Regex NLU for numerical and Income/Expense extraction.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Financial Engine &amp; Decision Logic (Days 4-5)</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Write SQL queries for 30-day averages, balances, and aggregations.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Implement the Priority Queue Decision Engine in Kotlin.</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Integrate Android native TTS with Kongu Tamil strings.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Scheme Guidance &amp; SHG Nudges (Day 6)</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Hardcode the 3-question Kalaignar scheme flow.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Add SHG contribution date variables and tracking logic to the Room DB.</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Avatar UI (Day 7)</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Import the lottie-android library.</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Compress and load optimized &lt;200KB JSON state files asynchronously.</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Map TTS playback callbacks to Lottie state changes.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Synthesized Strategic Conclusion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and product documentation detailed herein mandates a profound paradigm shift in the design of digital financial inclusion tools for rural India. Traditional applications fail because they project the cognitive frameworks, connectivity assumptions, and literacy levels of urban developers onto deeply marginalized, cognitively burdened users.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a ruthless MVP prioritization that distills complex financial suites into just three core features—augmented by an invisible, offline intelligence layer and a supportive, voice-synchronized Lottie avatar—the application aligns perfectly with the cognitive realities of rural women. Ultimately, this voice-first, offline-first architecture transforms the low-end mobile device from a formidable technological barrier into a highly accessible, calm, and authoritative financial mentor, providing rural women in Tamil Nadu with the critical visibility required to shield their household capital and actively secure the welfare benefits they are owed.</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Chennai Financers Welfare Association vs State Of Tamil Nadu on 30 August, 2022, accessed on April 3, 2026, </w:t>
      </w:r>
      <w:hyperlink r:id="rId19">
        <w:r w:rsidDel="00000000" w:rsidR="00000000" w:rsidRPr="00000000">
          <w:rPr>
            <w:rFonts w:ascii="Google Sans" w:cs="Google Sans" w:eastAsia="Google Sans" w:hAnsi="Google Sans"/>
            <w:color w:val="0000ee"/>
            <w:sz w:val="24"/>
            <w:szCs w:val="24"/>
            <w:u w:val="single"/>
            <w:rtl w:val="0"/>
          </w:rPr>
          <w:t xml:space="preserve">https://indiankanoon.org/docfragment/17074505/?big=2&amp;formInput=money%20lender</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Optimization - React Native Sherpa-ONNX - Mintlify, accessed on April 3, 2026, </w:t>
      </w:r>
      <w:hyperlink r:id="rId20">
        <w:r w:rsidDel="00000000" w:rsidR="00000000" w:rsidRPr="00000000">
          <w:rPr>
            <w:rFonts w:ascii="Google Sans" w:cs="Google Sans" w:eastAsia="Google Sans" w:hAnsi="Google Sans"/>
            <w:color w:val="0000ee"/>
            <w:sz w:val="24"/>
            <w:szCs w:val="24"/>
            <w:u w:val="single"/>
            <w:rtl w:val="0"/>
          </w:rPr>
          <w:t xml:space="preserve">https://www.mintlify.com/xdcobra/react-native-sherpa-onnx/advanced/performance-optimization</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hudaiapa88/sherpa-stt-onnx - Hugging Face, accessed on April 3, 2026, </w:t>
      </w:r>
      <w:hyperlink r:id="rId21">
        <w:r w:rsidDel="00000000" w:rsidR="00000000" w:rsidRPr="00000000">
          <w:rPr>
            <w:rFonts w:ascii="Google Sans" w:cs="Google Sans" w:eastAsia="Google Sans" w:hAnsi="Google Sans"/>
            <w:color w:val="0000ee"/>
            <w:sz w:val="24"/>
            <w:szCs w:val="24"/>
            <w:u w:val="single"/>
            <w:rtl w:val="0"/>
          </w:rPr>
          <w:t xml:space="preserve">https://huggingface.co/hudaiapa88/sherpa-stt-onnx</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talk about money and currency in colloquial Tamil? - Talkpal AI, accessed on April 3, 2026, </w:t>
      </w:r>
      <w:hyperlink r:id="rId22">
        <w:r w:rsidDel="00000000" w:rsidR="00000000" w:rsidRPr="00000000">
          <w:rPr>
            <w:rFonts w:ascii="Google Sans" w:cs="Google Sans" w:eastAsia="Google Sans" w:hAnsi="Google Sans"/>
            <w:color w:val="0000ee"/>
            <w:sz w:val="24"/>
            <w:szCs w:val="24"/>
            <w:u w:val="single"/>
            <w:rtl w:val="0"/>
          </w:rPr>
          <w:t xml:space="preserve">https://talkpal.ai/culture/how-do-you-talk-about-money-and-currency-in-colloquial-tamil/</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Tamil Nadu Magalir Urimai Thogai Scheme - Govt Schemes India, accessed on April 3, 2026, </w:t>
      </w:r>
      <w:hyperlink r:id="rId23">
        <w:r w:rsidDel="00000000" w:rsidR="00000000" w:rsidRPr="00000000">
          <w:rPr>
            <w:rFonts w:ascii="Google Sans" w:cs="Google Sans" w:eastAsia="Google Sans" w:hAnsi="Google Sans"/>
            <w:color w:val="0000ee"/>
            <w:sz w:val="24"/>
            <w:szCs w:val="24"/>
            <w:u w:val="single"/>
            <w:rtl w:val="0"/>
          </w:rPr>
          <w:t xml:space="preserve">https://www.govtschemes.in/tamil-nadu-magalir-urimai-thogai-scheme</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Closer Look at Kalaignar Magalir Urimai Thogai Scheme - InsuranceDekho, accessed on April 3, 2026, </w:t>
      </w:r>
      <w:hyperlink r:id="rId24">
        <w:r w:rsidDel="00000000" w:rsidR="00000000" w:rsidRPr="00000000">
          <w:rPr>
            <w:rFonts w:ascii="Google Sans" w:cs="Google Sans" w:eastAsia="Google Sans" w:hAnsi="Google Sans"/>
            <w:color w:val="0000ee"/>
            <w:sz w:val="24"/>
            <w:szCs w:val="24"/>
            <w:u w:val="single"/>
            <w:rtl w:val="0"/>
          </w:rPr>
          <w:t xml:space="preserve">https://www.insurancedekho.com/investment/guides/a-closer-look-at-kalaignar-magalir-urimai-thogai-scheme-10273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ntlify.com/xdcobra/react-native-sherpa-onnx/advanced/performance-optimization" TargetMode="External"/><Relationship Id="rId11" Type="http://schemas.openxmlformats.org/officeDocument/2006/relationships/image" Target="media/image10.png"/><Relationship Id="rId22" Type="http://schemas.openxmlformats.org/officeDocument/2006/relationships/hyperlink" Target="https://talkpal.ai/culture/how-do-you-talk-about-money-and-currency-in-colloquial-tamil/" TargetMode="External"/><Relationship Id="rId10" Type="http://schemas.openxmlformats.org/officeDocument/2006/relationships/image" Target="media/image9.png"/><Relationship Id="rId21" Type="http://schemas.openxmlformats.org/officeDocument/2006/relationships/hyperlink" Target="https://huggingface.co/hudaiapa88/sherpa-stt-onnx" TargetMode="External"/><Relationship Id="rId13" Type="http://schemas.openxmlformats.org/officeDocument/2006/relationships/image" Target="media/image2.png"/><Relationship Id="rId24" Type="http://schemas.openxmlformats.org/officeDocument/2006/relationships/hyperlink" Target="https://www.insurancedekho.com/investment/guides/a-closer-look-at-kalaignar-magalir-urimai-thogai-scheme-10273" TargetMode="External"/><Relationship Id="rId12" Type="http://schemas.openxmlformats.org/officeDocument/2006/relationships/image" Target="media/image1.png"/><Relationship Id="rId23" Type="http://schemas.openxmlformats.org/officeDocument/2006/relationships/hyperlink" Target="https://www.govtschemes.in/tamil-nadu-magalir-urimai-thogai-sche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indiankanoon.org/docfragment/17074505/?big=2&amp;formInput=money+lender" TargetMode="External"/><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