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87F8C"/>
          <w:sz w:val="20"/>
        </w:rPr>
        <w:t>PHASE 1 v2</w:t>
      </w:r>
    </w:p>
    <w:p>
      <w:pPr>
        <w:jc w:val="center"/>
      </w:pPr>
      <w:r>
        <w:rPr>
          <w:b/>
          <w:color w:val="1F2937"/>
          <w:sz w:val="46"/>
        </w:rPr>
        <w:t>Risks, Compliance, QA, and Release Gates</w:t>
      </w:r>
    </w:p>
    <w:p>
      <w:pPr>
        <w:jc w:val="center"/>
      </w:pPr>
      <w:r>
        <w:rPr>
          <w:color w:val="4B5563"/>
          <w:sz w:val="24"/>
        </w:rPr>
        <w:t>Risk register, compliance guardrails, test plan, operational runbook, and release gates.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Document ID</w:t>
            </w:r>
          </w:p>
        </w:tc>
        <w:tc>
          <w:tcPr>
            <w:tcW w:type="dxa" w:w="5112"/>
            <w:shd w:fill="F4F7FB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P1V2-09</w:t>
            </w:r>
          </w:p>
        </w:tc>
      </w:tr>
      <w:tr>
        <w:tc>
          <w:tcPr>
            <w:tcW w:type="dxa" w:w="5112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5112"/>
            <w:shd w:fill="F4F7FB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2.0 - Enhanced after Phase 1 review</w:t>
            </w:r>
          </w:p>
        </w:tc>
      </w:tr>
      <w:tr>
        <w:tc>
          <w:tcPr>
            <w:tcW w:type="dxa" w:w="5112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Prepared for</w:t>
            </w:r>
          </w:p>
        </w:tc>
        <w:tc>
          <w:tcPr>
            <w:tcW w:type="dxa" w:w="5112"/>
            <w:shd w:fill="F4F7FB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Internal founding team</w:t>
            </w:r>
          </w:p>
        </w:tc>
      </w:tr>
      <w:tr>
        <w:tc>
          <w:tcPr>
            <w:tcW w:type="dxa" w:w="5112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Target niche</w:t>
            </w:r>
          </w:p>
        </w:tc>
        <w:tc>
          <w:tcPr>
            <w:tcW w:type="dxa" w:w="5112"/>
            <w:shd w:fill="F4F7FB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Independent restaurants, cafes, and small restaurant groups</w:t>
            </w:r>
          </w:p>
        </w:tc>
      </w:tr>
      <w:tr>
        <w:tc>
          <w:tcPr>
            <w:tcW w:type="dxa" w:w="5112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Primary backend language</w:t>
            </w:r>
          </w:p>
        </w:tc>
        <w:tc>
          <w:tcPr>
            <w:tcW w:type="dxa" w:w="5112"/>
            <w:shd w:fill="F4F7FB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Golang for backend services and workers; Next.js/TypeScript for web UI</w:t>
            </w:r>
          </w:p>
        </w:tc>
      </w:tr>
    </w:tbl>
    <w:p/>
    <w:p>
      <w:pPr>
        <w:jc w:val="center"/>
      </w:pPr>
      <w:r>
        <w:rPr>
          <w:i/>
          <w:color w:val="4B5563"/>
        </w:rPr>
        <w:t>Core principle: validate demand through personalized demos before building a full SaaS platform.</w:t>
      </w:r>
    </w:p>
    <w:p>
      <w:r>
        <w:br w:type="page"/>
      </w:r>
    </w:p>
    <w:p>
      <w:pPr>
        <w:pStyle w:val="Heading1"/>
      </w:pPr>
      <w:r>
        <w:t>1. Risk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4320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Risk</w:t>
            </w:r>
          </w:p>
        </w:tc>
        <w:tc>
          <w:tcPr>
            <w:tcW w:type="dxa" w:w="1440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Severity</w:t>
            </w:r>
          </w:p>
        </w:tc>
        <w:tc>
          <w:tcPr>
            <w:tcW w:type="dxa" w:w="5760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Mitigation</w:t>
            </w:r>
          </w:p>
        </w:tc>
      </w:tr>
      <w:tr>
        <w:tc>
          <w:tcPr>
            <w:tcW w:type="dxa" w:w="4320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Building a generic agency instead of a repeatable productized offer.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Use packages, templates, onboarding checklists, and validation metrics.</w:t>
            </w:r>
          </w:p>
        </w:tc>
      </w:tr>
      <w:tr>
        <w:tc>
          <w:tcPr>
            <w:tcW w:type="dxa" w:w="4320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Sending inaccurate or embarrassing personalized demos.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Manual review gate for menu, hours, photos, and copy before email send.</w:t>
            </w:r>
          </w:p>
        </w:tc>
      </w:tr>
      <w:tr>
        <w:tc>
          <w:tcPr>
            <w:tcW w:type="dxa" w:w="4320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Leaking business/contact data through demo URLs.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Use signed slugs/tokens and server-side demo payloads.</w:t>
            </w:r>
          </w:p>
        </w:tc>
      </w:tr>
      <w:tr>
        <w:tc>
          <w:tcPr>
            <w:tcW w:type="dxa" w:w="4320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AI receptionist invents facts or confirms unavailable reservations.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Bounded knowledge, pending reservations, fallback/escalation, evaluations.</w:t>
            </w:r>
          </w:p>
        </w:tc>
      </w:tr>
      <w:tr>
        <w:tc>
          <w:tcPr>
            <w:tcW w:type="dxa" w:w="4320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Email outreach damages domain reputation or violates rules.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Low-volume sending, clear identity, opt-out, suppression list, provider monitoring.</w:t>
            </w:r>
          </w:p>
        </w:tc>
      </w:tr>
      <w:tr>
        <w:tc>
          <w:tcPr>
            <w:tcW w:type="dxa" w:w="4320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Voice/call recording compliance issues.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Inbound-only MVP, AI disclosure, review recording consent rules by region, keep legal review before paid launch.</w:t>
            </w:r>
          </w:p>
        </w:tc>
      </w:tr>
      <w:tr>
        <w:tc>
          <w:tcPr>
            <w:tcW w:type="dxa" w:w="4320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Team overload from too many features.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Demo/outreach/reservation first; custom apps only when paid.</w:t>
            </w:r>
          </w:p>
        </w:tc>
      </w:tr>
      <w:tr>
        <w:tc>
          <w:tcPr>
            <w:tcW w:type="dxa" w:w="4320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Provider lock-in or high AI costs.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Provider adapters, cost logging, usage limits.</w:t>
            </w:r>
          </w:p>
        </w:tc>
      </w:tr>
      <w:tr>
        <w:tc>
          <w:tcPr>
            <w:tcW w:type="dxa" w:w="4320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Poor mobile experience.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Mobile-first QA and templates.</w:t>
            </w:r>
          </w:p>
        </w:tc>
      </w:tr>
      <w:tr>
        <w:tc>
          <w:tcPr>
            <w:tcW w:type="dxa" w:w="4320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 sales learning despite working product.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Track funnel metrics and run founder-led sales weekly.</w:t>
            </w:r>
          </w:p>
        </w:tc>
      </w:tr>
    </w:tbl>
    <w:p/>
    <w:p>
      <w:pPr>
        <w:pStyle w:val="Heading1"/>
      </w:pPr>
      <w:r>
        <w:t>2. Compliance Guardrails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DB"/>
          </w:tcPr>
          <w:p>
            <w:pPr>
              <w:spacing w:after="40"/>
            </w:pPr>
            <w:r/>
            <w:r>
              <w:rPr>
                <w:b/>
                <w:color w:val="1F2937"/>
                <w:sz w:val="20"/>
              </w:rPr>
              <w:t>Not legal advice</w:t>
            </w:r>
          </w:p>
          <w:p>
            <w:pPr>
              <w:spacing w:after="0"/>
            </w:pPr>
            <w:r>
              <w:rPr>
                <w:sz w:val="18"/>
              </w:rPr>
              <w:t>This guide is an operational checklist, not legal advice. Validate email, phone, privacy, recording, and local business requirements with qualified counsel before paid production use.</w:t>
            </w:r>
          </w:p>
        </w:tc>
      </w:tr>
    </w:tbl>
    <w:p/>
    <w:p>
      <w:pPr>
        <w:pStyle w:val="Heading2"/>
      </w:pPr>
      <w:r>
        <w:t>2.1 Email Outreach Guardrails</w:t>
      </w:r>
    </w:p>
    <w:p>
      <w:pPr>
        <w:pStyle w:val="ListBullet"/>
        <w:spacing w:after="40"/>
      </w:pPr>
      <w:r>
        <w:t>Use accurate sender identity, headers, and subject lines.</w:t>
      </w:r>
    </w:p>
    <w:p>
      <w:pPr>
        <w:pStyle w:val="ListBullet"/>
        <w:spacing w:after="40"/>
      </w:pPr>
      <w:r>
        <w:t>Include a valid business contact address or compliant mailing address where required.</w:t>
      </w:r>
    </w:p>
    <w:p>
      <w:pPr>
        <w:pStyle w:val="ListBullet"/>
        <w:spacing w:after="40"/>
      </w:pPr>
      <w:r>
        <w:t>Include a clear opt-out mechanism and honor opt-outs promptly.</w:t>
      </w:r>
    </w:p>
    <w:p>
      <w:pPr>
        <w:pStyle w:val="ListBullet"/>
        <w:spacing w:after="40"/>
      </w:pPr>
      <w:r>
        <w:t>Do not continue follow-ups after a reply requesting no further contact.</w:t>
      </w:r>
    </w:p>
    <w:p>
      <w:pPr>
        <w:pStyle w:val="ListBullet"/>
        <w:spacing w:after="40"/>
      </w:pPr>
      <w:r>
        <w:t>Send low volumes while testing and monitor bounces/complaints.</w:t>
      </w:r>
    </w:p>
    <w:p>
      <w:pPr>
        <w:pStyle w:val="Heading2"/>
      </w:pPr>
      <w:r>
        <w:t>2.2 AI Voice Guardrails</w:t>
      </w:r>
    </w:p>
    <w:p>
      <w:pPr>
        <w:pStyle w:val="ListBullet"/>
        <w:spacing w:after="40"/>
      </w:pPr>
      <w:r>
        <w:t>Phase 1 AI receptionist is inbound-only.</w:t>
      </w:r>
    </w:p>
    <w:p>
      <w:pPr>
        <w:pStyle w:val="ListBullet"/>
        <w:spacing w:after="40"/>
      </w:pPr>
      <w:r>
        <w:t>The assistant identifies itself as an AI assistant at the start of the call.</w:t>
      </w:r>
    </w:p>
    <w:p>
      <w:pPr>
        <w:pStyle w:val="ListBullet"/>
        <w:spacing w:after="40"/>
      </w:pPr>
      <w:r>
        <w:t>Outbound AI voice marketing is out of scope until consent, opt-out, TCPA/telemarketing, and jurisdiction-specific requirements are reviewed.</w:t>
      </w:r>
    </w:p>
    <w:p>
      <w:pPr>
        <w:pStyle w:val="ListBullet"/>
        <w:spacing w:after="40"/>
      </w:pPr>
      <w:r>
        <w:t>If recording is enabled, recording consent requirements must be reviewed for the restaurant’s jurisdiction.</w:t>
      </w:r>
    </w:p>
    <w:p>
      <w:pPr>
        <w:pStyle w:val="ListBullet"/>
        <w:spacing w:after="40"/>
      </w:pPr>
      <w:r>
        <w:t>Call summaries should minimize sensitive personal data and follow retention rules.</w:t>
      </w:r>
    </w:p>
    <w:p>
      <w:pPr>
        <w:pStyle w:val="Heading1"/>
      </w:pPr>
      <w:r>
        <w:t>3. QA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160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5760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Test cases</w:t>
            </w:r>
          </w:p>
        </w:tc>
        <w:tc>
          <w:tcPr>
            <w:tcW w:type="dxa" w:w="3600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Pass criteria</w:t>
            </w:r>
          </w:p>
        </w:tc>
      </w:tr>
      <w:tr>
        <w:tc>
          <w:tcPr>
            <w:tcW w:type="dxa" w:w="2160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Demo website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Desktop/mobile render, slug route, invalid slug, menu sections, CTAs.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broken pages; correct restaurant data; no private data exposed.</w:t>
            </w:r>
          </w:p>
        </w:tc>
      </w:tr>
      <w:tr>
        <w:tc>
          <w:tcPr>
            <w:tcW w:type="dxa" w:w="2160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Reservation flow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Valid submission, missing fields, invalid date/time, duplicate attempts.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Pending reservation created or clear error shown.</w:t>
            </w:r>
          </w:p>
        </w:tc>
      </w:tr>
      <w:tr>
        <w:tc>
          <w:tcPr>
            <w:tcW w:type="dxa" w:w="2160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Email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Preview, send, click tracking, opt-out, failed provider response.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Correct email, correct link, events logged, opt-out suppresses future sends.</w:t>
            </w:r>
          </w:p>
        </w:tc>
      </w:tr>
      <w:tr>
        <w:tc>
          <w:tcPr>
            <w:tcW w:type="dxa" w:w="2160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AI receptionist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Hours, location, menu, reservation, unsupported request, angry caller.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Correct/fallback behavior and no invented claims.</w:t>
            </w:r>
          </w:p>
        </w:tc>
      </w:tr>
      <w:tr>
        <w:tc>
          <w:tcPr>
            <w:tcW w:type="dxa" w:w="2160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Content automation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Weekend special, new menu item, event promo, dietary prompt.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Caption/script are useful, safe, and marked draft.</w:t>
            </w:r>
          </w:p>
        </w:tc>
      </w:tr>
      <w:tr>
        <w:tc>
          <w:tcPr>
            <w:tcW w:type="dxa" w:w="2160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Public routes, admin routes, owner routes, malformed payloads.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Auth enforced, validation works, no sensitive leakage.</w:t>
            </w:r>
          </w:p>
        </w:tc>
      </w:tr>
    </w:tbl>
    <w:p/>
    <w:p>
      <w:pPr>
        <w:pStyle w:val="Heading1"/>
      </w:pPr>
      <w:r>
        <w:t>4. Release Gate Checklist</w:t>
      </w:r>
    </w:p>
    <w:p>
      <w:pPr>
        <w:pStyle w:val="ListBullet"/>
        <w:spacing w:after="40"/>
      </w:pPr>
      <w:r>
        <w:t>At least 10 demo sites have been generated and manually reviewed.</w:t>
      </w:r>
    </w:p>
    <w:p>
      <w:pPr>
        <w:pStyle w:val="ListBullet"/>
        <w:spacing w:after="40"/>
      </w:pPr>
      <w:r>
        <w:t>At least 5 full outreach emails have been tested internally.</w:t>
      </w:r>
    </w:p>
    <w:p>
      <w:pPr>
        <w:pStyle w:val="ListBullet"/>
        <w:spacing w:after="40"/>
      </w:pPr>
      <w:r>
        <w:t>Reservation flow works from public demo through dashboard.</w:t>
      </w:r>
    </w:p>
    <w:p>
      <w:pPr>
        <w:pStyle w:val="ListBullet"/>
        <w:spacing w:after="40"/>
      </w:pPr>
      <w:r>
        <w:t>Email opt-out/suppression logic is tested.</w:t>
      </w:r>
    </w:p>
    <w:p>
      <w:pPr>
        <w:pStyle w:val="ListBullet"/>
        <w:spacing w:after="40"/>
      </w:pPr>
      <w:r>
        <w:t>AI receptionist passes scripted test calls for supported intents.</w:t>
      </w:r>
    </w:p>
    <w:p>
      <w:pPr>
        <w:pStyle w:val="ListBullet"/>
        <w:spacing w:after="40"/>
      </w:pPr>
      <w:r>
        <w:t>Staging and production credentials are separated.</w:t>
      </w:r>
    </w:p>
    <w:p>
      <w:pPr>
        <w:pStyle w:val="ListBullet"/>
        <w:spacing w:after="40"/>
      </w:pPr>
      <w:r>
        <w:t>Backups, logs, and rollback path are confirmed.</w:t>
      </w:r>
    </w:p>
    <w:p>
      <w:pPr>
        <w:pStyle w:val="ListBullet"/>
        <w:spacing w:after="40"/>
      </w:pPr>
      <w:r>
        <w:t>Founders agree on exact packages and sales call script.</w:t>
      </w:r>
    </w:p>
    <w:p>
      <w:pPr>
        <w:pStyle w:val="Heading1"/>
      </w:pPr>
      <w:r>
        <w:t>5. Operational Runbook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448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Issue</w:t>
            </w:r>
          </w:p>
        </w:tc>
        <w:tc>
          <w:tcPr>
            <w:tcW w:type="dxa" w:w="5328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First checks</w:t>
            </w:r>
          </w:p>
        </w:tc>
        <w:tc>
          <w:tcPr>
            <w:tcW w:type="dxa" w:w="3744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Escalation</w:t>
            </w:r>
          </w:p>
        </w:tc>
      </w:tr>
      <w:tr>
        <w:tc>
          <w:tcPr>
            <w:tcW w:type="dxa" w:w="2448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Demo link fails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Check slug, demo_sites status, frontend route, API logs.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Regenerate demo or disable link.</w:t>
            </w:r>
          </w:p>
        </w:tc>
      </w:tr>
      <w:tr>
        <w:tc>
          <w:tcPr>
            <w:tcW w:type="dxa" w:w="2448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Email not delivered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Check provider response, bounce logs, domain authentication, queue status.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Pause campaign and fix reputation/config.</w:t>
            </w:r>
          </w:p>
        </w:tc>
      </w:tr>
      <w:tr>
        <w:tc>
          <w:tcPr>
            <w:tcW w:type="dxa" w:w="2448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Wrong menu/hours shown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Check reviewed profile, demo payload version, regenerated timestamp.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Unpublish demo until corrected.</w:t>
            </w:r>
          </w:p>
        </w:tc>
      </w:tr>
      <w:tr>
        <w:tc>
          <w:tcPr>
            <w:tcW w:type="dxa" w:w="2448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Reservation missing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Check API logs, restaurant_id mapping, form payload, DB status.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Manually contact customer if needed.</w:t>
            </w:r>
          </w:p>
        </w:tc>
      </w:tr>
      <w:tr>
        <w:tc>
          <w:tcPr>
            <w:tcW w:type="dxa" w:w="2448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AI gave wrong answer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Check transcript, context, prompt version, model output.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Disable AI for client until test case is fixed.</w:t>
            </w:r>
          </w:p>
        </w:tc>
      </w:tr>
      <w:tr>
        <w:tc>
          <w:tcPr>
            <w:tcW w:type="dxa" w:w="2448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 AI/content cost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Check model/provider metadata, prompt length, retries, usage limits.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Switch provider/model or enforce quotas.</w:t>
            </w:r>
          </w:p>
        </w:tc>
      </w:tr>
    </w:tbl>
    <w:p/>
    <w:p>
      <w:pPr>
        <w:pStyle w:val="Heading1"/>
      </w:pPr>
      <w:r>
        <w:t>6. Reference Sources for Compliance Review</w:t>
      </w:r>
    </w:p>
    <w:p>
      <w:pPr>
        <w:pStyle w:val="ListBullet"/>
      </w:pPr>
      <w:r>
        <w:t xml:space="preserve">FTC CAN-SPAM Act: A Compliance Guide for Business: </w:t>
      </w:r>
      <w:hyperlink r:id="rId11">
        <w:r>
          <w:rPr>
            <w:color w:val="0563C1"/>
            <w:u w:val="single"/>
          </w:rPr>
          <w:t>https://www.ftc.gov/business-guidance/resources/can-spam-act-compliance-guide-business</w:t>
        </w:r>
      </w:hyperlink>
    </w:p>
    <w:p>
      <w:pPr>
        <w:pStyle w:val="ListBullet"/>
      </w:pPr>
      <w:r>
        <w:t xml:space="preserve">FCC Declaratory Ruling: AI-generated voices and TCPA artificial/prerecorded voice rules: </w:t>
      </w:r>
      <w:hyperlink r:id="rId12">
        <w:r>
          <w:rPr>
            <w:color w:val="0563C1"/>
            <w:u w:val="single"/>
          </w:rPr>
          <w:t>https://www.fcc.gov/document/fcc-confirms-tcpa-applies-ai-technologies-generate-human-voices</w:t>
        </w:r>
      </w:hyperlink>
    </w:p>
    <w:p>
      <w:pPr>
        <w:pStyle w:val="ListBullet"/>
      </w:pPr>
      <w:r>
        <w:t xml:space="preserve">FTC announcement on Telemarketing Sales Rule business protections and AI-enabled scam calls: </w:t>
      </w:r>
      <w:hyperlink r:id="rId13">
        <w:r>
          <w:rPr>
            <w:color w:val="0563C1"/>
            <w:u w:val="single"/>
          </w:rPr>
          <w:t>https://www.ftc.gov/news-events/news/press-releases/2024/03/ftc-implements-new-protections-businesses-against-telemarketing-fraud-affirms-protections-against-ai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Working draft - internal planning documentation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666"/>
        <w:sz w:val="16"/>
      </w:rPr>
      <w:t>Restaurant Software Solutions Platform - Phase 1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4C8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87F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293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ftc.gov/business-guidance/resources/can-spam-act-compliance-guide-business" TargetMode="External"/><Relationship Id="rId12" Type="http://schemas.openxmlformats.org/officeDocument/2006/relationships/hyperlink" Target="https://www.fcc.gov/document/fcc-confirms-tcpa-applies-ai-technologies-generate-human-voices" TargetMode="External"/><Relationship Id="rId13" Type="http://schemas.openxmlformats.org/officeDocument/2006/relationships/hyperlink" Target="https://www.ftc.gov/news-events/news/press-releases/2024/03/ftc-implements-new-protections-businesses-against-telemarketing-fraud-affirms-protections-against-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