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00"/>
      </w:pPr>
      <w:r>
        <w:rPr>
          <w:rFonts w:ascii="Calibri" w:hAnsi="Calibri" w:eastAsia="Calibri"/>
          <w:b/>
          <w:smallCaps/>
          <w:color w:val="2E74B5"/>
          <w:sz w:val="18"/>
        </w:rPr>
        <w:t>PHASE 1  /  TECHNICAL BRIEF</w:t>
      </w:r>
    </w:p>
    <w:p>
      <w:pPr>
        <w:pStyle w:val="Title"/>
      </w:pPr>
      <w:r>
        <w:t>Crucial Architecture Changes</w:t>
      </w:r>
    </w:p>
    <w:p>
      <w:pPr>
        <w:pStyle w:val="Subtitle"/>
      </w:pPr>
      <w:r>
        <w:t>Restaurant lead scraping, OCR, review, and outreach workflow</w:t>
      </w:r>
    </w:p>
    <w:p>
      <w:pPr>
        <w:spacing w:after="240"/>
      </w:pPr>
      <w:r>
        <w:rPr>
          <w:rFonts w:ascii="Calibri" w:hAnsi="Calibri" w:eastAsia="Calibri"/>
          <w:b/>
          <w:smallCaps/>
          <w:color w:val="667085"/>
          <w:sz w:val="18"/>
        </w:rPr>
        <w:t xml:space="preserve">SCOPE  </w:t>
      </w:r>
      <w:r>
        <w:rPr>
          <w:rFonts w:ascii="Calibri" w:hAnsi="Calibri" w:eastAsia="Calibri"/>
          <w:color w:val="1F2937"/>
          <w:sz w:val="20"/>
        </w:rPr>
        <w:t>Lead scraping to reviewed outreach</w:t>
      </w:r>
      <w:r>
        <w:rPr>
          <w:rFonts w:ascii="Calibri" w:hAnsi="Calibri" w:eastAsia="Calibri"/>
          <w:b/>
          <w:smallCaps/>
          <w:color w:val="667085"/>
          <w:sz w:val="18"/>
        </w:rPr>
        <w:t xml:space="preserve">    STATUS  </w:t>
      </w:r>
      <w:r>
        <w:rPr>
          <w:rFonts w:ascii="Calibri" w:hAnsi="Calibri" w:eastAsia="Calibri"/>
          <w:color w:val="1F2937"/>
          <w:sz w:val="20"/>
        </w:rPr>
        <w:t>Architecture deployed; external automation inactive</w:t>
      </w:r>
    </w:p>
    <w:p>
      <w:pPr>
        <w:keepLines/>
        <w:spacing w:after="220"/>
      </w:pPr>
      <w:r>
        <w:rPr>
          <w:rFonts w:ascii="Calibri" w:hAnsi="Calibri" w:eastAsia="Calibri"/>
          <w:color w:val="1F2937"/>
          <w:sz w:val="22"/>
        </w:rPr>
        <w:t>This brief captures the seven changes that materially reshaped the platform. It focuses on what was missing and the architecture now in place.</w:t>
      </w:r>
    </w:p>
    <w:p>
      <w:pPr>
        <w:keepLines/>
        <w:spacing w:before="0" w:after="200" w:line="264" w:lineRule="auto"/>
        <w:ind w:left="173" w:right="173"/>
        <w:shd w:fill="E8EEF5" w:val="clear"/>
        <w:pBdr>
          <w:left w:val="single" w:sz="18" w:space="8" w:color="2E74B5"/>
        </w:pBdr>
      </w:pPr>
      <w:r>
        <w:rPr>
          <w:rFonts w:ascii="Calibri" w:hAnsi="Calibri" w:eastAsia="Calibri"/>
          <w:b/>
          <w:smallCaps/>
          <w:color w:val="1F4D78"/>
          <w:sz w:val="18"/>
        </w:rPr>
        <w:t xml:space="preserve">ARCHITECTURE OUTCOME  </w:t>
      </w:r>
      <w:r>
        <w:rPr>
          <w:rFonts w:ascii="Calibri" w:hAnsi="Calibri" w:eastAsia="Calibri"/>
          <w:color w:val="1F2937"/>
          <w:sz w:val="21"/>
        </w:rPr>
        <w:t>The workflow is now durable, restart-safe, rate-limit-aware, approval-gated, and auditable from city discovery through email delivery.</w:t>
      </w:r>
    </w:p>
    <w:p>
      <w:pPr>
        <w:pStyle w:val="Heading1"/>
      </w:pPr>
      <w:r>
        <w:t>Key changes</w:t>
      </w:r>
    </w:p>
    <w:p>
      <w:pPr>
        <w:pStyle w:val="Heading2"/>
      </w:pPr>
      <w:r>
        <w:t>01  DURABLE CITY SCRAPING</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Scraping was effectively a one-shot process with no durable city job, checkpoint, or reliable rate-limit recovery.</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A private HTTP API creates durable city jobs. PostgreSQL stores grid cells, page and candidate progress, provider-call counts, status, and resume_at. Work stops at 500 combined Places and Apollo calls, resumes after 24 hours, subdivides dense cells, deduplicates Place IDs, and revisits cities for new listings.</w:t>
      </w:r>
    </w:p>
    <w:p>
      <w:pPr>
        <w:pStyle w:val="Heading2"/>
      </w:pPr>
      <w:r>
        <w:t>02  PLACES FIRST, APOLLO SECOND</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Provider order and fallback behavior did not reliably preserve valid restaurant leads or control Apollo usage.</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Google Places is the discovery source. Apollo runs afterward only when owner or work-email details are missing. An Apollo no-match does not discard the Places lead.</w:t>
      </w:r>
    </w:p>
    <w:p>
      <w:pPr>
        <w:pStyle w:val="Heading2"/>
      </w:pPr>
      <w:r>
        <w:t>03  OCR AS A DURABLE WORKFLOW</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OCR used a boolean-style completion signal, so failures and missing images could look complete.</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OCR now uses pending, running, verified, no_images, and failed states. Only verified leads proceed; missing images remain visibly unresolved, while database claims and bounded retries survive worker restarts.</w:t>
      </w:r>
    </w:p>
    <w:p>
      <w:pPr>
        <w:pStyle w:val="Heading2"/>
        <w:pageBreakBefore/>
      </w:pPr>
      <w:r>
        <w:t>04  PROVENANCE-BOUND REVIEW</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OCR completion was not safely connected to reusable sales artifacts or proof of what was reviewed.</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Verified OCR queues idempotent demo and campaign drafts tied to their OCR and profile source. Real outreach still requires human profile approval, demo publication, campaign approval, and an administrator starting the send.</w:t>
      </w:r>
    </w:p>
    <w:p>
      <w:pPr>
        <w:pStyle w:val="Heading2"/>
      </w:pPr>
      <w:r>
        <w:t>05  SECURE DEMO ACCESS</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Preview access did not have a complete expiry, revocation, rotation, and safe-payload contract.</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Each demo uses a random opaque token whose bcrypt hash is stored in PostgreSQL. Payloads remain server-side; access is expiring, revocable, rotatable, and limited to public-safe data.</w:t>
      </w:r>
    </w:p>
    <w:p>
      <w:pPr>
        <w:pStyle w:val="Heading2"/>
      </w:pPr>
      <w:r>
        <w:t>06  DURABLE EMAIL DELIVERY</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Send limits and account rotation were not durable enough for restarts or multiple workers, and delivery sequencing was incomplete.</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Google Workspace Gmail API and Zoho use HTTP(S) only. PostgreSQL limits each account to 40 attempts paced through durable slots across eight hours, with persisted 2-5 minute jitter and a global velocity gate, followed by rotation and a 24-hour cooldown. Each job activation makes at most one provider call; ambiguous sends fail closed.</w:t>
      </w:r>
    </w:p>
    <w:p>
      <w:pPr>
        <w:pStyle w:val="Heading2"/>
      </w:pPr>
      <w:r>
        <w:t>07  ISOLATED PRODUCTION DATA</w:t>
      </w:r>
    </w:p>
    <w:p>
      <w:pPr>
        <w:pStyle w:val="ChangeDetail"/>
        <w:keepLines/>
        <w:spacing w:after="60"/>
      </w:pPr>
      <w:r>
        <w:rPr>
          <w:rFonts w:ascii="Calibri" w:hAnsi="Calibri" w:eastAsia="Calibri"/>
          <w:b/>
          <w:smallCaps/>
          <w:color w:val="667085"/>
          <w:sz w:val="18"/>
        </w:rPr>
        <w:t xml:space="preserve">BEFORE / MISSING  </w:t>
      </w:r>
      <w:r>
        <w:rPr>
          <w:rFonts w:ascii="Calibri" w:hAnsi="Calibri" w:eastAsia="Calibri"/>
          <w:color w:val="1F2937"/>
          <w:sz w:val="22"/>
        </w:rPr>
        <w:t>The application lacked a dedicated least-privilege database boundary and a fully reproducible migrated deployment for this workflow.</w:t>
      </w:r>
    </w:p>
    <w:p>
      <w:pPr>
        <w:pStyle w:val="ChangeDetail"/>
        <w:keepLines/>
        <w:spacing w:after="160"/>
      </w:pPr>
      <w:r>
        <w:rPr>
          <w:rFonts w:ascii="Calibri" w:hAnsi="Calibri" w:eastAsia="Calibri"/>
          <w:b/>
          <w:smallCaps/>
          <w:color w:val="1F4D78"/>
          <w:sz w:val="18"/>
        </w:rPr>
        <w:t xml:space="preserve">CURRENT STATE  </w:t>
      </w:r>
      <w:r>
        <w:rPr>
          <w:rFonts w:ascii="Calibri" w:hAnsi="Calibri" w:eastAsia="Calibri"/>
          <w:color w:val="1F2937"/>
          <w:sz w:val="22"/>
        </w:rPr>
        <w:t>The VM runs the application against an isolated monorepo PostgreSQL role and database with all 23 migrations applied. Credentials remain in ignored mode-0600 env files, database access is loopback and tunnel only, and pre- and post-migration backups plus the previous release are retained.</w:t>
      </w:r>
    </w:p>
    <w:p>
      <w:pPr>
        <w:pStyle w:val="Heading1"/>
        <w:keepNext/>
      </w:pPr>
      <w:r>
        <w:t>Current production position</w:t>
      </w:r>
    </w:p>
    <w:p>
      <w:pPr>
        <w:keepLines/>
        <w:spacing w:before="0" w:after="140" w:line="264" w:lineRule="auto"/>
        <w:ind w:left="173" w:right="173"/>
        <w:shd w:fill="F2F4F7" w:val="clear"/>
        <w:pBdr>
          <w:left w:val="single" w:sz="18" w:space="8" w:color="1F4D78"/>
        </w:pBdr>
      </w:pPr>
      <w:r>
        <w:rPr>
          <w:rFonts w:ascii="Calibri" w:hAnsi="Calibri" w:eastAsia="Calibri"/>
          <w:b/>
          <w:smallCaps/>
          <w:color w:val="1F4D78"/>
          <w:sz w:val="18"/>
        </w:rPr>
        <w:t xml:space="preserve">SAFE BY DEFAULT  </w:t>
      </w:r>
      <w:r>
        <w:rPr>
          <w:rFonts w:ascii="Calibri" w:hAnsi="Calibri" w:eastAsia="Calibri"/>
          <w:color w:val="1F2937"/>
          <w:sz w:val="21"/>
        </w:rPr>
        <w:t>The core architecture and migrations 1-23 are deployed. Provider credentials remain in protected env files, while email and OCR stay disabled and Google Workspace mailbox OAuth is not configured. The eight-hour pacing code and migration 24 remain undeployed; no Melbourne scrape, OCR run, or real email send was triggered.</w:t>
      </w:r>
    </w:p>
    <w:p>
      <w:pPr>
        <w:spacing w:before="40" w:after="0"/>
      </w:pPr>
      <w:r>
        <w:rPr>
          <w:rFonts w:ascii="Calibri" w:hAnsi="Calibri" w:eastAsia="Calibri"/>
          <w:b/>
          <w:color w:val="667085"/>
          <w:sz w:val="19"/>
        </w:rPr>
        <w:t xml:space="preserve">Detailed operator procedure: </w:t>
      </w:r>
      <w:r>
        <w:rPr>
          <w:rFonts w:ascii="Calibri" w:hAnsi="Calibri" w:eastAsia="Calibri"/>
          <w:color w:val="1F4D78"/>
          <w:sz w:val="19"/>
        </w:rPr>
        <w:t>docs/runbooks/lead-scrape-ocr-outreach.md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after="0"/>
      <w:jc w:val="left"/>
    </w:pPr>
    <w:r>
      <w:rPr>
        <w:rFonts w:ascii="Calibri" w:hAnsi="Calibri" w:eastAsia="Calibri"/>
        <w:color w:val="667085"/>
        <w:sz w:val="17"/>
      </w:rPr>
      <w:t>14 July 2026  |  Internal architecture summary</w:t>
    </w:r>
    <w:r>
      <w:rPr>
        <w:rFonts w:ascii="Calibri" w:hAnsi="Calibri" w:eastAsia="Calibri"/>
        <w:color w:val="667085"/>
        <w:sz w:val="17"/>
      </w:rPr>
      <w:tab/>
      <w:t xml:space="preserve">Page </w:t>
    </w:r>
    <w:r>
      <w:rPr>
        <w:rFonts w:ascii="Calibri" w:hAnsi="Calibri" w:eastAsia="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eastAsia="Calibri"/>
        <w:b/>
        <w:smallCaps/>
        <w:color w:val="667085"/>
        <w:sz w:val="17"/>
      </w:rPr>
      <w:t>TUVI SOLUTIONS</w:t>
    </w:r>
    <w:r>
      <w:rPr>
        <w:rFonts w:ascii="Calibri" w:hAnsi="Calibri" w:eastAsia="Calibri"/>
        <w:b w:val="0"/>
        <w:smallCaps/>
        <w:color w:val="667085"/>
        <w:sz w:val="17"/>
      </w:rPr>
      <w:tab/>
      <w:t>ARCHITECTURE CHANGE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eastAsia="Calibri"/>
      <w:b/>
      <w:color w:val="1F4D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line="240" w:lineRule="auto"/>
    </w:pPr>
    <w:rPr>
      <w:rFonts w:asciiTheme="majorHAnsi" w:eastAsiaTheme="majorEastAsia" w:hAnsiTheme="majorHAnsi" w:cstheme="majorBidi" w:ascii="Calibri" w:hAnsi="Calibri" w:eastAsia="Calibri"/>
      <w:b w:val="0"/>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ngeDetail">
    <w:name w:val="Change Detail"/>
    <w:basedOn w:val="Normal"/>
    <w:pPr>
      <w:keepLines/>
      <w:spacing w:before="0" w:after="80" w:line="264" w:lineRule="auto"/>
      <w:ind w:left="216" w:right="72"/>
    </w:pPr>
    <w:rPr>
      <w:rFonts w:ascii="Calibri" w:hAnsi="Calibri" w:eastAsia="Calibri"/>
      <w:color w:val="1F293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Crucial Architecture Changes</dc:title>
  <dc:subject>Restaurant lead workflow architecture brief</dc:subject>
  <dc:creator>Tuvi Solutions</dc:creator>
  <cp:keywords>architecture, scraping, OCR, outreach, PostgreSQL</cp:keywords>
  <dc:description>Concise architecture change brief generated from the repository delivery record.</dc:description>
  <cp:lastModifiedBy/>
  <cp:revision>1</cp:revision>
  <dcterms:created xsi:type="dcterms:W3CDTF">2013-12-23T23:15:00Z</dcterms:created>
  <dcterms:modified xsi:type="dcterms:W3CDTF">2013-12-23T23:15:00Z</dcterms:modified>
  <cp:category/>
</cp:coreProperties>
</file>