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Arial" w:cs="Arial" w:eastAsia="Arial" w:hAnsi="Arial"/>
          <w:b/>
          <w:bCs/>
          <w:color w:val="1A1A2E"/>
          <w:sz w:val="52"/>
          <w:szCs w:val="52"/>
        </w:rPr>
        <w:t xml:space="preserve">POLARA LABS</w:t>
      </w:r>
    </w:p>
    <w:p>
      <w:pPr>
        <w:pBdr>
          <w:bottom w:val="single" w:color="2E75B6" w:sz="4" w:space="8"/>
        </w:pBdr>
        <w:spacing w:after="100"/>
        <w:jc w:val="center"/>
      </w:pPr>
      <w:r>
        <w:rPr>
          <w:rFonts w:ascii="Arial" w:cs="Arial" w:eastAsia="Arial" w:hAnsi="Arial"/>
          <w:color w:val="2E75B6"/>
          <w:spacing w:val="200"/>
          <w:sz w:val="26"/>
          <w:szCs w:val="26"/>
        </w:rPr>
        <w:t xml:space="preserve">EXPERIMENT BRIEF</w:t>
      </w:r>
    </w:p>
    <w:p>
      <w:pPr>
        <w:spacing w:after="500"/>
      </w:pPr>
    </w:p>
    <w:p>
      <w:pPr>
        <w:spacing w:after="120"/>
        <w:jc w:val="center"/>
      </w:pPr>
      <w:r>
        <w:rPr>
          <w:rFonts w:ascii="Arial" w:cs="Arial" w:eastAsia="Arial" w:hAnsi="Arial"/>
          <w:b/>
          <w:bCs/>
          <w:color w:val="1A1A2E"/>
          <w:sz w:val="40"/>
          <w:szCs w:val="40"/>
        </w:rPr>
        <w:t xml:space="preserve">Evidence Quality Checker</w:t>
      </w:r>
    </w:p>
    <w:p>
      <w:pPr>
        <w:spacing w:after="100"/>
        <w:jc w:val="center"/>
      </w:pPr>
      <w:r>
        <w:rPr>
          <w:rFonts w:ascii="Arial" w:cs="Arial" w:eastAsia="Arial" w:hAnsi="Arial"/>
          <w:i/>
          <w:iCs/>
          <w:color w:val="666666"/>
          <w:sz w:val="24"/>
          <w:szCs w:val="24"/>
        </w:rPr>
        <w:t xml:space="preserve">ML-Powered Document Sufficiency Scoring</w:t>
      </w:r>
    </w:p>
    <w:p>
      <w:pPr>
        <w:spacing w:after="600"/>
      </w:pPr>
    </w:p>
    <w:p>
      <w:pPr>
        <w:spacing w:after="60"/>
        <w:jc w:val="center"/>
      </w:pPr>
      <w:r>
        <w:rPr>
          <w:rFonts w:ascii="Arial" w:cs="Arial" w:eastAsia="Arial" w:hAnsi="Arial"/>
          <w:color w:val="666666"/>
          <w:sz w:val="20"/>
          <w:szCs w:val="20"/>
        </w:rPr>
        <w:t xml:space="preserve">PLR-EXP-001  ·  Internal R&amp;D  ·  March 2026</w:t>
      </w:r>
    </w:p>
    <w:p>
      <w:pPr>
        <w:spacing w:after="10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Assigned To</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Sponsor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Surya (Founder)</w:t>
            </w:r>
          </w:p>
        </w:tc>
      </w:tr>
    </w:tbl>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What This Is</w:t>
      </w:r>
    </w:p>
    <w:p>
      <w:pPr>
        <w:spacing w:after="160"/>
      </w:pPr>
      <w:r>
        <w:rPr>
          <w:rFonts w:ascii="Arial" w:cs="Arial" w:eastAsia="Arial" w:hAnsi="Arial"/>
          <w:b w:val="false"/>
          <w:bCs w:val="false"/>
          <w:i w:val="false"/>
          <w:iCs w:val="false"/>
          <w:color w:val="333333"/>
          <w:sz w:val="22"/>
          <w:szCs w:val="22"/>
        </w:rPr>
        <w:t xml:space="preserve">Polara is a SOC 2 readiness platform. When a startup fills out our assessment form, the system maps their responses to SOC 2 controls and creates evidence upload slots for the controls they already have in place. That mapping is deterministic — form logic, not AI. It stays that way.</w:t>
      </w:r>
    </w:p>
    <w:p>
      <w:pPr>
        <w:spacing w:after="160"/>
      </w:pPr>
      <w:r>
        <w:rPr>
          <w:rFonts w:ascii="Arial" w:cs="Arial" w:eastAsia="Arial" w:hAnsi="Arial"/>
          <w:b w:val="false"/>
          <w:bCs w:val="false"/>
          <w:i w:val="false"/>
          <w:iCs w:val="false"/>
          <w:color w:val="333333"/>
          <w:sz w:val="22"/>
          <w:szCs w:val="22"/>
        </w:rPr>
        <w:t xml:space="preserve">The problem is that users upload garbage sometimes. Wrong file, blurry screenshot, a PTO policy when we asked for an incident response plan. Today nobody catches that until an auditor sees it.</w:t>
      </w:r>
    </w:p>
    <w:p>
      <w:pPr>
        <w:spacing w:after="160"/>
      </w:pPr>
      <w:r>
        <w:rPr>
          <w:rFonts w:ascii="Arial" w:cs="Arial" w:eastAsia="Arial" w:hAnsi="Arial"/>
          <w:b w:val="false"/>
          <w:bCs w:val="false"/>
          <w:i w:val="false"/>
          <w:iCs w:val="false"/>
          <w:color w:val="333333"/>
          <w:sz w:val="22"/>
          <w:szCs w:val="22"/>
        </w:rPr>
        <w:t xml:space="preserve">This experiment builds an ML layer that sits after the upload and answers one question: “Is this document actually good enough evidence for this control?” It’s advisory only — it flags issues, it never blocks an upload.</w:t>
      </w:r>
    </w:p>
    <w:p>
      <w:pPr>
        <w:pBdr>
          <w:bottom w:val="single" w:color="2E75B6" w:sz="2" w:space="1"/>
        </w:pBdr>
        <w:spacing w:after="200" w:before="200"/>
      </w:pPr>
    </w:p>
    <w:p>
      <w:pPr>
        <w:pStyle w:val="Heading1"/>
      </w:pPr>
      <w:r>
        <w:rPr>
          <w:rFonts w:ascii="Arial" w:cs="Arial" w:eastAsia="Arial" w:hAnsi="Arial"/>
        </w:rPr>
        <w:t xml:space="preserve">The Job</w:t>
      </w:r>
    </w:p>
    <w:p>
      <w:pPr>
        <w:spacing w:after="160"/>
      </w:pPr>
      <w:r>
        <w:rPr>
          <w:rFonts w:ascii="Arial" w:cs="Arial" w:eastAsia="Arial" w:hAnsi="Arial"/>
          <w:b w:val="false"/>
          <w:bCs w:val="false"/>
          <w:i w:val="false"/>
          <w:iCs w:val="false"/>
          <w:color w:val="333333"/>
          <w:sz w:val="22"/>
          <w:szCs w:val="22"/>
        </w:rPr>
        <w:t xml:space="preserve">Build a Python module that takes two inputs and returns a structured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Input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Extracted text from an uploaded document (PDF, DOCX, TXT, or MD)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Input 2</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SOC 2 control ID it’s mapped to (e.g., CC6.1)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Output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 score: 0–1, verdict: sufficient | insufficient | uncertain, explanation: string, missing_elements: string[] }</w:t>
            </w:r>
          </w:p>
        </w:tc>
      </w:tr>
    </w:tbl>
    <w:p>
      <w:pPr>
        <w:spacing w:after="80"/>
      </w:pPr>
    </w:p>
    <w:p>
      <w:pPr>
        <w:spacing w:after="160"/>
      </w:pPr>
      <w:r>
        <w:rPr>
          <w:rFonts w:ascii="Arial" w:cs="Arial" w:eastAsia="Arial" w:hAnsi="Arial"/>
          <w:b w:val="false"/>
          <w:bCs w:val="false"/>
          <w:i w:val="false"/>
          <w:iCs w:val="false"/>
          <w:color w:val="333333"/>
          <w:sz w:val="22"/>
          <w:szCs w:val="22"/>
        </w:rPr>
        <w:t xml:space="preserve">Also wrap it in a simple FastAPI endpoint so it can be called over HTTP. Ship it with a Dockerfile.</w:t>
      </w:r>
    </w:p>
    <w:p>
      <w:pPr>
        <w:pBdr>
          <w:bottom w:val="single" w:color="2E75B6" w:sz="2" w:space="1"/>
        </w:pBdr>
        <w:spacing w:after="200" w:before="200"/>
      </w:pPr>
    </w:p>
    <w:p>
      <w:pPr>
        <w:pStyle w:val="Heading1"/>
      </w:pPr>
      <w:r>
        <w:rPr>
          <w:rFonts w:ascii="Arial" w:cs="Arial" w:eastAsia="Arial" w:hAnsi="Arial"/>
        </w:rPr>
        <w:t xml:space="preserve">Target Controls</w:t>
      </w:r>
    </w:p>
    <w:p>
      <w:pPr>
        <w:spacing w:after="160"/>
      </w:pPr>
      <w:r>
        <w:rPr>
          <w:rFonts w:ascii="Arial" w:cs="Arial" w:eastAsia="Arial" w:hAnsi="Arial"/>
          <w:b w:val="false"/>
          <w:bCs w:val="false"/>
          <w:i w:val="false"/>
          <w:iCs w:val="false"/>
          <w:color w:val="333333"/>
          <w:sz w:val="22"/>
          <w:szCs w:val="22"/>
        </w:rPr>
        <w:t xml:space="preserve">Focus on these 10. They’re the highest-frequency controls where evidence quality issues come up most: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CC6.1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 Controls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Logical and physical access security. Role-based access, least privilege, access provisioning.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CC6.2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identity verification. MFA, SSO, password policies, session management.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CC6.3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 Management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Authorization, role changes, access reviews, onboarding/offboarding procedures.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CC7.2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Monitoring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Anomaly detection, security event logging, SIEM configuration, alerting rules.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CC7.3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 Response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 handling procedures, escalation paths, post-incident review, communication plans.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CC8.1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Management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 request processes, approval workflows, testing before deployment, rollback procedures.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CC6.6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Network Security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Firewalls, network segmentation, boundary protection, VPN configurations.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CC6.7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 in Transit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TLS/SSL configurations, certificate management, encrypted communication channels.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CC6.8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Vulnerability Mgmt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Vulnerability scanning, patching cadence, penetration testing, remediation tracking.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CC1.4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HR Policies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of conduct, background checks, security awareness training, acceptable use policies.</w:t>
            </w:r>
          </w:p>
        </w:tc>
      </w:tr>
    </w:tbl>
    <w:p>
      <w:pPr>
        <w:pBdr>
          <w:bottom w:val="single" w:color="2E75B6" w:sz="2" w:space="1"/>
        </w:pBdr>
        <w:spacing w:after="200" w:before="200"/>
      </w:pPr>
    </w:p>
    <w:p>
      <w:pPr>
        <w:pStyle w:val="Heading1"/>
      </w:pPr>
      <w:r>
        <w:rPr>
          <w:rFonts w:ascii="Arial" w:cs="Arial" w:eastAsia="Arial" w:hAnsi="Arial"/>
        </w:rPr>
        <w:t xml:space="preserve">What Good Evidence Looks Like (Per Control)</w:t>
      </w:r>
    </w:p>
    <w:p>
      <w:pPr>
        <w:spacing w:after="160"/>
      </w:pPr>
      <w:r>
        <w:rPr>
          <w:rFonts w:ascii="Arial" w:cs="Arial" w:eastAsia="Arial" w:hAnsi="Arial"/>
          <w:b w:val="false"/>
          <w:bCs w:val="false"/>
          <w:i w:val="false"/>
          <w:iCs w:val="false"/>
          <w:color w:val="333333"/>
          <w:sz w:val="22"/>
          <w:szCs w:val="22"/>
        </w:rPr>
        <w:t xml:space="preserve">This is the reference material. For each control, here’s what an auditor would expect to see, what keywords should appear, and common failure modes. Use this to build your reference embeddings and keyword rules.</w:t>
      </w:r>
    </w:p>
    <w:p>
      <w:pPr>
        <w:spacing w:after="80"/>
      </w:pPr>
    </w:p>
    <w:p>
      <w:pPr>
        <w:pStyle w:val="Heading2"/>
      </w:pPr>
      <w:r>
        <w:rPr>
          <w:rFonts w:ascii="Arial" w:cs="Arial" w:eastAsia="Arial" w:hAnsi="Arial"/>
        </w:rPr>
        <w:t xml:space="preserve">CC6.1 — Access Controls</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A documented access control policy that describes how the company provisions, modifies, and revokes access to systems and data. Should reference role-based access control (RBAC), least privilege principle, and periodic access reviews.</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role-based access, RBAC, least privilege, access provisioning, access revocation, access review, permission levels, system access, user roles, authorization matrix, access request, need-to-know</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An access control policy PDF with defined roles and permission tiers. A screenshot of an IAM dashboard showing role assignments. An access review log showing quarterly reviews with dates and approvers.</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generic employee handbook that mentions “access” once. A screenshot of a login page with no context. A document about physical office access (badge system) when the control is about logical access.</w:t>
      </w:r>
    </w:p>
    <w:p>
      <w:pPr>
        <w:pStyle w:val="Heading2"/>
      </w:pPr>
      <w:r>
        <w:rPr>
          <w:rFonts w:ascii="Arial" w:cs="Arial" w:eastAsia="Arial" w:hAnsi="Arial"/>
        </w:rPr>
        <w:t xml:space="preserve">CC6.2 — Authentication</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Documentation of authentication mechanisms. MFA enforcement, password complexity requirements, SSO configuration, session timeout settings.</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multi-factor authentication, MFA, 2FA, single sign-on, SSO, password policy, password complexity, session timeout, identity provider, IdP, SAML, OAuth, OIDC, biometric, authentication mechanism</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 screenshot of Okta/Auth0 MFA settings showing enforcement for all users. A password policy document with minimum length, complexity, and rotation requirements. SSO configuration showing SAML integration.</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login page screenshot without MFA visible. A policy that says “users should use strong passwords” without specifying requirements. An email asking employees to enable MFA (not proof it’s enforced).</w:t>
      </w:r>
    </w:p>
    <w:p>
      <w:pPr>
        <w:pStyle w:val="Heading2"/>
      </w:pPr>
      <w:r>
        <w:rPr>
          <w:rFonts w:ascii="Arial" w:cs="Arial" w:eastAsia="Arial" w:hAnsi="Arial"/>
        </w:rPr>
        <w:t xml:space="preserve">CC6.3 — Access Management</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Evidence of how access is granted, modified, and removed throughout the employee lifecycle. Onboarding checklists, offboarding procedures, periodic access reviews.</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onboarding, offboarding, access review, role change, access modification, termination checklist, joiner-mover-leaver, periodic review, manager approval, access certification</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An onboarding checklist showing which systems new hires get access to by role. An offboarding ticket showing access revocation within 24 hours of termination. A quarterly access review spreadsheet with manager sign-off.</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An HR onboarding doc that only covers benefits enrollment. A list of active users with no review dates or approvals. An email saying “please remove John’s access” with no confirmation it was done.</w:t>
      </w:r>
    </w:p>
    <w:p>
      <w:pPr>
        <w:pStyle w:val="Heading2"/>
      </w:pPr>
      <w:r>
        <w:rPr>
          <w:rFonts w:ascii="Arial" w:cs="Arial" w:eastAsia="Arial" w:hAnsi="Arial"/>
        </w:rPr>
        <w:t xml:space="preserve">CC7.2 — Monitoring</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Evidence that the company monitors systems for security events and anomalies. SIEM dashboards, alerting rules, log aggregation configuration, detection coverage.</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SIEM, security monitoring, log aggregation, alerting, anomaly detection, security events, detection rules, CloudTrail, audit logs, log retention, monitoring dashboard, threat detection, real-time alerts</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 screenshot of a SIEM dashboard (Datadog, Splunk, etc.) showing active alert rules. A log retention policy specifying 90+ days. A list of monitored event types (failed logins, privilege escalation, config changes).</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An uptime monitoring page (Pingdom/StatusPage) — that’s availability, not security monitoring. Application error logs without security context. A policy saying “we monitor systems” without showing how.</w:t>
      </w:r>
    </w:p>
    <w:p>
      <w:pPr>
        <w:pStyle w:val="Heading2"/>
      </w:pPr>
      <w:r>
        <w:rPr>
          <w:rFonts w:ascii="Arial" w:cs="Arial" w:eastAsia="Arial" w:hAnsi="Arial"/>
        </w:rPr>
        <w:t xml:space="preserve">CC7.3 — Incident Response</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A documented incident response plan with defined severity levels, escalation procedures, communication templates, and post-incident review process.</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incident response plan, IRP, severity levels, escalation, triage, containment, eradication, recovery, post-mortem, root cause analysis, incident commander, communication plan, breach notification, runbook</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An incident response policy with severity tiers (P1–P4), escalation matrix with names/roles, and SLA targets per tier. A completed post-mortem document from an actual or simulated incident. A PagerDuty/Opsgenie configuration showing on-call rotation.</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generic “we take security seriously” page. A Slack channel named #incidents with no documented process. A support ticket workflow that doesn’t distinguish security incidents from bugs.</w:t>
      </w:r>
    </w:p>
    <w:p>
      <w:pPr>
        <w:pStyle w:val="Heading2"/>
      </w:pPr>
      <w:r>
        <w:rPr>
          <w:rFonts w:ascii="Arial" w:cs="Arial" w:eastAsia="Arial" w:hAnsi="Arial"/>
        </w:rPr>
        <w:t xml:space="preserve">CC8.1 — Change Management</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Evidence of a structured process for making changes to production systems. Approval workflows, testing requirements, rollback procedures, change logs.</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change management, change request, change advisory board, CAB, approval workflow, pull request, code review, staging environment, rollback, deployment pipeline, CI/CD, release management, change log, testing</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 change management policy describing the request-review-approve-deploy cycle. Screenshots of GitHub PR reviews showing required approvals before merge. A CI/CD pipeline configuration showing automated testing gates.</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Git commit history with no evidence of review. A deploy script with no approval step. A policy that says “all changes are tested” without defining what “tested” means.</w:t>
      </w:r>
    </w:p>
    <w:p>
      <w:pPr>
        <w:pStyle w:val="Heading2"/>
      </w:pPr>
      <w:r>
        <w:rPr>
          <w:rFonts w:ascii="Arial" w:cs="Arial" w:eastAsia="Arial" w:hAnsi="Arial"/>
        </w:rPr>
        <w:t xml:space="preserve">CC6.6 — Network Security</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Documentation of network boundaries, segmentation, firewall rules, and protection mechanisms.</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firewall, network segmentation, VPC, security groups, ingress, egress, WAF, DDoS protection, network diagram, boundary protection, DMZ, subnet, network access control list, NACL</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 network architecture diagram showing VPCs, subnets, and security groups. AWS/GCP security group rules showing restricted ingress. A WAF configuration showing active rule sets.</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high-level product architecture diagram with no security detail. A list of IP addresses without context. A network policy that says “we use firewalls” without specifying rules or configurations.</w:t>
      </w:r>
    </w:p>
    <w:p>
      <w:pPr>
        <w:pStyle w:val="Heading2"/>
      </w:pPr>
      <w:r>
        <w:rPr>
          <w:rFonts w:ascii="Arial" w:cs="Arial" w:eastAsia="Arial" w:hAnsi="Arial"/>
        </w:rPr>
        <w:t xml:space="preserve">CC6.7 — Encryption in Transit</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Evidence that data transmitted between systems and to/from users is encrypted. TLS configuration, certificate management, HTTPS enforcement.</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TLS, SSL, HTTPS, encryption in transit, certificate, certificate authority, CA, HSTS, TLS 1.2, TLS 1.3, cipher suite, encrypted connection, API security, transport layer security</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An SSL Labs scan result showing A+ rating. A load balancer configuration enforcing TLS 1.2+. Certificate management documentation showing auto-renewal. HSTS header configuration in web server settings.</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screenshot of a green padlock in a browser (proves nothing about configuration). An encryption-at-rest policy (wrong type of encryption). A doc mentioning “we use HTTPS” without configuration evidence.</w:t>
      </w:r>
    </w:p>
    <w:p>
      <w:pPr>
        <w:pStyle w:val="Heading2"/>
      </w:pPr>
      <w:r>
        <w:rPr>
          <w:rFonts w:ascii="Arial" w:cs="Arial" w:eastAsia="Arial" w:hAnsi="Arial"/>
        </w:rPr>
        <w:t xml:space="preserve">CC6.8 — Vulnerability Management</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Evidence of regular vulnerability scanning, patching processes, and remediation tracking.</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vulnerability scan, CVE, patching, patch management, penetration test, pen test, remediation, vulnerability assessment, Snyk, Dependabot, Qualys, Nessus, security advisory, SLA, critical vulnerability</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 Snyk or Dependabot dashboard showing active scanning and remediation status. A vulnerability management policy with SLAs per severity (e.g., critical = 48 hours). A pen test report from a third-party firm with remediation plan.</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list of installed packages with no vulnerability data. An outdated scan report from 6+ months ago. A policy that says “we patch regularly” without defining cadence or tracking.</w:t>
      </w:r>
    </w:p>
    <w:p>
      <w:pPr>
        <w:pStyle w:val="Heading2"/>
      </w:pPr>
      <w:r>
        <w:rPr>
          <w:rFonts w:ascii="Arial" w:cs="Arial" w:eastAsia="Arial" w:hAnsi="Arial"/>
        </w:rPr>
        <w:t xml:space="preserve">CC1.4 — HR Policies</w:t>
      </w:r>
    </w:p>
    <w:p>
      <w:pPr>
        <w:spacing w:after="160"/>
      </w:pPr>
      <w:r>
        <w:rPr>
          <w:rFonts w:ascii="Arial" w:cs="Arial" w:eastAsia="Arial" w:hAnsi="Arial"/>
          <w:b/>
          <w:bCs/>
          <w:i w:val="false"/>
          <w:iCs w:val="false"/>
          <w:color w:val="333333"/>
          <w:sz w:val="22"/>
          <w:szCs w:val="22"/>
        </w:rPr>
        <w:t xml:space="preserve">What auditors want: </w:t>
      </w:r>
      <w:r>
        <w:rPr>
          <w:rFonts w:ascii="Arial" w:cs="Arial" w:eastAsia="Arial" w:hAnsi="Arial"/>
          <w:b w:val="false"/>
          <w:bCs w:val="false"/>
          <w:i w:val="false"/>
          <w:iCs w:val="false"/>
          <w:color w:val="333333"/>
          <w:sz w:val="22"/>
          <w:szCs w:val="22"/>
        </w:rPr>
        <w:t xml:space="preserve">Evidence of HR policies that establish employee responsibilities around security. Code of conduct, background checks, security training, acceptable use.</w:t>
      </w:r>
    </w:p>
    <w:p>
      <w:pPr>
        <w:spacing w:after="160"/>
      </w:pPr>
      <w:r>
        <w:rPr>
          <w:rFonts w:ascii="Arial" w:cs="Arial" w:eastAsia="Arial" w:hAnsi="Arial"/>
          <w:b/>
          <w:bCs/>
          <w:i w:val="false"/>
          <w:iCs w:val="false"/>
          <w:color w:val="333333"/>
          <w:sz w:val="22"/>
          <w:szCs w:val="22"/>
        </w:rPr>
        <w:t xml:space="preserve">Expected keywords: </w:t>
      </w:r>
      <w:r>
        <w:rPr>
          <w:rFonts w:ascii="Arial" w:cs="Arial" w:eastAsia="Arial" w:hAnsi="Arial"/>
          <w:b w:val="false"/>
          <w:bCs w:val="false"/>
          <w:i w:val="false"/>
          <w:iCs w:val="false"/>
          <w:color w:val="333333"/>
          <w:sz w:val="22"/>
          <w:szCs w:val="22"/>
        </w:rPr>
        <w:t xml:space="preserve">code of conduct, acceptable use policy, AUP, background check, security awareness training, employee handbook, confidentiality agreement, NDA, disciplinary action, annual training, security policy acknowledgment</w:t>
      </w:r>
    </w:p>
    <w:p>
      <w:pPr>
        <w:spacing w:after="160"/>
      </w:pPr>
      <w:r>
        <w:rPr>
          <w:rFonts w:ascii="Arial" w:cs="Arial" w:eastAsia="Arial" w:hAnsi="Arial"/>
          <w:b/>
          <w:bCs/>
          <w:i w:val="false"/>
          <w:iCs w:val="false"/>
          <w:color w:val="333333"/>
          <w:sz w:val="22"/>
          <w:szCs w:val="22"/>
        </w:rPr>
        <w:t xml:space="preserve">Good evidence examples: </w:t>
      </w:r>
      <w:r>
        <w:rPr>
          <w:rFonts w:ascii="Arial" w:cs="Arial" w:eastAsia="Arial" w:hAnsi="Arial"/>
          <w:b w:val="false"/>
          <w:bCs w:val="false"/>
          <w:i w:val="false"/>
          <w:iCs w:val="false"/>
          <w:color w:val="333333"/>
          <w:sz w:val="22"/>
          <w:szCs w:val="22"/>
        </w:rPr>
        <w:t xml:space="preserve">A signed code of conduct or acceptable use policy. A security training completion report showing all employees completed annual training. A background check policy describing when and how checks are performed.</w:t>
      </w:r>
    </w:p>
    <w:p>
      <w:pPr>
        <w:spacing w:after="160"/>
      </w:pPr>
      <w:r>
        <w:rPr>
          <w:rFonts w:ascii="Arial" w:cs="Arial" w:eastAsia="Arial" w:hAnsi="Arial"/>
          <w:b/>
          <w:bCs/>
          <w:i w:val="false"/>
          <w:iCs w:val="false"/>
          <w:color w:val="333333"/>
          <w:sz w:val="22"/>
          <w:szCs w:val="22"/>
        </w:rPr>
        <w:t xml:space="preserve">Bad evidence examples: </w:t>
      </w:r>
      <w:r>
        <w:rPr>
          <w:rFonts w:ascii="Arial" w:cs="Arial" w:eastAsia="Arial" w:hAnsi="Arial"/>
          <w:b w:val="false"/>
          <w:bCs w:val="false"/>
          <w:i w:val="false"/>
          <w:iCs w:val="false"/>
          <w:color w:val="333333"/>
          <w:sz w:val="22"/>
          <w:szCs w:val="22"/>
        </w:rPr>
        <w:t xml:space="preserve">A benefits enrollment guide. An employee directory. A job posting that mentions “security-minded culture.” A training deck with no proof anyone completed it.</w:t>
      </w:r>
    </w:p>
    <w:p>
      <w:pPr>
        <w:pBdr>
          <w:bottom w:val="single" w:color="2E75B6" w:sz="2" w:space="1"/>
        </w:pBdr>
        <w:spacing w:after="200" w:before="200"/>
      </w:pPr>
    </w:p>
    <w:p>
      <w:pPr>
        <w:pStyle w:val="Heading1"/>
      </w:pPr>
      <w:r>
        <w:rPr>
          <w:rFonts w:ascii="Arial" w:cs="Arial" w:eastAsia="Arial" w:hAnsi="Arial"/>
        </w:rPr>
        <w:t xml:space="preserve">Sample Test Cases</w:t>
      </w:r>
    </w:p>
    <w:p>
      <w:pPr>
        <w:spacing w:after="160"/>
      </w:pPr>
      <w:r>
        <w:rPr>
          <w:rFonts w:ascii="Arial" w:cs="Arial" w:eastAsia="Arial" w:hAnsi="Arial"/>
          <w:b w:val="false"/>
          <w:bCs w:val="false"/>
          <w:i w:val="false"/>
          <w:iCs w:val="false"/>
          <w:color w:val="333333"/>
          <w:sz w:val="22"/>
          <w:szCs w:val="22"/>
        </w:rPr>
        <w:t xml:space="preserve">Use these to validate your classifier. Each case describes a document and what the expected output should 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060"/>
        <w:gridCol w:w="1600"/>
        <w:gridCol w:w="160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4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 Description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CC6.1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Access control policy with RBAC tiers, least privilege statement, quarterly review schedule, and named approvers.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Sufficient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Hits all key elements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CC6.1</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Employee handbook with one paragraph mentioning “access is granted as needed.”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Insufficient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Too vague, no specifics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CC6.2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Okta admin console screenshot showing MFA enforced for all users, with SSO SAML config visible.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Sufficient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Shows enforcement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CC6.2</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 email from IT asking employees to “please enable MFA on your accounts.”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Insufficient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 enforcement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CC7.3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Incident response plan with P1–P4 severity tiers, escalation matrix, communication templates, and post-mortem template.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Sufficient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IRP</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CC7.3</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 Jira board with a column labeled “Incidents” but no documented process or severity definitions.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Insufficient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actual plan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CC8.1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branch protection rules showing required PR reviews, CI checks passing, and no direct pushes to 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Sufficient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Shows process enforcement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CC8.1</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 Git commit log showing frequent commits by one developer with no reviews.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Insufficient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review process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CC6.8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Snyk dashboard export showing active vulnerability scanning, 0 critical issues, and remediation SLA of 48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7D32"/>
                <w:sz w:val="20"/>
                <w:szCs w:val="20"/>
              </w:rPr>
              <w:t xml:space="preserve">Sufficient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Active scanning + SLA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CC6.8</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requirements.txt file listing Python packages with no vulnerability data.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Insufficient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scan results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CC1.4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PTO and vacation policy document.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62828"/>
                <w:sz w:val="20"/>
                <w:szCs w:val="20"/>
              </w:rPr>
              <w:t xml:space="preserve">Insufficient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Wrong document entirely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CC6.7</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Encryption at rest policy describing AES-256 for database storage.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62828"/>
                <w:sz w:val="20"/>
                <w:szCs w:val="20"/>
              </w:rPr>
              <w:t xml:space="preserve">Insufficient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Wrong encryption type</w:t>
            </w:r>
          </w:p>
        </w:tc>
      </w:tr>
    </w:tbl>
    <w:p>
      <w:pPr>
        <w:pBdr>
          <w:bottom w:val="single" w:color="2E75B6" w:sz="2" w:space="1"/>
        </w:pBdr>
        <w:spacing w:after="200" w:before="200"/>
      </w:pPr>
    </w:p>
    <w:p>
      <w:pPr>
        <w:pStyle w:val="Heading1"/>
      </w:pPr>
      <w:r>
        <w:rPr>
          <w:rFonts w:ascii="Arial" w:cs="Arial" w:eastAsia="Arial" w:hAnsi="Arial"/>
        </w:rPr>
        <w:t xml:space="preserve">Success Criteria</w:t>
      </w:r>
    </w:p>
    <w:p>
      <w:pPr>
        <w:spacing w:after="160"/>
      </w:pPr>
      <w:r>
        <w:rPr>
          <w:rFonts w:ascii="Arial" w:cs="Arial" w:eastAsia="Arial" w:hAnsi="Arial"/>
          <w:b w:val="false"/>
          <w:bCs w:val="false"/>
          <w:i w:val="false"/>
          <w:iCs w:val="false"/>
          <w:color w:val="333333"/>
          <w:sz w:val="22"/>
          <w:szCs w:val="22"/>
        </w:rPr>
        <w:t xml:space="preserve">The classifier works if: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Precision (sufficient)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it says “good,” it’s right 4 out of 5 times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Recall (insufficient)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85%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It catches most bad uploads — false negatives hurt more than false positives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3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enough for real-time feedback on upload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Coverage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10 controls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control has reference embeddings and keyword rules</w:t>
            </w:r>
          </w:p>
        </w:tc>
      </w:tr>
    </w:tbl>
    <w:p>
      <w:pPr>
        <w:spacing w:after="80"/>
      </w:pPr>
    </w:p>
    <w:p>
      <w:pPr>
        <w:spacing w:after="160"/>
      </w:pPr>
      <w:r>
        <w:rPr>
          <w:rFonts w:ascii="Arial" w:cs="Arial" w:eastAsia="Arial" w:hAnsi="Arial"/>
          <w:b w:val="false"/>
          <w:bCs w:val="false"/>
          <w:i w:val="false"/>
          <w:iCs w:val="false"/>
          <w:color w:val="333333"/>
          <w:sz w:val="22"/>
          <w:szCs w:val="22"/>
        </w:rPr>
        <w:t xml:space="preserve">If some controls are weaker than others, that’s fine — flag them as “uncertain” by default and document why. Partial success is still useful.</w:t>
      </w:r>
    </w:p>
    <w:p>
      <w:pPr>
        <w:pBdr>
          <w:bottom w:val="single" w:color="2E75B6" w:sz="2" w:space="1"/>
        </w:pBdr>
        <w:spacing w:after="200" w:before="200"/>
      </w:pPr>
    </w:p>
    <w:p>
      <w:pPr>
        <w:pStyle w:val="Heading1"/>
      </w:pPr>
      <w:r>
        <w:rPr>
          <w:rFonts w:ascii="Arial" w:cs="Arial" w:eastAsia="Arial" w:hAnsi="Arial"/>
        </w:rPr>
        <w:t xml:space="preserve">Deliverables</w:t>
      </w:r>
    </w:p>
    <w:p>
      <w:pPr>
        <w:spacing w:after="160"/>
      </w:pPr>
      <w:r>
        <w:rPr>
          <w:rFonts w:ascii="Arial" w:cs="Arial" w:eastAsia="Arial" w:hAnsi="Arial"/>
          <w:b w:val="false"/>
          <w:bCs w:val="false"/>
          <w:i w:val="false"/>
          <w:iCs w:val="false"/>
          <w:color w:val="333333"/>
          <w:sz w:val="22"/>
          <w:szCs w:val="22"/>
        </w:rPr>
        <w:t xml:space="preserve">Polara’s backend runs on Netlify Functions (TypeScript), the database is Supabase (Postgres), and the frontend is React + Vite. This classifier will run as a separate Python microservice that Polara calls over HTTP. Here’s exactly what to ship:</w:t>
      </w:r>
    </w:p>
    <w:p>
      <w:pPr>
        <w:spacing w:after="80"/>
      </w:pPr>
    </w:p>
    <w:p>
      <w:pPr>
        <w:pStyle w:val="Heading2"/>
      </w:pPr>
      <w:r>
        <w:rPr>
          <w:rFonts w:ascii="Arial" w:cs="Arial" w:eastAsia="Arial" w:hAnsi="Arial"/>
        </w:rPr>
        <w:t xml:space="preserve">1. Core Python Package: polara-evidence-checker/</w:t>
      </w:r>
    </w:p>
    <w:p>
      <w:pPr>
        <w:spacing w:after="160"/>
      </w:pPr>
      <w:r>
        <w:rPr>
          <w:rFonts w:ascii="Arial" w:cs="Arial" w:eastAsia="Arial" w:hAnsi="Arial"/>
          <w:b w:val="false"/>
          <w:bCs w:val="false"/>
          <w:i w:val="false"/>
          <w:iCs w:val="false"/>
          <w:color w:val="333333"/>
          <w:sz w:val="22"/>
          <w:szCs w:val="22"/>
        </w:rPr>
        <w:t xml:space="preserve">An importable Python module with:</w:t>
      </w:r>
    </w:p>
    <w:p>
      <w:pPr>
        <w:pStyle w:val="ListParagraph"/>
        <w:numPr>
          <w:ilvl w:val="0"/>
          <w:numId w:val="2"/>
        </w:numPr>
        <w:spacing w:after="80"/>
      </w:pPr>
      <w:r>
        <w:rPr>
          <w:rFonts w:ascii="Arial" w:cs="Arial" w:eastAsia="Arial" w:hAnsi="Arial"/>
          <w:color w:val="333333"/>
          <w:sz w:val="22"/>
          <w:szCs w:val="22"/>
        </w:rPr>
        <w:t xml:space="preserve">Text extraction layer — accepts PDF, DOCX, TXT, MD files and outputs clean plaintext. Handles headers, footers, and boilerplate stripping.</w:t>
      </w:r>
    </w:p>
    <w:p>
      <w:pPr>
        <w:pStyle w:val="ListParagraph"/>
        <w:numPr>
          <w:ilvl w:val="0"/>
          <w:numId w:val="2"/>
        </w:numPr>
        <w:spacing w:after="80"/>
      </w:pPr>
      <w:r>
        <w:rPr>
          <w:rFonts w:ascii="Arial" w:cs="Arial" w:eastAsia="Arial" w:hAnsi="Arial"/>
          <w:color w:val="333333"/>
          <w:sz w:val="22"/>
          <w:szCs w:val="22"/>
        </w:rPr>
        <w:t xml:space="preserve">Reference corpus — a controls/ directory with one JSON file per control (e.g., CC6.1.json). Each file contains: control_id, description, expected_keywords array, good_evidence_descriptors, bad_evidence_descriptors, and the pre-computed embedding vector.</w:t>
      </w:r>
    </w:p>
    <w:p>
      <w:pPr>
        <w:pStyle w:val="ListParagraph"/>
        <w:numPr>
          <w:ilvl w:val="0"/>
          <w:numId w:val="2"/>
        </w:numPr>
        <w:spacing w:after="80"/>
      </w:pPr>
      <w:r>
        <w:rPr>
          <w:rFonts w:ascii="Arial" w:cs="Arial" w:eastAsia="Arial" w:hAnsi="Arial"/>
          <w:color w:val="333333"/>
          <w:sz w:val="22"/>
          <w:szCs w:val="22"/>
        </w:rPr>
        <w:t xml:space="preserve">Scoring engine — takes extracted text + control_id, computes embedding similarity against the reference corpus, runs keyword/structural checks, and returns the structured JSON output (score, verdict, explanation, missing_elements).</w:t>
      </w:r>
    </w:p>
    <w:p>
      <w:pPr>
        <w:pStyle w:val="ListParagraph"/>
        <w:numPr>
          <w:ilvl w:val="0"/>
          <w:numId w:val="2"/>
        </w:numPr>
        <w:spacing w:after="80"/>
      </w:pPr>
      <w:r>
        <w:rPr>
          <w:rFonts w:ascii="Arial" w:cs="Arial" w:eastAsia="Arial" w:hAnsi="Arial"/>
          <w:color w:val="333333"/>
          <w:sz w:val="22"/>
          <w:szCs w:val="22"/>
        </w:rPr>
        <w:t xml:space="preserve">Unit tests for the extraction layer and scoring logic.</w:t>
      </w:r>
    </w:p>
    <w:p>
      <w:pPr>
        <w:spacing w:after="80"/>
      </w:pPr>
    </w:p>
    <w:p>
      <w:pPr>
        <w:pStyle w:val="Heading2"/>
      </w:pPr>
      <w:r>
        <w:rPr>
          <w:rFonts w:ascii="Arial" w:cs="Arial" w:eastAsia="Arial" w:hAnsi="Arial"/>
        </w:rPr>
        <w:t xml:space="preserve">2. FastAPI Service</w:t>
      </w:r>
    </w:p>
    <w:p>
      <w:pPr>
        <w:spacing w:after="160"/>
      </w:pPr>
      <w:r>
        <w:rPr>
          <w:rFonts w:ascii="Arial" w:cs="Arial" w:eastAsia="Arial" w:hAnsi="Arial"/>
          <w:b w:val="false"/>
          <w:bCs w:val="false"/>
          <w:i w:val="false"/>
          <w:iCs w:val="false"/>
          <w:color w:val="333333"/>
          <w:sz w:val="22"/>
          <w:szCs w:val="22"/>
        </w:rPr>
        <w:t xml:space="preserve">A single POST endpoint: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7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Route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 /api/v1/check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Input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Multipart form: file (the uploaded evidence document) + control_id (string, e.g. "CC6.1")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Output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 score: float, verdict: "sufficient" | "insufficient" | "uncertain", explanation: string, missing_elements: string[], control_id: string, checked_at: ISO timestamp }</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API key header (X-API-Key) — Polara’s Netlify Functions will call this internally</w:t>
            </w:r>
          </w:p>
        </w:tc>
      </w:tr>
    </w:tbl>
    <w:p>
      <w:pPr>
        <w:spacing w:after="80"/>
      </w:pPr>
    </w:p>
    <w:p>
      <w:pPr>
        <w:pStyle w:val="Heading2"/>
      </w:pPr>
      <w:r>
        <w:rPr>
          <w:rFonts w:ascii="Arial" w:cs="Arial" w:eastAsia="Arial" w:hAnsi="Arial"/>
        </w:rPr>
        <w:t xml:space="preserve">3. Supabase Migration</w:t>
      </w:r>
    </w:p>
    <w:p>
      <w:pPr>
        <w:spacing w:after="160"/>
      </w:pPr>
      <w:r>
        <w:rPr>
          <w:rFonts w:ascii="Arial" w:cs="Arial" w:eastAsia="Arial" w:hAnsi="Arial"/>
          <w:b w:val="false"/>
          <w:bCs w:val="false"/>
          <w:i w:val="false"/>
          <w:iCs w:val="false"/>
          <w:color w:val="333333"/>
          <w:sz w:val="22"/>
          <w:szCs w:val="22"/>
        </w:rPr>
        <w:t xml:space="preserve">A SQL migration file that creates an evidence_quality_scores table in Polara’s Supabase database. This is where quality check results get stored alongside evidence records. The schema should include:</w:t>
      </w:r>
    </w:p>
    <w:p>
      <w:pPr>
        <w:pStyle w:val="ListParagraph"/>
        <w:numPr>
          <w:ilvl w:val="0"/>
          <w:numId w:val="3"/>
        </w:numPr>
        <w:spacing w:after="80"/>
      </w:pPr>
      <w:r>
        <w:rPr>
          <w:rFonts w:ascii="Arial" w:cs="Arial" w:eastAsia="Arial" w:hAnsi="Arial"/>
          <w:color w:val="333333"/>
          <w:sz w:val="22"/>
          <w:szCs w:val="22"/>
        </w:rPr>
        <w:t xml:space="preserve">id (uuid, primary key)</w:t>
      </w:r>
    </w:p>
    <w:p>
      <w:pPr>
        <w:pStyle w:val="ListParagraph"/>
        <w:numPr>
          <w:ilvl w:val="0"/>
          <w:numId w:val="3"/>
        </w:numPr>
        <w:spacing w:after="80"/>
      </w:pPr>
      <w:r>
        <w:rPr>
          <w:rFonts w:ascii="Arial" w:cs="Arial" w:eastAsia="Arial" w:hAnsi="Arial"/>
          <w:color w:val="333333"/>
          <w:sz w:val="22"/>
          <w:szCs w:val="22"/>
        </w:rPr>
        <w:t xml:space="preserve">evidence_id (uuid, foreign key — references the existing evidence upload record)</w:t>
      </w:r>
    </w:p>
    <w:p>
      <w:pPr>
        <w:pStyle w:val="ListParagraph"/>
        <w:numPr>
          <w:ilvl w:val="0"/>
          <w:numId w:val="3"/>
        </w:numPr>
        <w:spacing w:after="80"/>
      </w:pPr>
      <w:r>
        <w:rPr>
          <w:rFonts w:ascii="Arial" w:cs="Arial" w:eastAsia="Arial" w:hAnsi="Arial"/>
          <w:color w:val="333333"/>
          <w:sz w:val="22"/>
          <w:szCs w:val="22"/>
        </w:rPr>
        <w:t xml:space="preserve">control_id (text, e.g. "CC6.1")</w:t>
      </w:r>
    </w:p>
    <w:p>
      <w:pPr>
        <w:pStyle w:val="ListParagraph"/>
        <w:numPr>
          <w:ilvl w:val="0"/>
          <w:numId w:val="3"/>
        </w:numPr>
        <w:spacing w:after="80"/>
      </w:pPr>
      <w:r>
        <w:rPr>
          <w:rFonts w:ascii="Arial" w:cs="Arial" w:eastAsia="Arial" w:hAnsi="Arial"/>
          <w:color w:val="333333"/>
          <w:sz w:val="22"/>
          <w:szCs w:val="22"/>
        </w:rPr>
        <w:t xml:space="preserve">score (numeric, 0–1)</w:t>
      </w:r>
    </w:p>
    <w:p>
      <w:pPr>
        <w:pStyle w:val="ListParagraph"/>
        <w:numPr>
          <w:ilvl w:val="0"/>
          <w:numId w:val="3"/>
        </w:numPr>
        <w:spacing w:after="80"/>
      </w:pPr>
      <w:r>
        <w:rPr>
          <w:rFonts w:ascii="Arial" w:cs="Arial" w:eastAsia="Arial" w:hAnsi="Arial"/>
          <w:color w:val="333333"/>
          <w:sz w:val="22"/>
          <w:szCs w:val="22"/>
        </w:rPr>
        <w:t xml:space="preserve">verdict (text: sufficient / insufficient / uncertain)</w:t>
      </w:r>
    </w:p>
    <w:p>
      <w:pPr>
        <w:pStyle w:val="ListParagraph"/>
        <w:numPr>
          <w:ilvl w:val="0"/>
          <w:numId w:val="3"/>
        </w:numPr>
        <w:spacing w:after="80"/>
      </w:pPr>
      <w:r>
        <w:rPr>
          <w:rFonts w:ascii="Arial" w:cs="Arial" w:eastAsia="Arial" w:hAnsi="Arial"/>
          <w:color w:val="333333"/>
          <w:sz w:val="22"/>
          <w:szCs w:val="22"/>
        </w:rPr>
        <w:t xml:space="preserve">explanation (text)</w:t>
      </w:r>
    </w:p>
    <w:p>
      <w:pPr>
        <w:pStyle w:val="ListParagraph"/>
        <w:numPr>
          <w:ilvl w:val="0"/>
          <w:numId w:val="3"/>
        </w:numPr>
        <w:spacing w:after="80"/>
      </w:pPr>
      <w:r>
        <w:rPr>
          <w:rFonts w:ascii="Arial" w:cs="Arial" w:eastAsia="Arial" w:hAnsi="Arial"/>
          <w:color w:val="333333"/>
          <w:sz w:val="22"/>
          <w:szCs w:val="22"/>
        </w:rPr>
        <w:t xml:space="preserve">missing_elements (text array)</w:t>
      </w:r>
    </w:p>
    <w:p>
      <w:pPr>
        <w:pStyle w:val="ListParagraph"/>
        <w:numPr>
          <w:ilvl w:val="0"/>
          <w:numId w:val="3"/>
        </w:numPr>
        <w:spacing w:after="80"/>
      </w:pPr>
      <w:r>
        <w:rPr>
          <w:rFonts w:ascii="Arial" w:cs="Arial" w:eastAsia="Arial" w:hAnsi="Arial"/>
          <w:color w:val="333333"/>
          <w:sz w:val="22"/>
          <w:szCs w:val="22"/>
        </w:rPr>
        <w:t xml:space="preserve">created_at (timestamptz, default now())</w:t>
      </w:r>
    </w:p>
    <w:p>
      <w:pPr>
        <w:spacing w:after="80"/>
      </w:pPr>
    </w:p>
    <w:p>
      <w:pPr>
        <w:spacing w:after="160"/>
      </w:pPr>
      <w:r>
        <w:rPr>
          <w:rFonts w:ascii="Arial" w:cs="Arial" w:eastAsia="Arial" w:hAnsi="Arial"/>
          <w:b w:val="false"/>
          <w:bCs w:val="false"/>
          <w:i w:val="false"/>
          <w:iCs w:val="false"/>
          <w:color w:val="333333"/>
          <w:sz w:val="22"/>
          <w:szCs w:val="22"/>
        </w:rPr>
        <w:t xml:space="preserve">Include Row Level Security policies so results are scoped to the organization that owns the evidence. Surya will give you the exact evidence table name and column references if needed, but design it to foreign-key against an evidence uploads table with a uuid primary key.</w:t>
      </w:r>
    </w:p>
    <w:p>
      <w:pPr>
        <w:spacing w:after="80"/>
      </w:pPr>
    </w:p>
    <w:p>
      <w:pPr>
        <w:pStyle w:val="Heading2"/>
      </w:pPr>
      <w:r>
        <w:rPr>
          <w:rFonts w:ascii="Arial" w:cs="Arial" w:eastAsia="Arial" w:hAnsi="Arial"/>
        </w:rPr>
        <w:t xml:space="preserve">4. Netlify Function Integration Example</w:t>
      </w:r>
    </w:p>
    <w:p>
      <w:pPr>
        <w:spacing w:after="160"/>
      </w:pPr>
      <w:r>
        <w:rPr>
          <w:rFonts w:ascii="Arial" w:cs="Arial" w:eastAsia="Arial" w:hAnsi="Arial"/>
          <w:b w:val="false"/>
          <w:bCs w:val="false"/>
          <w:i w:val="false"/>
          <w:iCs w:val="false"/>
          <w:color w:val="333333"/>
          <w:sz w:val="22"/>
          <w:szCs w:val="22"/>
        </w:rPr>
        <w:t xml:space="preserve">A sample TypeScript Netlify Function (e.g., check-evidence-quality.ts) that shows exactly how Polara’s existing backend would call the checker. This should:</w:t>
      </w:r>
    </w:p>
    <w:p>
      <w:pPr>
        <w:pStyle w:val="ListParagraph"/>
        <w:numPr>
          <w:ilvl w:val="0"/>
          <w:numId w:val="4"/>
        </w:numPr>
        <w:spacing w:after="80"/>
      </w:pPr>
      <w:r>
        <w:rPr>
          <w:rFonts w:ascii="Arial" w:cs="Arial" w:eastAsia="Arial" w:hAnsi="Arial"/>
          <w:color w:val="333333"/>
          <w:sz w:val="22"/>
          <w:szCs w:val="22"/>
        </w:rPr>
        <w:t xml:space="preserve">Accept an evidence_id and control_id from the frontend</w:t>
      </w:r>
    </w:p>
    <w:p>
      <w:pPr>
        <w:pStyle w:val="ListParagraph"/>
        <w:numPr>
          <w:ilvl w:val="0"/>
          <w:numId w:val="4"/>
        </w:numPr>
        <w:spacing w:after="80"/>
      </w:pPr>
      <w:r>
        <w:rPr>
          <w:rFonts w:ascii="Arial" w:cs="Arial" w:eastAsia="Arial" w:hAnsi="Arial"/>
          <w:color w:val="333333"/>
          <w:sz w:val="22"/>
          <w:szCs w:val="22"/>
        </w:rPr>
        <w:t xml:space="preserve">Fetch the uploaded file from Supabase Storage</w:t>
      </w:r>
    </w:p>
    <w:p>
      <w:pPr>
        <w:pStyle w:val="ListParagraph"/>
        <w:numPr>
          <w:ilvl w:val="0"/>
          <w:numId w:val="4"/>
        </w:numPr>
        <w:spacing w:after="80"/>
      </w:pPr>
      <w:r>
        <w:rPr>
          <w:rFonts w:ascii="Arial" w:cs="Arial" w:eastAsia="Arial" w:hAnsi="Arial"/>
          <w:color w:val="333333"/>
          <w:sz w:val="22"/>
          <w:szCs w:val="22"/>
        </w:rPr>
        <w:t xml:space="preserve">POST it to the FastAPI /api/v1/check endpoint</w:t>
      </w:r>
    </w:p>
    <w:p>
      <w:pPr>
        <w:pStyle w:val="ListParagraph"/>
        <w:numPr>
          <w:ilvl w:val="0"/>
          <w:numId w:val="4"/>
        </w:numPr>
        <w:spacing w:after="80"/>
      </w:pPr>
      <w:r>
        <w:rPr>
          <w:rFonts w:ascii="Arial" w:cs="Arial" w:eastAsia="Arial" w:hAnsi="Arial"/>
          <w:color w:val="333333"/>
          <w:sz w:val="22"/>
          <w:szCs w:val="22"/>
        </w:rPr>
        <w:t xml:space="preserve">Write the result back to the evidence_quality_scores table in Supabase</w:t>
      </w:r>
    </w:p>
    <w:p>
      <w:pPr>
        <w:pStyle w:val="ListParagraph"/>
        <w:numPr>
          <w:ilvl w:val="0"/>
          <w:numId w:val="4"/>
        </w:numPr>
        <w:spacing w:after="80"/>
      </w:pPr>
      <w:r>
        <w:rPr>
          <w:rFonts w:ascii="Arial" w:cs="Arial" w:eastAsia="Arial" w:hAnsi="Arial"/>
          <w:color w:val="333333"/>
          <w:sz w:val="22"/>
          <w:szCs w:val="22"/>
        </w:rPr>
        <w:t xml:space="preserve">Return the verdict to the frontend</w:t>
      </w:r>
    </w:p>
    <w:p>
      <w:pPr>
        <w:spacing w:after="80"/>
      </w:pPr>
    </w:p>
    <w:p>
      <w:pPr>
        <w:spacing w:after="160"/>
      </w:pPr>
      <w:r>
        <w:rPr>
          <w:rFonts w:ascii="Arial" w:cs="Arial" w:eastAsia="Arial" w:hAnsi="Arial"/>
          <w:b w:val="false"/>
          <w:bCs w:val="false"/>
          <w:i w:val="false"/>
          <w:iCs w:val="false"/>
          <w:color w:val="333333"/>
          <w:sz w:val="22"/>
          <w:szCs w:val="22"/>
        </w:rPr>
        <w:t xml:space="preserve">This doesn’t need to be production-ready — it’s a reference so Surya can wire it into the actual upload flow. Use @supabase/supabase-js for the Supabase calls.</w:t>
      </w:r>
    </w:p>
    <w:p>
      <w:pPr>
        <w:spacing w:after="80"/>
      </w:pPr>
    </w:p>
    <w:p>
      <w:pPr>
        <w:pStyle w:val="Heading2"/>
      </w:pPr>
      <w:r>
        <w:rPr>
          <w:rFonts w:ascii="Arial" w:cs="Arial" w:eastAsia="Arial" w:hAnsi="Arial"/>
        </w:rPr>
        <w:t xml:space="preserve">5. Dockerfile + docker-compose.yml</w:t>
      </w:r>
    </w:p>
    <w:p>
      <w:pPr>
        <w:spacing w:after="160"/>
      </w:pPr>
      <w:r>
        <w:rPr>
          <w:rFonts w:ascii="Arial" w:cs="Arial" w:eastAsia="Arial" w:hAnsi="Arial"/>
          <w:b w:val="false"/>
          <w:bCs w:val="false"/>
          <w:i w:val="false"/>
          <w:iCs w:val="false"/>
          <w:color w:val="333333"/>
          <w:sz w:val="22"/>
          <w:szCs w:val="22"/>
        </w:rPr>
        <w:t xml:space="preserve">The FastAPI service must run in a container. Include a docker-compose.yml that spins up the service with a single command. The container should expose port 8000 and accept the API key as an environment variable.</w:t>
      </w:r>
    </w:p>
    <w:p>
      <w:pPr>
        <w:spacing w:after="80"/>
      </w:pPr>
    </w:p>
    <w:p>
      <w:pPr>
        <w:pStyle w:val="Heading2"/>
      </w:pPr>
      <w:r>
        <w:rPr>
          <w:rFonts w:ascii="Arial" w:cs="Arial" w:eastAsia="Arial" w:hAnsi="Arial"/>
        </w:rPr>
        <w:t xml:space="preserve">6. Evaluation Report</w:t>
      </w:r>
    </w:p>
    <w:p>
      <w:pPr>
        <w:spacing w:after="160"/>
      </w:pPr>
      <w:r>
        <w:rPr>
          <w:rFonts w:ascii="Arial" w:cs="Arial" w:eastAsia="Arial" w:hAnsi="Arial"/>
          <w:b w:val="false"/>
          <w:bCs w:val="false"/>
          <w:i w:val="false"/>
          <w:iCs w:val="false"/>
          <w:color w:val="333333"/>
          <w:sz w:val="22"/>
          <w:szCs w:val="22"/>
        </w:rPr>
        <w:t xml:space="preserve">A Jupyter notebook that runs the classifier against the 12 test cases in this doc (plus any additional ones you create) and reports:</w:t>
      </w:r>
    </w:p>
    <w:p>
      <w:pPr>
        <w:pStyle w:val="ListParagraph"/>
        <w:numPr>
          <w:ilvl w:val="0"/>
          <w:numId w:val="5"/>
        </w:numPr>
        <w:spacing w:after="80"/>
      </w:pPr>
      <w:r>
        <w:rPr>
          <w:rFonts w:ascii="Arial" w:cs="Arial" w:eastAsia="Arial" w:hAnsi="Arial"/>
          <w:color w:val="333333"/>
          <w:sz w:val="22"/>
          <w:szCs w:val="22"/>
        </w:rPr>
        <w:t xml:space="preserve">Precision and recall per control</w:t>
      </w:r>
    </w:p>
    <w:p>
      <w:pPr>
        <w:pStyle w:val="ListParagraph"/>
        <w:numPr>
          <w:ilvl w:val="0"/>
          <w:numId w:val="5"/>
        </w:numPr>
        <w:spacing w:after="80"/>
      </w:pPr>
      <w:r>
        <w:rPr>
          <w:rFonts w:ascii="Arial" w:cs="Arial" w:eastAsia="Arial" w:hAnsi="Arial"/>
          <w:color w:val="333333"/>
          <w:sz w:val="22"/>
          <w:szCs w:val="22"/>
        </w:rPr>
        <w:t xml:space="preserve">Overall accuracy across all controls</w:t>
      </w:r>
    </w:p>
    <w:p>
      <w:pPr>
        <w:pStyle w:val="ListParagraph"/>
        <w:numPr>
          <w:ilvl w:val="0"/>
          <w:numId w:val="5"/>
        </w:numPr>
        <w:spacing w:after="80"/>
      </w:pPr>
      <w:r>
        <w:rPr>
          <w:rFonts w:ascii="Arial" w:cs="Arial" w:eastAsia="Arial" w:hAnsi="Arial"/>
          <w:color w:val="333333"/>
          <w:sz w:val="22"/>
          <w:szCs w:val="22"/>
        </w:rPr>
        <w:t xml:space="preserve">Confusion matrix (sufficient vs. insufficient vs. uncertain)</w:t>
      </w:r>
    </w:p>
    <w:p>
      <w:pPr>
        <w:pStyle w:val="ListParagraph"/>
        <w:numPr>
          <w:ilvl w:val="0"/>
          <w:numId w:val="5"/>
        </w:numPr>
        <w:spacing w:after="80"/>
      </w:pPr>
      <w:r>
        <w:rPr>
          <w:rFonts w:ascii="Arial" w:cs="Arial" w:eastAsia="Arial" w:hAnsi="Arial"/>
          <w:color w:val="333333"/>
          <w:sz w:val="22"/>
          <w:szCs w:val="22"/>
        </w:rPr>
        <w:t xml:space="preserve">Latency per document</w:t>
      </w:r>
    </w:p>
    <w:p>
      <w:pPr>
        <w:pStyle w:val="ListParagraph"/>
        <w:numPr>
          <w:ilvl w:val="0"/>
          <w:numId w:val="5"/>
        </w:numPr>
        <w:spacing w:after="80"/>
      </w:pPr>
      <w:r>
        <w:rPr>
          <w:rFonts w:ascii="Arial" w:cs="Arial" w:eastAsia="Arial" w:hAnsi="Arial"/>
          <w:color w:val="333333"/>
          <w:sz w:val="22"/>
          <w:szCs w:val="22"/>
        </w:rPr>
        <w:t xml:space="preserve">Notes on which controls perform weakest and why</w:t>
      </w:r>
    </w:p>
    <w:p>
      <w:pPr>
        <w:spacing w:after="80"/>
      </w:pPr>
    </w:p>
    <w:p>
      <w:pPr>
        <w:pStyle w:val="Heading2"/>
      </w:pPr>
      <w:r>
        <w:rPr>
          <w:rFonts w:ascii="Arial" w:cs="Arial" w:eastAsia="Arial" w:hAnsi="Arial"/>
        </w:rPr>
        <w:t xml:space="preserve">7. README</w:t>
      </w:r>
    </w:p>
    <w:p>
      <w:pPr>
        <w:spacing w:after="160"/>
      </w:pPr>
      <w:r>
        <w:rPr>
          <w:rFonts w:ascii="Arial" w:cs="Arial" w:eastAsia="Arial" w:hAnsi="Arial"/>
          <w:b w:val="false"/>
          <w:bCs w:val="false"/>
          <w:i w:val="false"/>
          <w:iCs w:val="false"/>
          <w:color w:val="333333"/>
          <w:sz w:val="22"/>
          <w:szCs w:val="22"/>
        </w:rPr>
        <w:t xml:space="preserve">Setup instructions, how to run locally, how to run the eval, how to call the API, and the expected JSON schema. Keep it straightforward — someone should be able to clone the repo, run docker-compose up, and hit the endpoint in under 5 minutes.</w:t>
      </w:r>
    </w:p>
    <w:p>
      <w:pPr>
        <w:pBdr>
          <w:bottom w:val="single" w:color="2E75B6" w:sz="2" w:space="1"/>
        </w:pBdr>
        <w:spacing w:after="200" w:before="200"/>
      </w:pPr>
    </w:p>
    <w:p>
      <w:pPr>
        <w:pStyle w:val="Heading1"/>
      </w:pPr>
      <w:r>
        <w:rPr>
          <w:rFonts w:ascii="Arial" w:cs="Arial" w:eastAsia="Arial" w:hAnsi="Arial"/>
        </w:rPr>
        <w:t xml:space="preserve">Ground Rules</w:t>
      </w:r>
    </w:p>
    <w:p>
      <w:pPr>
        <w:pStyle w:val="ListParagraph"/>
        <w:numPr>
          <w:ilvl w:val="0"/>
          <w:numId w:val="6"/>
        </w:numPr>
        <w:spacing w:after="80"/>
      </w:pPr>
      <w:r>
        <w:rPr>
          <w:rFonts w:ascii="Arial" w:cs="Arial" w:eastAsia="Arial" w:hAnsi="Arial"/>
          <w:b/>
          <w:bCs/>
          <w:color w:val="333333"/>
          <w:sz w:val="22"/>
          <w:szCs w:val="22"/>
        </w:rPr>
        <w:t xml:space="preserve">Don’t touch the mapping. </w:t>
      </w:r>
      <w:r>
        <w:rPr>
          <w:rFonts w:ascii="Arial" w:cs="Arial" w:eastAsia="Arial" w:hAnsi="Arial"/>
          <w:color w:val="333333"/>
          <w:sz w:val="22"/>
          <w:szCs w:val="22"/>
        </w:rPr>
        <w:t xml:space="preserve">The form-based control-to-evidence mapping is deterministic and stays that way. Your module evaluates quality after mapping, never instead of it.</w:t>
      </w:r>
    </w:p>
    <w:p>
      <w:pPr>
        <w:pStyle w:val="ListParagraph"/>
        <w:numPr>
          <w:ilvl w:val="0"/>
          <w:numId w:val="6"/>
        </w:numPr>
        <w:spacing w:after="80"/>
      </w:pPr>
      <w:r>
        <w:rPr>
          <w:rFonts w:ascii="Arial" w:cs="Arial" w:eastAsia="Arial" w:hAnsi="Arial"/>
          <w:b/>
          <w:bCs/>
          <w:color w:val="333333"/>
          <w:sz w:val="22"/>
          <w:szCs w:val="22"/>
        </w:rPr>
        <w:t xml:space="preserve">Advisory only. </w:t>
      </w:r>
      <w:r>
        <w:rPr>
          <w:rFonts w:ascii="Arial" w:cs="Arial" w:eastAsia="Arial" w:hAnsi="Arial"/>
          <w:color w:val="333333"/>
          <w:sz w:val="22"/>
          <w:szCs w:val="22"/>
        </w:rPr>
        <w:t xml:space="preserve">The output is a flag. It never blocks an upload or auto-rejects anything. Users always have the final call.</w:t>
      </w:r>
    </w:p>
    <w:p>
      <w:pPr>
        <w:pStyle w:val="ListParagraph"/>
        <w:numPr>
          <w:ilvl w:val="0"/>
          <w:numId w:val="6"/>
        </w:numPr>
        <w:spacing w:after="80"/>
      </w:pPr>
      <w:r>
        <w:rPr>
          <w:rFonts w:ascii="Arial" w:cs="Arial" w:eastAsia="Arial" w:hAnsi="Arial"/>
          <w:b/>
          <w:bCs/>
          <w:color w:val="333333"/>
          <w:sz w:val="22"/>
          <w:szCs w:val="22"/>
        </w:rPr>
        <w:t xml:space="preserve">When in doubt, say uncertain. </w:t>
      </w:r>
      <w:r>
        <w:rPr>
          <w:rFonts w:ascii="Arial" w:cs="Arial" w:eastAsia="Arial" w:hAnsi="Arial"/>
          <w:color w:val="333333"/>
          <w:sz w:val="22"/>
          <w:szCs w:val="22"/>
        </w:rPr>
        <w:t xml:space="preserve">A low-confidence “uncertain” is always better than a confident wrong answer. If the model isn’t sure, it should say so.</w:t>
      </w:r>
    </w:p>
    <w:p>
      <w:pPr>
        <w:pStyle w:val="ListParagraph"/>
        <w:numPr>
          <w:ilvl w:val="0"/>
          <w:numId w:val="6"/>
        </w:numPr>
        <w:spacing w:after="80"/>
      </w:pPr>
      <w:r>
        <w:rPr>
          <w:rFonts w:ascii="Arial" w:cs="Arial" w:eastAsia="Arial" w:hAnsi="Arial"/>
          <w:b/>
          <w:bCs/>
          <w:color w:val="333333"/>
          <w:sz w:val="22"/>
          <w:szCs w:val="22"/>
        </w:rPr>
        <w:t xml:space="preserve">Clean code. </w:t>
      </w:r>
      <w:r>
        <w:rPr>
          <w:rFonts w:ascii="Arial" w:cs="Arial" w:eastAsia="Arial" w:hAnsi="Arial"/>
          <w:color w:val="333333"/>
          <w:sz w:val="22"/>
          <w:szCs w:val="22"/>
        </w:rPr>
        <w:t xml:space="preserve">Type hints, docstrings, unit tests for core functions. This is going on your resume — make it look like it.</w:t>
      </w:r>
    </w:p>
    <w:p>
      <w:pPr>
        <w:pBdr>
          <w:bottom w:val="single" w:color="2E75B6" w:sz="2" w:space="1"/>
        </w:pBdr>
        <w:spacing w:after="20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Polara Labs — Internal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b/>
        <w:bCs/>
        <w:color w:val="1A1A2E"/>
        <w:sz w:val="16"/>
        <w:szCs w:val="16"/>
      </w:rPr>
      <w:t xml:space="preserve">POLARA LABS</w:t>
    </w:r>
    <w:r>
      <w:rPr>
        <w:rFonts w:ascii="Arial" w:cs="Arial" w:eastAsia="Arial" w:hAnsi="Arial"/>
        <w:color w:val="666666"/>
        <w:sz w:val="16"/>
        <w:szCs w:val="16"/>
      </w:rPr>
      <w:t xml:space="preserve">  |  PLR-EXP-001  |  Evidence Quality Checker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3"/>
    <w:lvlOverride w:ilvl="0">
      <w:startOverride w:val="1"/>
    </w:lvlOverride>
  </w:num>
  <w:num w:numId="3">
    <w:abstractNumId w:val="15"/>
    <w:lvlOverride w:ilvl="0">
      <w:startOverride w:val="1"/>
    </w:lvlOverride>
  </w:num>
  <w:num w:numId="4">
    <w:abstractNumId w:val="16"/>
    <w:lvlOverride w:ilvl="0">
      <w:startOverride w:val="1"/>
    </w:lvlOverride>
  </w:num>
  <w:num w:numId="5">
    <w:abstractNumId w:val="17"/>
    <w:lvlOverride w:ilvl="0">
      <w:startOverride w:val="1"/>
    </w:lvlOverride>
  </w:num>
  <w:num w:numId="6">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2026-03-09T16:33:40.632Z</dcterms:created>
  <dcterms:modified xsi:type="dcterms:W3CDTF">2026-03-09T16:33:40.633Z</dcterms:modified>
</cp:coreProperties>
</file>

<file path=docProps/custom.xml><?xml version="1.0" encoding="utf-8"?>
<Properties xmlns="http://schemas.openxmlformats.org/officeDocument/2006/custom-properties" xmlns:vt="http://schemas.openxmlformats.org/officeDocument/2006/docPropsVTypes"/>
</file>