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Climate Diplomacy</w:t>
      </w:r>
    </w:p>
    <w:p>
      <w:pPr>
        <w:spacing w:after="100"/>
        <w:jc w:val="center"/>
      </w:pPr>
      <w:r>
        <w:rPr>
          <w:rFonts w:ascii="Arial" w:cs="Arial" w:eastAsia="Arial" w:hAnsi="Arial"/>
          <w:color w:val="2E86C1"/>
          <w:sz w:val="30"/>
          <w:szCs w:val="30"/>
        </w:rPr>
        <w:t xml:space="preserve">A Multiplayer Environmental Politics Simulation</w:t>
      </w:r>
    </w:p>
    <w:p>
      <w:pPr>
        <w:spacing w:after="100"/>
        <w:jc w:val="center"/>
      </w:pPr>
      <w:r>
        <w:rPr>
          <w:rFonts w:ascii="Arial" w:cs="Arial" w:eastAsia="Arial" w:hAnsi="Arial"/>
          <w:color w:val="566573"/>
          <w:sz w:val="24"/>
          <w:szCs w:val="24"/>
        </w:rPr>
        <w:t xml:space="preserve">Academic Foundations &amp; Theoretical Framework</w:t>
      </w:r>
    </w:p>
    <w:p>
      <w:pPr>
        <w:spacing w:before="400"/>
      </w:pPr>
    </w:p>
    <w:p>
      <w:pPr>
        <w:spacing w:after="80"/>
        <w:jc w:val="center"/>
      </w:pPr>
      <w:r>
        <w:rPr>
          <w:rFonts w:ascii="Arial" w:cs="Arial" w:eastAsia="Arial" w:hAnsi="Arial"/>
          <w:color w:val="1C2833"/>
          <w:sz w:val="22"/>
          <w:szCs w:val="22"/>
        </w:rPr>
        <w:t xml:space="preserve">Module POL23200 — Environmental Politics in International Comparison</w:t>
      </w:r>
    </w:p>
    <w:p>
      <w:pPr>
        <w:spacing w:after="80"/>
        <w:jc w:val="center"/>
      </w:pPr>
      <w:r>
        <w:rPr>
          <w:rFonts w:ascii="Arial" w:cs="Arial" w:eastAsia="Arial" w:hAnsi="Arial"/>
          <w:color w:val="1C2833"/>
          <w:sz w:val="22"/>
          <w:szCs w:val="22"/>
        </w:rPr>
        <w:t xml:space="preserve">Prof. Dr. Miranda Schreurs — Technical University of Munich</w:t>
      </w:r>
    </w:p>
    <w:p>
      <w:pPr>
        <w:spacing w:after="80"/>
        <w:jc w:val="center"/>
      </w:pPr>
      <w:r>
        <w:rPr>
          <w:rFonts w:ascii="Arial" w:cs="Arial" w:eastAsia="Arial" w:hAnsi="Arial"/>
          <w:color w:val="1C2833"/>
          <w:sz w:val="22"/>
          <w:szCs w:val="22"/>
        </w:rPr>
        <w:t xml:space="preserve">Summer Semester 2026</w:t>
      </w:r>
    </w:p>
    <w:p>
      <w:r>
        <w:br w:type="page"/>
      </w:r>
    </w:p>
    <w:p>
      <w:pPr>
        <w:pStyle w:val="Heading1"/>
        <w:spacing w:after="200" w:before="360"/>
      </w:pPr>
      <w:r>
        <w:rPr>
          <w:rFonts w:ascii="Arial" w:cs="Arial" w:eastAsia="Arial" w:hAnsi="Arial"/>
          <w:b/>
          <w:bCs/>
          <w:color w:val="1B4F72"/>
          <w:sz w:val="32"/>
          <w:szCs w:val="32"/>
        </w:rPr>
        <w:t xml:space="preserve">Contents</w:t>
      </w:r>
    </w:p>
    <w:p>
      <w:pPr>
        <w:spacing w:after="140" w:line="340"/>
      </w:pPr>
      <w:r>
        <w:rPr>
          <w:rFonts w:ascii="Arial" w:cs="Arial" w:eastAsia="Arial" w:hAnsi="Arial"/>
          <w:color w:val="1C2833"/>
          <w:sz w:val="22"/>
          <w:szCs w:val="22"/>
        </w:rPr>
        <w:t xml:space="preserve">1. Introduction</w:t>
      </w:r>
    </w:p>
    <w:p>
      <w:pPr>
        <w:spacing w:after="140" w:line="340"/>
      </w:pPr>
      <w:r>
        <w:rPr>
          <w:rFonts w:ascii="Arial" w:cs="Arial" w:eastAsia="Arial" w:hAnsi="Arial"/>
          <w:color w:val="1C2833"/>
          <w:sz w:val="22"/>
          <w:szCs w:val="22"/>
        </w:rPr>
        <w:t xml:space="preserve">2. Game Overview (Brief)</w:t>
      </w:r>
    </w:p>
    <w:p>
      <w:pPr>
        <w:spacing w:after="140" w:line="340"/>
      </w:pPr>
      <w:r>
        <w:rPr>
          <w:rFonts w:ascii="Arial" w:cs="Arial" w:eastAsia="Arial" w:hAnsi="Arial"/>
          <w:color w:val="1C2833"/>
          <w:sz w:val="22"/>
          <w:szCs w:val="22"/>
        </w:rPr>
        <w:t xml:space="preserve">3. Theoretical Framework: Models Used</w:t>
      </w:r>
    </w:p>
    <w:p>
      <w:pPr>
        <w:spacing w:after="140" w:line="340"/>
      </w:pPr>
      <w:r>
        <w:rPr>
          <w:rFonts w:ascii="Arial" w:cs="Arial" w:eastAsia="Arial" w:hAnsi="Arial"/>
          <w:color w:val="1C2833"/>
          <w:sz w:val="22"/>
          <w:szCs w:val="22"/>
        </w:rPr>
        <w:t xml:space="preserve">   3.1 Tragedy of the Commons (Hardin, 1968)</w:t>
      </w:r>
    </w:p>
    <w:p>
      <w:pPr>
        <w:spacing w:after="140" w:line="340"/>
      </w:pPr>
      <w:r>
        <w:rPr>
          <w:rFonts w:ascii="Arial" w:cs="Arial" w:eastAsia="Arial" w:hAnsi="Arial"/>
          <w:color w:val="1C2833"/>
          <w:sz w:val="22"/>
          <w:szCs w:val="22"/>
        </w:rPr>
        <w:t xml:space="preserve">   3.2 Polycentric Governance (Ostrom, 1990; 2010)</w:t>
      </w:r>
    </w:p>
    <w:p>
      <w:pPr>
        <w:spacing w:after="140" w:line="340"/>
      </w:pPr>
      <w:r>
        <w:rPr>
          <w:rFonts w:ascii="Arial" w:cs="Arial" w:eastAsia="Arial" w:hAnsi="Arial"/>
          <w:color w:val="1C2833"/>
          <w:sz w:val="22"/>
          <w:szCs w:val="22"/>
        </w:rPr>
        <w:t xml:space="preserve">   3.3 Two-Level Games (Putnam, 1988)</w:t>
      </w:r>
    </w:p>
    <w:p>
      <w:pPr>
        <w:spacing w:after="140" w:line="340"/>
      </w:pPr>
      <w:r>
        <w:rPr>
          <w:rFonts w:ascii="Arial" w:cs="Arial" w:eastAsia="Arial" w:hAnsi="Arial"/>
          <w:color w:val="1C2833"/>
          <w:sz w:val="22"/>
          <w:szCs w:val="22"/>
        </w:rPr>
        <w:t xml:space="preserve">   3.4 Green-Brown Establishment Balance (Mezzanotti &amp; Starkman, CEPR)</w:t>
      </w:r>
    </w:p>
    <w:p>
      <w:pPr>
        <w:spacing w:after="140" w:line="340"/>
      </w:pPr>
      <w:r>
        <w:rPr>
          <w:rFonts w:ascii="Arial" w:cs="Arial" w:eastAsia="Arial" w:hAnsi="Arial"/>
          <w:color w:val="1C2833"/>
          <w:sz w:val="22"/>
          <w:szCs w:val="22"/>
        </w:rPr>
        <w:t xml:space="preserve">   3.5 Pioneer/Laggard Gap Approach (Liefferink et al., 2009)</w:t>
      </w:r>
    </w:p>
    <w:p>
      <w:pPr>
        <w:spacing w:after="140" w:line="340"/>
      </w:pPr>
      <w:r>
        <w:rPr>
          <w:rFonts w:ascii="Arial" w:cs="Arial" w:eastAsia="Arial" w:hAnsi="Arial"/>
          <w:color w:val="1C2833"/>
          <w:sz w:val="22"/>
          <w:szCs w:val="22"/>
        </w:rPr>
        <w:t xml:space="preserve">   3.6 Carbon Tax — DICE Model &amp; Double Dividend (Nordhaus, 2018; Goulder, 1995)</w:t>
      </w:r>
    </w:p>
    <w:p>
      <w:pPr>
        <w:spacing w:after="140" w:line="340"/>
      </w:pPr>
      <w:r>
        <w:rPr>
          <w:rFonts w:ascii="Arial" w:cs="Arial" w:eastAsia="Arial" w:hAnsi="Arial"/>
          <w:color w:val="1C2833"/>
          <w:sz w:val="22"/>
          <w:szCs w:val="22"/>
        </w:rPr>
        <w:t xml:space="preserve">   3.7 Distributive Conflict (Aklin &amp; Mildenberger, 2020)</w:t>
      </w:r>
    </w:p>
    <w:p>
      <w:pPr>
        <w:spacing w:after="140" w:line="340"/>
      </w:pPr>
      <w:r>
        <w:rPr>
          <w:rFonts w:ascii="Arial" w:cs="Arial" w:eastAsia="Arial" w:hAnsi="Arial"/>
          <w:color w:val="1C2833"/>
          <w:sz w:val="22"/>
          <w:szCs w:val="22"/>
        </w:rPr>
        <w:t xml:space="preserve">   3.8 N-Player Public Goods Game</w:t>
      </w:r>
    </w:p>
    <w:p>
      <w:pPr>
        <w:spacing w:after="140" w:line="340"/>
      </w:pPr>
      <w:r>
        <w:rPr>
          <w:rFonts w:ascii="Arial" w:cs="Arial" w:eastAsia="Arial" w:hAnsi="Arial"/>
          <w:color w:val="1C2833"/>
          <w:sz w:val="22"/>
          <w:szCs w:val="22"/>
        </w:rPr>
        <w:t xml:space="preserve">4. Model-to-Mechanic Mapping Table</w:t>
      </w:r>
    </w:p>
    <w:p>
      <w:pPr>
        <w:spacing w:after="140" w:line="340"/>
      </w:pPr>
      <w:r>
        <w:rPr>
          <w:rFonts w:ascii="Arial" w:cs="Arial" w:eastAsia="Arial" w:hAnsi="Arial"/>
          <w:color w:val="1C2833"/>
          <w:sz w:val="22"/>
          <w:szCs w:val="22"/>
        </w:rPr>
        <w:t xml:space="preserve">5. Country Design Rationale</w:t>
      </w:r>
    </w:p>
    <w:p>
      <w:pPr>
        <w:spacing w:after="140" w:line="340"/>
      </w:pPr>
      <w:r>
        <w:rPr>
          <w:rFonts w:ascii="Arial" w:cs="Arial" w:eastAsia="Arial" w:hAnsi="Arial"/>
          <w:color w:val="1C2833"/>
          <w:sz w:val="22"/>
          <w:szCs w:val="22"/>
        </w:rPr>
        <w:t xml:space="preserve">6. Multiplayer &amp; Bot AI Strategy</w:t>
      </w:r>
    </w:p>
    <w:p>
      <w:pPr>
        <w:spacing w:after="140" w:line="340"/>
      </w:pPr>
      <w:r>
        <w:rPr>
          <w:rFonts w:ascii="Arial" w:cs="Arial" w:eastAsia="Arial" w:hAnsi="Arial"/>
          <w:color w:val="1C2833"/>
          <w:sz w:val="22"/>
          <w:szCs w:val="22"/>
        </w:rPr>
        <w:t xml:space="preserve">7. Intended Learning Outcomes Alignment</w:t>
      </w:r>
    </w:p>
    <w:p>
      <w:pPr>
        <w:spacing w:after="140" w:line="340"/>
      </w:pPr>
      <w:r>
        <w:rPr>
          <w:rFonts w:ascii="Arial" w:cs="Arial" w:eastAsia="Arial" w:hAnsi="Arial"/>
          <w:color w:val="1C2833"/>
          <w:sz w:val="22"/>
          <w:szCs w:val="22"/>
        </w:rPr>
        <w:t xml:space="preserve">8. Reference List (Harvard Style)</w:t>
      </w:r>
    </w:p>
    <w:p>
      <w:r>
        <w:br w:type="page"/>
      </w:r>
    </w:p>
    <w:p>
      <w:pPr>
        <w:pStyle w:val="Heading1"/>
        <w:spacing w:after="200" w:before="360"/>
      </w:pPr>
      <w:r>
        <w:rPr>
          <w:rFonts w:ascii="Arial" w:cs="Arial" w:eastAsia="Arial" w:hAnsi="Arial"/>
          <w:b/>
          <w:bCs/>
          <w:color w:val="1B4F72"/>
          <w:sz w:val="32"/>
          <w:szCs w:val="32"/>
        </w:rPr>
        <w:t xml:space="preserve">1. Introduction</w:t>
      </w:r>
    </w:p>
    <w:p>
      <w:pPr>
        <w:spacing w:after="140" w:line="340"/>
      </w:pPr>
      <w:r>
        <w:rPr>
          <w:rFonts w:ascii="Arial" w:cs="Arial" w:eastAsia="Arial" w:hAnsi="Arial"/>
          <w:color w:val="1C2833"/>
          <w:sz w:val="22"/>
          <w:szCs w:val="22"/>
        </w:rPr>
        <w:t xml:space="preserve">Climate Diplomacy is a multiplayer simulation in which eight players each control a country bloc and navigate the structural tensions of environmental politics: economic growth versus sustainability, domestic political constraints versus international cooperation, and collective action versus free-riding. Every game mechanic is grounded in an academic framework from the module reading list or established political science and economics literature.</w:t>
      </w:r>
    </w:p>
    <w:p>
      <w:pPr>
        <w:spacing w:after="140" w:line="340"/>
      </w:pPr>
      <w:r>
        <w:rPr>
          <w:rFonts w:ascii="Arial" w:cs="Arial" w:eastAsia="Arial" w:hAnsi="Arial"/>
          <w:color w:val="1C2833"/>
          <w:sz w:val="22"/>
          <w:szCs w:val="22"/>
        </w:rPr>
        <w:t xml:space="preserve">This document focuses on the </w:t>
      </w:r>
      <w:r>
        <w:rPr>
          <w:rFonts w:ascii="Arial" w:cs="Arial" w:eastAsia="Arial" w:hAnsi="Arial"/>
          <w:b/>
          <w:bCs/>
          <w:color w:val="1C2833"/>
          <w:sz w:val="22"/>
          <w:szCs w:val="22"/>
        </w:rPr>
        <w:t xml:space="preserve">theoretical models</w:t>
      </w:r>
      <w:r>
        <w:rPr>
          <w:rFonts w:ascii="Arial" w:cs="Arial" w:eastAsia="Arial" w:hAnsi="Arial"/>
          <w:color w:val="1C2833"/>
          <w:sz w:val="22"/>
          <w:szCs w:val="22"/>
        </w:rPr>
        <w:t xml:space="preserve"> underpinning the game design, with Harvard-style citations throughout. It is intended as preparation material for the group presentation. Section 2 provides a brief game overview; Section 3 is the core — each academic model, how it is operationalised in the game, and why. Section 4 maps every model to its specific mechanic. Sections 5–7 cover country design, bot AI, and ILO alignment.</w:t>
      </w:r>
    </w:p>
    <w:p>
      <w:pPr>
        <w:spacing w:after="140" w:line="340"/>
      </w:pPr>
      <w:r>
        <w:rPr>
          <w:rFonts w:ascii="Arial" w:cs="Arial" w:eastAsia="Arial" w:hAnsi="Arial"/>
          <w:color w:val="1C2833"/>
          <w:sz w:val="22"/>
          <w:szCs w:val="22"/>
        </w:rPr>
        <w:t xml:space="preserve">The game logic, cycle engine, and technical implementation (React 19 + Vite 8 + TypeScript + Firebase) will be presented separately.</w:t>
      </w:r>
    </w:p>
    <w:p>
      <w:r>
        <w:br w:type="page"/>
      </w:r>
    </w:p>
    <w:p>
      <w:pPr>
        <w:pStyle w:val="Heading1"/>
        <w:spacing w:after="200" w:before="360"/>
      </w:pPr>
      <w:r>
        <w:rPr>
          <w:rFonts w:ascii="Arial" w:cs="Arial" w:eastAsia="Arial" w:hAnsi="Arial"/>
          <w:b/>
          <w:bCs/>
          <w:color w:val="1B4F72"/>
          <w:sz w:val="32"/>
          <w:szCs w:val="32"/>
        </w:rPr>
        <w:t xml:space="preserve">2. Game Overview</w:t>
      </w:r>
    </w:p>
    <w:p>
      <w:pPr>
        <w:spacing w:after="140" w:line="340"/>
      </w:pPr>
      <w:r>
        <w:rPr>
          <w:rFonts w:ascii="Arial" w:cs="Arial" w:eastAsia="Arial" w:hAnsi="Arial"/>
          <w:color w:val="1C2833"/>
          <w:sz w:val="22"/>
          <w:szCs w:val="22"/>
        </w:rPr>
        <w:t xml:space="preserve">Eight country blocs (USA, EU, Russia, China, India, OPEC, Latin America, Africa) on a 60×30 hex grid. Each country manages 7 resources (money, energy, food, population, happiness, CO₂, technology) and 3 raw materials (fuel, uranium, rare earth). Players build 9 types of infrastructure, trade resources, negotiate transit agreements, set domestic carbon tax rates, and vote on global summit resolutions. A 14-step cycle engine processes all actions every 5 minutes.</w:t>
      </w:r>
    </w:p>
    <w:p>
      <w:pPr>
        <w:spacing w:after="140" w:line="340"/>
      </w:pPr>
      <w:r>
        <w:rPr>
          <w:rFonts w:ascii="Arial" w:cs="Arial" w:eastAsia="Arial" w:hAnsi="Arial"/>
          <w:color w:val="1C2833"/>
          <w:sz w:val="22"/>
          <w:szCs w:val="22"/>
        </w:rPr>
        <w:t xml:space="preserve">The shared </w:t>
      </w:r>
      <w:r>
        <w:rPr>
          <w:rFonts w:ascii="Arial" w:cs="Arial" w:eastAsia="Arial" w:hAnsi="Arial"/>
          <w:b/>
          <w:bCs/>
          <w:color w:val="1C2833"/>
          <w:sz w:val="22"/>
          <w:szCs w:val="22"/>
        </w:rPr>
        <w:t xml:space="preserve">global temperature</w:t>
      </w:r>
      <w:r>
        <w:rPr>
          <w:rFonts w:ascii="Arial" w:cs="Arial" w:eastAsia="Arial" w:hAnsi="Arial"/>
          <w:color w:val="1C2833"/>
          <w:sz w:val="22"/>
          <w:szCs w:val="22"/>
        </w:rPr>
        <w:t xml:space="preserve"> rises from cumulative CO₂ emissions. Temperature rise penalises all countries through happiness loss and farm yield reduction. This creates the core collective action problem: every country benefits from cheap fossil energy individually, but cumulative emissions destroy the shared climate commons.</w:t>
      </w:r>
    </w:p>
    <w:p>
      <w:r>
        <w:br w:type="page"/>
      </w:r>
    </w:p>
    <w:p>
      <w:pPr>
        <w:pStyle w:val="Heading1"/>
        <w:spacing w:after="200" w:before="360"/>
      </w:pPr>
      <w:r>
        <w:rPr>
          <w:rFonts w:ascii="Arial" w:cs="Arial" w:eastAsia="Arial" w:hAnsi="Arial"/>
          <w:b/>
          <w:bCs/>
          <w:color w:val="1B4F72"/>
          <w:sz w:val="32"/>
          <w:szCs w:val="32"/>
        </w:rPr>
        <w:t xml:space="preserve">3. Theoretical Framework: Models Used</w:t>
      </w:r>
    </w:p>
    <w:p>
      <w:pPr>
        <w:pStyle w:val="Heading2"/>
        <w:spacing w:after="160" w:before="280"/>
      </w:pPr>
      <w:r>
        <w:rPr>
          <w:rFonts w:ascii="Arial" w:cs="Arial" w:eastAsia="Arial" w:hAnsi="Arial"/>
          <w:b/>
          <w:bCs/>
          <w:color w:val="2E86C1"/>
          <w:sz w:val="26"/>
          <w:szCs w:val="26"/>
        </w:rPr>
        <w:t xml:space="preserve">3.1 Tragedy of the Commons</w:t>
      </w:r>
    </w:p>
    <w:p>
      <w:pPr>
        <w:spacing w:after="140" w:line="340"/>
      </w:pPr>
      <w:r>
        <w:rPr>
          <w:rFonts w:ascii="Arial" w:cs="Arial" w:eastAsia="Arial" w:hAnsi="Arial"/>
          <w:i/>
          <w:iCs/>
          <w:color w:val="566573"/>
          <w:sz w:val="21"/>
          <w:szCs w:val="21"/>
        </w:rPr>
        <w:t xml:space="preserve">Hardin, G. (1968) ‘The Tragedy of the Commons’, Science, 162(3859), pp. 1243–1248.</w:t>
      </w:r>
    </w:p>
    <w:p>
      <w:pPr>
        <w:spacing w:after="140" w:line="340"/>
      </w:pPr>
      <w:r>
        <w:rPr>
          <w:rFonts w:ascii="Arial" w:cs="Arial" w:eastAsia="Arial" w:hAnsi="Arial"/>
          <w:color w:val="1C2833"/>
          <w:sz w:val="22"/>
          <w:szCs w:val="22"/>
        </w:rPr>
        <w:t xml:space="preserve">Hardin (1968) argued that when a shared resource is open to exploitation by self-interested actors, each actor’s rational choice to maximise individual gain leads to the resource’s destruction. The atmosphere’s capacity to absorb CO₂ without dangerous warming is the quintessential modern commons.</w:t>
      </w:r>
    </w:p>
    <w:p>
      <w:pPr>
        <w:pStyle w:val="Heading3"/>
        <w:spacing w:after="120" w:before="200"/>
      </w:pPr>
      <w:r>
        <w:rPr>
          <w:rFonts w:ascii="Arial" w:cs="Arial" w:eastAsia="Arial" w:hAnsi="Arial"/>
          <w:b/>
          <w:bCs/>
          <w:color w:val="1B4F72"/>
          <w:sz w:val="22"/>
          <w:szCs w:val="22"/>
        </w:rPr>
        <w:t xml:space="preserve">Operationalisation in Game</w:t>
      </w:r>
    </w:p>
    <w:p>
      <w:pPr>
        <w:spacing w:after="140" w:line="340"/>
      </w:pPr>
      <w:r>
        <w:rPr>
          <w:rFonts w:ascii="Arial" w:cs="Arial" w:eastAsia="Arial" w:hAnsi="Arial"/>
          <w:color w:val="1C2833"/>
          <w:sz w:val="22"/>
          <w:szCs w:val="22"/>
        </w:rPr>
        <w:t xml:space="preserve">The </w:t>
      </w:r>
      <w:r>
        <w:rPr>
          <w:rFonts w:ascii="Arial" w:cs="Arial" w:eastAsia="Arial" w:hAnsi="Arial"/>
          <w:b/>
          <w:bCs/>
          <w:color w:val="1C2833"/>
          <w:sz w:val="22"/>
          <w:szCs w:val="22"/>
        </w:rPr>
        <w:t xml:space="preserve">global temperature</w:t>
      </w:r>
      <w:r>
        <w:rPr>
          <w:rFonts w:ascii="Arial" w:cs="Arial" w:eastAsia="Arial" w:hAnsi="Arial"/>
          <w:color w:val="1C2833"/>
          <w:sz w:val="22"/>
          <w:szCs w:val="22"/>
        </w:rPr>
        <w:t xml:space="preserve"> is the commons. Every building that emits CO₂ (fossil plants at 30–55/cycle, industrial complexes at 8–15/cycle, cities, extractors, manufacturing, and transport emissions) contributes to a shared temperature variable: temperature += totalCycleCO₂ × 0.001 per cycle. Temperature rise imposes happiness penalties on </w:t>
      </w:r>
      <w:r>
        <w:rPr>
          <w:rFonts w:ascii="Arial" w:cs="Arial" w:eastAsia="Arial" w:hAnsi="Arial"/>
          <w:b/>
          <w:bCs/>
          <w:color w:val="1C2833"/>
          <w:sz w:val="22"/>
          <w:szCs w:val="22"/>
        </w:rPr>
        <w:t xml:space="preserve">all</w:t>
      </w:r>
      <w:r>
        <w:rPr>
          <w:rFonts w:ascii="Arial" w:cs="Arial" w:eastAsia="Arial" w:hAnsi="Arial"/>
          <w:color w:val="1C2833"/>
          <w:sz w:val="22"/>
          <w:szCs w:val="22"/>
        </w:rPr>
        <w:t xml:space="preserve"> countries (−2 at +1.5°C, −5 at +2.0°C, −8 at +2.5°C, −12 above +3.0°C) and reduces farm yields (−20% above +2.0°C, −40% above +3.0°C).</w:t>
      </w:r>
    </w:p>
    <w:p>
      <w:pPr>
        <w:spacing w:after="140" w:line="340"/>
      </w:pPr>
      <w:r>
        <w:rPr>
          <w:rFonts w:ascii="Arial" w:cs="Arial" w:eastAsia="Arial" w:hAnsi="Arial"/>
          <w:color w:val="1C2833"/>
          <w:sz w:val="22"/>
          <w:szCs w:val="22"/>
        </w:rPr>
        <w:t xml:space="preserve">The tragedy emerges naturally: fossil plants cost 60 money with zero tech requirement; green plants cost 120 money plus 10 technology. Every rational player prefers fossil for short-term economic efficiency. But if all players choose fossil, temperature spirals and everyone’s happiness collapses, farms fail, and populations shrink. The game reproduces Hardin’s prediction without hard-coding it — players discover the tragedy through play.</w:t>
      </w:r>
    </w:p>
    <w:p>
      <w:pPr>
        <w:spacing w:after="140" w:line="340"/>
      </w:pPr>
      <w:r>
        <w:rPr>
          <w:rFonts w:ascii="Arial" w:cs="Arial" w:eastAsia="Arial" w:hAnsi="Arial"/>
          <w:b/>
          <w:bCs/>
          <w:color w:val="1C2833"/>
          <w:sz w:val="22"/>
          <w:szCs w:val="22"/>
        </w:rPr>
        <w:t xml:space="preserve">Pedagogical value:</w:t>
      </w:r>
      <w:r>
        <w:rPr>
          <w:rFonts w:ascii="Arial" w:cs="Arial" w:eastAsia="Arial" w:hAnsi="Arial"/>
          <w:color w:val="1C2833"/>
          <w:sz w:val="22"/>
          <w:szCs w:val="22"/>
        </w:rPr>
        <w:t xml:space="preserve"> Students experience the structural logic of the tragedy rather than merely reading about it. Post-game discussion can address whether cooperation emerged, what mechanisms enabled it, and whether the game’s outcome aligns with Hardin’s pessimistic prediction or Ostrom’s more optimistic alternative (Section 3.2).</w:t>
      </w:r>
    </w:p>
    <w:p>
      <w:pPr>
        <w:pStyle w:val="Heading2"/>
        <w:spacing w:after="160" w:before="280"/>
      </w:pPr>
      <w:r>
        <w:rPr>
          <w:rFonts w:ascii="Arial" w:cs="Arial" w:eastAsia="Arial" w:hAnsi="Arial"/>
          <w:b/>
          <w:bCs/>
          <w:color w:val="2E86C1"/>
          <w:sz w:val="26"/>
          <w:szCs w:val="26"/>
        </w:rPr>
        <w:t xml:space="preserve">3.2 Polycentric Governance</w:t>
      </w:r>
    </w:p>
    <w:p>
      <w:pPr>
        <w:spacing w:after="140" w:line="340"/>
      </w:pPr>
      <w:r>
        <w:rPr>
          <w:rFonts w:ascii="Arial" w:cs="Arial" w:eastAsia="Arial" w:hAnsi="Arial"/>
          <w:i/>
          <w:iCs/>
          <w:color w:val="566573"/>
          <w:sz w:val="21"/>
          <w:szCs w:val="21"/>
        </w:rPr>
        <w:t xml:space="preserve">Ostrom, E. (1990) Governing the Commons: The Evolution of Institutions for Collective Action. Cambridge: Cambridge University Press.</w:t>
      </w:r>
    </w:p>
    <w:p>
      <w:pPr>
        <w:spacing w:after="140" w:line="340"/>
      </w:pPr>
      <w:r>
        <w:rPr>
          <w:rFonts w:ascii="Arial" w:cs="Arial" w:eastAsia="Arial" w:hAnsi="Arial"/>
          <w:i/>
          <w:iCs/>
          <w:color w:val="566573"/>
          <w:sz w:val="21"/>
          <w:szCs w:val="21"/>
        </w:rPr>
        <w:t xml:space="preserve">Ostrom, E. (2010) ‘Polycentric Systems for Coping with Collective Action and Global Environmental Change’, Global Environmental Change, 20(4), pp. 550–557.</w:t>
      </w:r>
    </w:p>
    <w:p>
      <w:pPr>
        <w:spacing w:after="140" w:line="340"/>
      </w:pPr>
      <w:r>
        <w:rPr>
          <w:rFonts w:ascii="Arial" w:cs="Arial" w:eastAsia="Arial" w:hAnsi="Arial"/>
          <w:color w:val="1C2833"/>
          <w:sz w:val="22"/>
          <w:szCs w:val="22"/>
        </w:rPr>
        <w:t xml:space="preserve">Ostrom (1990) challenged Hardin’s conclusion by demonstrating empirically that commons problems can be solved without privatisation or top-down regulation, through self-governing institutions with clear boundaries, graduated sanctions, conflict-resolution mechanisms, and monitoring. Ostrom (2010) extended this to climate change, arguing that relying entirely on a single global treaty is “fundamentally misguided” and that polycentric governance — multiple overlapping institutions at different scales — is more effective.</w:t>
      </w:r>
    </w:p>
    <w:p>
      <w:pPr>
        <w:pStyle w:val="Heading3"/>
        <w:spacing w:after="120" w:before="200"/>
      </w:pPr>
      <w:r>
        <w:rPr>
          <w:rFonts w:ascii="Arial" w:cs="Arial" w:eastAsia="Arial" w:hAnsi="Arial"/>
          <w:b/>
          <w:bCs/>
          <w:color w:val="1B4F72"/>
          <w:sz w:val="22"/>
          <w:szCs w:val="22"/>
        </w:rPr>
        <w:t xml:space="preserve">Operationalisation in Game</w:t>
      </w:r>
    </w:p>
    <w:p>
      <w:pPr>
        <w:spacing w:after="140" w:line="340"/>
      </w:pPr>
      <w:r>
        <w:rPr>
          <w:rFonts w:ascii="Arial" w:cs="Arial" w:eastAsia="Arial" w:hAnsi="Arial"/>
          <w:color w:val="1C2833"/>
          <w:sz w:val="22"/>
          <w:szCs w:val="22"/>
        </w:rPr>
        <w:t xml:space="preserve">The game implements Ostrom’s polycentric design through </w:t>
      </w:r>
      <w:r>
        <w:rPr>
          <w:rFonts w:ascii="Arial" w:cs="Arial" w:eastAsia="Arial" w:hAnsi="Arial"/>
          <w:b/>
          <w:bCs/>
          <w:color w:val="1C2833"/>
          <w:sz w:val="22"/>
          <w:szCs w:val="22"/>
        </w:rPr>
        <w:t xml:space="preserve">multiple overlapping cooperation layers</w:t>
      </w:r>
      <w:r>
        <w:rPr>
          <w:rFonts w:ascii="Arial" w:cs="Arial" w:eastAsia="Arial" w:hAnsi="Arial"/>
          <w:color w:val="1C2833"/>
          <w:sz w:val="22"/>
          <w:szCs w:val="22"/>
        </w:rPr>
        <w:t xml:space="preserve"> at different scales:</w:t>
      </w:r>
    </w:p>
    <w:p>
      <w:pPr>
        <w:pStyle w:val="ListParagraph"/>
        <w:numPr>
          <w:ilvl w:val="0"/>
          <w:numId w:val="2"/>
        </w:numPr>
        <w:spacing w:after="100" w:line="340"/>
      </w:pPr>
      <w:r>
        <w:rPr>
          <w:rFonts w:ascii="Arial" w:cs="Arial" w:eastAsia="Arial" w:hAnsi="Arial"/>
          <w:b/>
          <w:bCs/>
          <w:color w:val="1C2833"/>
          <w:sz w:val="22"/>
          <w:szCs w:val="22"/>
        </w:rPr>
        <w:t xml:space="preserve">Bilateral trade agreements</w:t>
      </w:r>
      <w:r>
        <w:rPr>
          <w:rFonts w:ascii="Arial" w:cs="Arial" w:eastAsia="Arial" w:hAnsi="Arial"/>
          <w:color w:val="1C2833"/>
          <w:sz w:val="22"/>
          <w:szCs w:val="22"/>
        </w:rPr>
        <w:t xml:space="preserve"> (micro level) — two countries negotiate resource exchanges, building trust incrementally (+3 relations per completed trade, +1 per cycle of continuous trade).</w:t>
      </w:r>
    </w:p>
    <w:p>
      <w:pPr>
        <w:pStyle w:val="ListParagraph"/>
        <w:numPr>
          <w:ilvl w:val="0"/>
          <w:numId w:val="2"/>
        </w:numPr>
        <w:spacing w:after="100" w:line="340"/>
      </w:pPr>
      <w:r>
        <w:rPr>
          <w:rFonts w:ascii="Arial" w:cs="Arial" w:eastAsia="Arial" w:hAnsi="Arial"/>
          <w:b/>
          <w:bCs/>
          <w:color w:val="1C2833"/>
          <w:sz w:val="22"/>
          <w:szCs w:val="22"/>
        </w:rPr>
        <w:t xml:space="preserve">Transit agreements</w:t>
      </w:r>
      <w:r>
        <w:rPr>
          <w:rFonts w:ascii="Arial" w:cs="Arial" w:eastAsia="Arial" w:hAnsi="Arial"/>
          <w:color w:val="1C2833"/>
          <w:sz w:val="22"/>
          <w:szCs w:val="22"/>
        </w:rPr>
        <w:t xml:space="preserve"> (meso level) — three-party arrangements where intermediate countries approve passage, set fees, and can revoke access. Transit auto-cancels when relations drop below 30, implementing Ostrom’s graduated sanctions principle.</w:t>
      </w:r>
    </w:p>
    <w:p>
      <w:pPr>
        <w:pStyle w:val="ListParagraph"/>
        <w:numPr>
          <w:ilvl w:val="0"/>
          <w:numId w:val="2"/>
        </w:numPr>
        <w:spacing w:after="100" w:line="340"/>
      </w:pPr>
      <w:r>
        <w:rPr>
          <w:rFonts w:ascii="Arial" w:cs="Arial" w:eastAsia="Arial" w:hAnsi="Arial"/>
          <w:b/>
          <w:bCs/>
          <w:color w:val="1C2833"/>
          <w:sz w:val="22"/>
          <w:szCs w:val="22"/>
        </w:rPr>
        <w:t xml:space="preserve">Summit resolutions</w:t>
      </w:r>
      <w:r>
        <w:rPr>
          <w:rFonts w:ascii="Arial" w:cs="Arial" w:eastAsia="Arial" w:hAnsi="Arial"/>
          <w:color w:val="1C2833"/>
          <w:sz w:val="22"/>
          <w:szCs w:val="22"/>
        </w:rPr>
        <w:t xml:space="preserve"> (macro level) — all 8 countries vote on binding resolutions (carbon tax floors, climate finance pledges, emission targets). Non-compliance triggers −4 relations per cycle from YES-voters, not immediate expulsion — graduated, not binary.</w:t>
      </w:r>
    </w:p>
    <w:p>
      <w:pPr>
        <w:pStyle w:val="ListParagraph"/>
        <w:numPr>
          <w:ilvl w:val="0"/>
          <w:numId w:val="2"/>
        </w:numPr>
        <w:spacing w:after="100" w:line="340"/>
      </w:pPr>
      <w:r>
        <w:rPr>
          <w:rFonts w:ascii="Arial" w:cs="Arial" w:eastAsia="Arial" w:hAnsi="Arial"/>
          <w:b/>
          <w:bCs/>
          <w:color w:val="1C2833"/>
          <w:sz w:val="22"/>
          <w:szCs w:val="22"/>
        </w:rPr>
        <w:t xml:space="preserve">Relations system</w:t>
      </w:r>
      <w:r>
        <w:rPr>
          <w:rFonts w:ascii="Arial" w:cs="Arial" w:eastAsia="Arial" w:hAnsi="Arial"/>
          <w:color w:val="1C2833"/>
          <w:sz w:val="22"/>
          <w:szCs w:val="22"/>
        </w:rPr>
        <w:t xml:space="preserve"> (monitoring) — 17 event types automatically track every diplomatic interaction. Trade partners see full history; non-partners see only a score. This is Ostrom’s monitoring principle: repeated interaction builds observable track records.</w:t>
      </w:r>
    </w:p>
    <w:p>
      <w:pPr>
        <w:pStyle w:val="ListParagraph"/>
        <w:numPr>
          <w:ilvl w:val="0"/>
          <w:numId w:val="2"/>
        </w:numPr>
        <w:spacing w:after="100" w:line="340"/>
      </w:pPr>
      <w:r>
        <w:rPr>
          <w:rFonts w:ascii="Arial" w:cs="Arial" w:eastAsia="Arial" w:hAnsi="Arial"/>
          <w:b/>
          <w:bCs/>
          <w:color w:val="1C2833"/>
          <w:sz w:val="22"/>
          <w:szCs w:val="22"/>
        </w:rPr>
        <w:t xml:space="preserve">Comparison dashboard</w:t>
      </w:r>
      <w:r>
        <w:rPr>
          <w:rFonts w:ascii="Arial" w:cs="Arial" w:eastAsia="Arial" w:hAnsi="Arial"/>
          <w:color w:val="1C2833"/>
          <w:sz w:val="22"/>
          <w:szCs w:val="22"/>
        </w:rPr>
        <w:t xml:space="preserve"> (transparency) — all countries’ environmental performance is publicly ranked. Pioneer/laggard labelling creates social pressure without coercion, paralleling Ostrom’s emphasis on information and accountability.</w:t>
      </w:r>
    </w:p>
    <w:p>
      <w:pPr>
        <w:spacing w:after="140" w:line="340"/>
      </w:pPr>
      <w:r>
        <w:rPr>
          <w:rFonts w:ascii="Arial" w:cs="Arial" w:eastAsia="Arial" w:hAnsi="Arial"/>
          <w:color w:val="1C2833"/>
          <w:sz w:val="22"/>
          <w:szCs w:val="22"/>
        </w:rPr>
        <w:t xml:space="preserve">The Paris Agreement’s architecture — nationally determined contributions with peer review rather than top-down enforcement — largely follows Ostrom’s polycentric approach (Jordan et al., 2015). The game’s combination of voluntary commitments (carbon tax slider), peer pressure (dashboard), graduated sanctions (relations thresholds), and collective decision-making (summits) mirrors this structure.</w:t>
      </w:r>
    </w:p>
    <w:p>
      <w:r>
        <w:br w:type="page"/>
      </w:r>
    </w:p>
    <w:p>
      <w:pPr>
        <w:pStyle w:val="Heading2"/>
        <w:spacing w:after="160" w:before="280"/>
      </w:pPr>
      <w:r>
        <w:rPr>
          <w:rFonts w:ascii="Arial" w:cs="Arial" w:eastAsia="Arial" w:hAnsi="Arial"/>
          <w:b/>
          <w:bCs/>
          <w:color w:val="2E86C1"/>
          <w:sz w:val="26"/>
          <w:szCs w:val="26"/>
        </w:rPr>
        <w:t xml:space="preserve">3.3 Two-Level Games</w:t>
      </w:r>
    </w:p>
    <w:p>
      <w:pPr>
        <w:spacing w:after="140" w:line="340"/>
      </w:pPr>
      <w:r>
        <w:rPr>
          <w:rFonts w:ascii="Arial" w:cs="Arial" w:eastAsia="Arial" w:hAnsi="Arial"/>
          <w:i/>
          <w:iCs/>
          <w:color w:val="566573"/>
          <w:sz w:val="21"/>
          <w:szCs w:val="21"/>
        </w:rPr>
        <w:t xml:space="preserve">Putnam, R.D. (1988) ‘Diplomacy and Domestic Politics: The Logic of Two-Level Games’, International Organization, 42(3), pp. 427–460.</w:t>
      </w:r>
    </w:p>
    <w:p>
      <w:pPr>
        <w:spacing w:after="140" w:line="340"/>
      </w:pPr>
      <w:r>
        <w:rPr>
          <w:rFonts w:ascii="Arial" w:cs="Arial" w:eastAsia="Arial" w:hAnsi="Arial"/>
          <w:color w:val="1C2833"/>
          <w:sz w:val="22"/>
          <w:szCs w:val="22"/>
        </w:rPr>
        <w:t xml:space="preserve">Putnam (1988) theorised that international negotiations are played simultaneously at two levels. At </w:t>
      </w:r>
      <w:r>
        <w:rPr>
          <w:rFonts w:ascii="Arial" w:cs="Arial" w:eastAsia="Arial" w:hAnsi="Arial"/>
          <w:b/>
          <w:bCs/>
          <w:color w:val="1C2833"/>
          <w:sz w:val="22"/>
          <w:szCs w:val="22"/>
        </w:rPr>
        <w:t xml:space="preserve">Level I</w:t>
      </w:r>
      <w:r>
        <w:rPr>
          <w:rFonts w:ascii="Arial" w:cs="Arial" w:eastAsia="Arial" w:hAnsi="Arial"/>
          <w:color w:val="1C2833"/>
          <w:sz w:val="22"/>
          <w:szCs w:val="22"/>
        </w:rPr>
        <w:t xml:space="preserve"> (international), negotiators seek agreements with foreign counterparts. At </w:t>
      </w:r>
      <w:r>
        <w:rPr>
          <w:rFonts w:ascii="Arial" w:cs="Arial" w:eastAsia="Arial" w:hAnsi="Arial"/>
          <w:b/>
          <w:bCs/>
          <w:color w:val="1C2833"/>
          <w:sz w:val="22"/>
          <w:szCs w:val="22"/>
        </w:rPr>
        <w:t xml:space="preserve">Level II</w:t>
      </w:r>
      <w:r>
        <w:rPr>
          <w:rFonts w:ascii="Arial" w:cs="Arial" w:eastAsia="Arial" w:hAnsi="Arial"/>
          <w:color w:val="1C2833"/>
          <w:sz w:val="22"/>
          <w:szCs w:val="22"/>
        </w:rPr>
        <w:t xml:space="preserve"> (domestic), they must secure ratification from domestic constituents. The overlap between what is internationally negotiable and domestically ratifiable is the </w:t>
      </w:r>
      <w:r>
        <w:rPr>
          <w:rFonts w:ascii="Arial" w:cs="Arial" w:eastAsia="Arial" w:hAnsi="Arial"/>
          <w:b/>
          <w:bCs/>
          <w:color w:val="1C2833"/>
          <w:sz w:val="22"/>
          <w:szCs w:val="22"/>
        </w:rPr>
        <w:t xml:space="preserve">win-set</w:t>
      </w:r>
      <w:r>
        <w:rPr>
          <w:rFonts w:ascii="Arial" w:cs="Arial" w:eastAsia="Arial" w:hAnsi="Arial"/>
          <w:color w:val="1C2833"/>
          <w:sz w:val="22"/>
          <w:szCs w:val="22"/>
        </w:rPr>
        <w:t xml:space="preserve">. A larger win-set makes international agreement easier but reduces the negotiator’s bargaining leverage.</w:t>
      </w:r>
    </w:p>
    <w:p>
      <w:pPr>
        <w:pStyle w:val="Heading3"/>
        <w:spacing w:after="120" w:before="200"/>
      </w:pPr>
      <w:r>
        <w:rPr>
          <w:rFonts w:ascii="Arial" w:cs="Arial" w:eastAsia="Arial" w:hAnsi="Arial"/>
          <w:b/>
          <w:bCs/>
          <w:color w:val="1B4F72"/>
          <w:sz w:val="22"/>
          <w:szCs w:val="22"/>
        </w:rPr>
        <w:t xml:space="preserve">Operationalisation in Game</w:t>
      </w:r>
    </w:p>
    <w:p>
      <w:pPr>
        <w:spacing w:after="140" w:line="340"/>
      </w:pPr>
      <w:r>
        <w:rPr>
          <w:rFonts w:ascii="Arial" w:cs="Arial" w:eastAsia="Arial" w:hAnsi="Arial"/>
          <w:color w:val="1C2833"/>
          <w:sz w:val="22"/>
          <w:szCs w:val="22"/>
        </w:rPr>
        <w:t xml:space="preserve">The game’s </w:t>
      </w:r>
      <w:r>
        <w:rPr>
          <w:rFonts w:ascii="Arial" w:cs="Arial" w:eastAsia="Arial" w:hAnsi="Arial"/>
          <w:b/>
          <w:bCs/>
          <w:color w:val="1C2833"/>
          <w:sz w:val="22"/>
          <w:szCs w:val="22"/>
        </w:rPr>
        <w:t xml:space="preserve">summit resolution</w:t>
      </w:r>
      <w:r>
        <w:rPr>
          <w:rFonts w:ascii="Arial" w:cs="Arial" w:eastAsia="Arial" w:hAnsi="Arial"/>
          <w:color w:val="1C2833"/>
          <w:sz w:val="22"/>
          <w:szCs w:val="22"/>
        </w:rPr>
        <w:t xml:space="preserve"> mechanic is a direct implementation of the two-level game. At Level I, all 8 players vote on a resolution (e.g., “Carbon tax floor ≥ 30”). At Level II, each player’s </w:t>
      </w:r>
      <w:r>
        <w:rPr>
          <w:rFonts w:ascii="Arial" w:cs="Arial" w:eastAsia="Arial" w:hAnsi="Arial"/>
          <w:b/>
          <w:bCs/>
          <w:color w:val="1C2833"/>
          <w:sz w:val="22"/>
          <w:szCs w:val="22"/>
        </w:rPr>
        <w:t xml:space="preserve">domestic faction balance</w:t>
      </w:r>
      <w:r>
        <w:rPr>
          <w:rFonts w:ascii="Arial" w:cs="Arial" w:eastAsia="Arial" w:hAnsi="Arial"/>
          <w:color w:val="1C2833"/>
          <w:sz w:val="22"/>
          <w:szCs w:val="22"/>
        </w:rPr>
        <w:t xml:space="preserve"> (Section 3.4) determines whether voting YES is politically survivable.</w:t>
      </w:r>
    </w:p>
    <w:p>
      <w:pPr>
        <w:spacing w:after="140" w:line="340"/>
      </w:pPr>
      <w:r>
        <w:rPr>
          <w:rFonts w:ascii="Arial" w:cs="Arial" w:eastAsia="Arial" w:hAnsi="Arial"/>
          <w:b/>
          <w:bCs/>
          <w:color w:val="1C2833"/>
          <w:sz w:val="22"/>
          <w:szCs w:val="22"/>
        </w:rPr>
        <w:t xml:space="preserve">Example:</w:t>
      </w:r>
      <w:r>
        <w:rPr>
          <w:rFonts w:ascii="Arial" w:cs="Arial" w:eastAsia="Arial" w:hAnsi="Arial"/>
          <w:color w:val="1C2833"/>
          <w:sz w:val="22"/>
          <w:szCs w:val="22"/>
        </w:rPr>
        <w:t xml:space="preserve"> OPEC has 90% brown faction (legacy weight 9 brown, 1 green; derived from World Bank oil rents data of 20–40% GDP). If OPEC votes YES on a carbon tax floor of 30, the brown faction loses −6 satisfaction (−30/5). At 90% weight, this translates to roughly −5.4 happiness. OPEC is already at happiness 70; this pushes toward the “concerned” band (50–70) and risks cascading into unrest if combined with other penalties. OPEC’s win-set is effectively empty on high carbon tax resolutions — no domestically acceptable agreement exists.</w:t>
      </w:r>
    </w:p>
    <w:p>
      <w:pPr>
        <w:spacing w:after="140" w:line="340"/>
      </w:pPr>
      <w:r>
        <w:rPr>
          <w:rFonts w:ascii="Arial" w:cs="Arial" w:eastAsia="Arial" w:hAnsi="Arial"/>
          <w:color w:val="1C2833"/>
          <w:sz w:val="22"/>
          <w:szCs w:val="22"/>
        </w:rPr>
        <w:t xml:space="preserve">Conversely, the EU’s 70% green faction means voting YES on the same resolution </w:t>
      </w:r>
      <w:r>
        <w:rPr>
          <w:rFonts w:ascii="Arial" w:cs="Arial" w:eastAsia="Arial" w:hAnsi="Arial"/>
          <w:b/>
          <w:bCs/>
          <w:color w:val="1C2833"/>
          <w:sz w:val="22"/>
          <w:szCs w:val="22"/>
        </w:rPr>
        <w:t xml:space="preserve">gains</w:t>
      </w:r>
      <w:r>
        <w:rPr>
          <w:rFonts w:ascii="Arial" w:cs="Arial" w:eastAsia="Arial" w:hAnsi="Arial"/>
          <w:color w:val="1C2833"/>
          <w:sz w:val="22"/>
          <w:szCs w:val="22"/>
        </w:rPr>
        <w:t xml:space="preserve"> happiness (green satisfaction rises, green faction dominates). The EU’s win-set is wide. This asymmetry — derived from real-world economic structure data — reproduces the COP negotiation dynamic where EU pushes ambition and fossil-dependent states resist.</w:t>
      </w:r>
    </w:p>
    <w:p>
      <w:pPr>
        <w:spacing w:after="140" w:line="340"/>
      </w:pPr>
      <w:r>
        <w:rPr>
          <w:rFonts w:ascii="Arial" w:cs="Arial" w:eastAsia="Arial" w:hAnsi="Arial"/>
          <w:b/>
          <w:bCs/>
          <w:color w:val="1C2833"/>
          <w:sz w:val="22"/>
          <w:szCs w:val="22"/>
        </w:rPr>
        <w:t xml:space="preserve">The win-set is dynamic:</w:t>
      </w:r>
      <w:r>
        <w:rPr>
          <w:rFonts w:ascii="Arial" w:cs="Arial" w:eastAsia="Arial" w:hAnsi="Arial"/>
          <w:color w:val="1C2833"/>
          <w:sz w:val="22"/>
          <w:szCs w:val="22"/>
        </w:rPr>
        <w:t xml:space="preserve"> building green infrastructure expands the win-set (green faction grows). Building fossil contracts it. This is exactly Putnam’s prediction: domestic structural change enables or constrains international cooperation.</w:t>
      </w:r>
    </w:p>
    <w:p>
      <w:pPr>
        <w:pStyle w:val="Heading2"/>
        <w:spacing w:after="160" w:before="280"/>
      </w:pPr>
      <w:r>
        <w:rPr>
          <w:rFonts w:ascii="Arial" w:cs="Arial" w:eastAsia="Arial" w:hAnsi="Arial"/>
          <w:b/>
          <w:bCs/>
          <w:color w:val="2E86C1"/>
          <w:sz w:val="26"/>
          <w:szCs w:val="26"/>
        </w:rPr>
        <w:t xml:space="preserve">3.4 Green-Brown Establishment Balance</w:t>
      </w:r>
    </w:p>
    <w:p>
      <w:pPr>
        <w:spacing w:after="140" w:line="340"/>
      </w:pPr>
      <w:r>
        <w:rPr>
          <w:rFonts w:ascii="Arial" w:cs="Arial" w:eastAsia="Arial" w:hAnsi="Arial"/>
          <w:i/>
          <w:iCs/>
          <w:color w:val="566573"/>
          <w:sz w:val="21"/>
          <w:szCs w:val="21"/>
        </w:rPr>
        <w:t xml:space="preserve">Mezzanotti, F. and Starkman, R. (CEPR Discussion Paper No. 20578) ‘Climate Politics in the United States’. London: Centre for Economic Policy Research.</w:t>
      </w:r>
    </w:p>
    <w:p>
      <w:pPr>
        <w:spacing w:after="140" w:line="340"/>
      </w:pPr>
      <w:r>
        <w:rPr>
          <w:rFonts w:ascii="Arial" w:cs="Arial" w:eastAsia="Arial" w:hAnsi="Arial"/>
          <w:i/>
          <w:iCs/>
          <w:color w:val="566573"/>
          <w:sz w:val="21"/>
          <w:szCs w:val="21"/>
        </w:rPr>
        <w:t xml:space="preserve">Data sources: IEA (2024) World Energy Employment; IRENA and ILO (2024) Renewable Energy and Jobs; World Bank (2023) Oil Rents (% of GDP).</w:t>
      </w:r>
    </w:p>
    <w:p>
      <w:pPr>
        <w:spacing w:after="140" w:line="340"/>
      </w:pPr>
      <w:r>
        <w:rPr>
          <w:rFonts w:ascii="Arial" w:cs="Arial" w:eastAsia="Arial" w:hAnsi="Arial"/>
          <w:color w:val="1C2833"/>
          <w:sz w:val="22"/>
          <w:szCs w:val="22"/>
        </w:rPr>
        <w:t xml:space="preserve">Mezzanotti and Starkman find empirically that the ratio of green to brown </w:t>
      </w:r>
      <w:r>
        <w:rPr>
          <w:rFonts w:ascii="Arial" w:cs="Arial" w:eastAsia="Arial" w:hAnsi="Arial"/>
          <w:b/>
          <w:bCs/>
          <w:color w:val="1C2833"/>
          <w:sz w:val="22"/>
          <w:szCs w:val="22"/>
        </w:rPr>
        <w:t xml:space="preserve">establishments</w:t>
      </w:r>
      <w:r>
        <w:rPr>
          <w:rFonts w:ascii="Arial" w:cs="Arial" w:eastAsia="Arial" w:hAnsi="Arial"/>
          <w:color w:val="1C2833"/>
          <w:sz w:val="22"/>
          <w:szCs w:val="22"/>
        </w:rPr>
        <w:t xml:space="preserve"> (businesses/factories) in a US congressional district predicts legislative voting on climate policy. Districts with more green establishments vote for climate legislation; districts with more brown establishments vote against. This is not ideology — it is economic self-interest driven by local job composition.</w:t>
      </w:r>
    </w:p>
    <w:p>
      <w:pPr>
        <w:pStyle w:val="Heading3"/>
        <w:spacing w:after="120" w:before="200"/>
      </w:pPr>
      <w:r>
        <w:rPr>
          <w:rFonts w:ascii="Arial" w:cs="Arial" w:eastAsia="Arial" w:hAnsi="Arial"/>
          <w:b/>
          <w:bCs/>
          <w:color w:val="1B4F72"/>
          <w:sz w:val="22"/>
          <w:szCs w:val="22"/>
        </w:rPr>
        <w:t xml:space="preserve">Operationalisation in Game</w:t>
      </w:r>
    </w:p>
    <w:p>
      <w:pPr>
        <w:spacing w:after="140" w:line="340"/>
      </w:pPr>
      <w:r>
        <w:rPr>
          <w:rFonts w:ascii="Arial" w:cs="Arial" w:eastAsia="Arial" w:hAnsi="Arial"/>
          <w:color w:val="1C2833"/>
          <w:sz w:val="22"/>
          <w:szCs w:val="22"/>
        </w:rPr>
        <w:t xml:space="preserve">Each country has two factions: </w:t>
      </w:r>
      <w:r>
        <w:rPr>
          <w:rFonts w:ascii="Arial" w:cs="Arial" w:eastAsia="Arial" w:hAnsi="Arial"/>
          <w:b/>
          <w:bCs/>
          <w:color w:val="1C2833"/>
          <w:sz w:val="22"/>
          <w:szCs w:val="22"/>
        </w:rPr>
        <w:t xml:space="preserve">Brown</w:t>
      </w:r>
      <w:r>
        <w:rPr>
          <w:rFonts w:ascii="Arial" w:cs="Arial" w:eastAsia="Arial" w:hAnsi="Arial"/>
          <w:color w:val="1C2833"/>
          <w:sz w:val="22"/>
          <w:szCs w:val="22"/>
        </w:rPr>
        <w:t xml:space="preserve"> (pro-fossil, anti-regulation) and </w:t>
      </w:r>
      <w:r>
        <w:rPr>
          <w:rFonts w:ascii="Arial" w:cs="Arial" w:eastAsia="Arial" w:hAnsi="Arial"/>
          <w:b/>
          <w:bCs/>
          <w:color w:val="1C2833"/>
          <w:sz w:val="22"/>
          <w:szCs w:val="22"/>
        </w:rPr>
        <w:t xml:space="preserve">Green</w:t>
      </w:r>
      <w:r>
        <w:rPr>
          <w:rFonts w:ascii="Arial" w:cs="Arial" w:eastAsia="Arial" w:hAnsi="Arial"/>
          <w:color w:val="1C2833"/>
          <w:sz w:val="22"/>
          <w:szCs w:val="22"/>
        </w:rPr>
        <w:t xml:space="preserve"> (pro-sustainability, pro-regulation). Faction percentage is calculated dynamically:</w:t>
      </w:r>
    </w:p>
    <w:p>
      <w:pPr>
        <w:spacing w:after="140" w:line="340"/>
      </w:pPr>
      <w:r>
        <w:rPr>
          <w:rFonts w:ascii="Arial" w:cs="Arial" w:eastAsia="Arial" w:hAnsi="Arial"/>
          <w:color w:val="1C2833"/>
          <w:sz w:val="22"/>
          <w:szCs w:val="22"/>
        </w:rPr>
        <w:t xml:space="preserve">brown% = (legacy</w:t>
      </w:r>
      <w:r>
        <w:rPr>
          <w:rFonts w:ascii="Arial" w:cs="Arial" w:eastAsia="Arial" w:hAnsi="Arial"/>
          <w:i/>
          <w:iCs/>
          <w:color w:val="566573"/>
          <w:sz w:val="22"/>
          <w:szCs w:val="22"/>
        </w:rPr>
        <w:t xml:space="preserve">brown + brown</w:t>
      </w:r>
      <w:r>
        <w:rPr>
          <w:rFonts w:ascii="Arial" w:cs="Arial" w:eastAsia="Arial" w:hAnsi="Arial"/>
          <w:color w:val="1C2833"/>
          <w:sz w:val="22"/>
          <w:szCs w:val="22"/>
        </w:rPr>
        <w:t xml:space="preserve">building</w:t>
      </w:r>
      <w:r>
        <w:rPr>
          <w:rFonts w:ascii="Arial" w:cs="Arial" w:eastAsia="Arial" w:hAnsi="Arial"/>
          <w:i/>
          <w:iCs/>
          <w:color w:val="566573"/>
          <w:sz w:val="22"/>
          <w:szCs w:val="22"/>
        </w:rPr>
        <w:t xml:space="preserve">count) / (legacy</w:t>
      </w:r>
      <w:r>
        <w:rPr>
          <w:rFonts w:ascii="Arial" w:cs="Arial" w:eastAsia="Arial" w:hAnsi="Arial"/>
          <w:color w:val="1C2833"/>
          <w:sz w:val="22"/>
          <w:szCs w:val="22"/>
        </w:rPr>
        <w:t xml:space="preserve">brown + legacy</w:t>
      </w:r>
      <w:r>
        <w:rPr>
          <w:rFonts w:ascii="Arial" w:cs="Arial" w:eastAsia="Arial" w:hAnsi="Arial"/>
          <w:i/>
          <w:iCs/>
          <w:color w:val="566573"/>
          <w:sz w:val="22"/>
          <w:szCs w:val="22"/>
        </w:rPr>
        <w:t xml:space="preserve">green + total</w:t>
      </w:r>
      <w:r>
        <w:rPr>
          <w:rFonts w:ascii="Arial" w:cs="Arial" w:eastAsia="Arial" w:hAnsi="Arial"/>
          <w:color w:val="1C2833"/>
          <w:sz w:val="22"/>
          <w:szCs w:val="22"/>
        </w:rPr>
        <w:t xml:space="preserve">building_count)</w:t>
      </w:r>
    </w:p>
    <w:p>
      <w:pPr>
        <w:spacing w:after="140" w:line="340"/>
      </w:pPr>
      <w:r>
        <w:rPr>
          <w:rFonts w:ascii="Arial" w:cs="Arial" w:eastAsia="Arial" w:hAnsi="Arial"/>
          <w:b/>
          <w:bCs/>
          <w:color w:val="1C2833"/>
          <w:sz w:val="22"/>
          <w:szCs w:val="22"/>
        </w:rPr>
        <w:t xml:space="preserve">Building classification:</w:t>
      </w:r>
      <w:r>
        <w:rPr>
          <w:rFonts w:ascii="Arial" w:cs="Arial" w:eastAsia="Arial" w:hAnsi="Arial"/>
          <w:color w:val="1C2833"/>
          <w:sz w:val="22"/>
          <w:szCs w:val="22"/>
        </w:rPr>
        <w:t xml:space="preserve"> Fossil Plant, Extractor, Industrial Complex = Brown. Green Plant, Nuclear Plant, Manufacturing, Farm = Green. City, Transport Hub = Neutral (0.5 each).</w:t>
      </w:r>
    </w:p>
    <w:p>
      <w:pPr>
        <w:spacing w:after="140" w:line="340"/>
      </w:pPr>
      <w:r>
        <w:rPr>
          <w:rFonts w:ascii="Arial" w:cs="Arial" w:eastAsia="Arial" w:hAnsi="Arial"/>
          <w:b/>
          <w:bCs/>
          <w:color w:val="1C2833"/>
          <w:sz w:val="22"/>
          <w:szCs w:val="22"/>
        </w:rPr>
        <w:t xml:space="preserve">Starting legacy weights</w:t>
      </w:r>
      <w:r>
        <w:rPr>
          <w:rFonts w:ascii="Arial" w:cs="Arial" w:eastAsia="Arial" w:hAnsi="Arial"/>
          <w:color w:val="1C2833"/>
          <w:sz w:val="22"/>
          <w:szCs w:val="22"/>
        </w:rPr>
        <w:t xml:space="preserve"> are derived from real-world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900"/>
        <w:gridCol w:w="900"/>
        <w:gridCol w:w="5560"/>
      </w:tblGrid>
      <w:tr>
        <w:trPr>
          <w:tblHeader/>
        </w:trPr>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Country</w:t>
            </w:r>
          </w:p>
        </w:tc>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Brown</w:t>
            </w:r>
          </w:p>
        </w:tc>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Green</w:t>
            </w:r>
          </w:p>
        </w:tc>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Start %</w:t>
            </w:r>
          </w:p>
        </w:tc>
        <w:tc>
          <w:tcPr>
            <w:tcW w:type="dxa" w:w="5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Data Source</w:t>
            </w:r>
          </w:p>
        </w:tc>
      </w:tr>
      <w:tr>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USA</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6</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4</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60/40</w:t>
            </w:r>
          </w:p>
        </w:tc>
        <w:tc>
          <w:tcPr>
            <w:tcW w:type="dxa" w:w="5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Mixed fossil/services economy; oil rents ~1.5% GDP (World Bank, 2023)</w:t>
            </w:r>
          </w:p>
        </w:tc>
      </w:tr>
      <w:tr>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EU</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3</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7</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30/70</w:t>
            </w:r>
          </w:p>
        </w:tc>
        <w:tc>
          <w:tcPr>
            <w:tcW w:type="dxa" w:w="5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1.8M renewable jobs (IRENA/ILO, 2024); lowest fossil dependence</w:t>
            </w:r>
          </w:p>
        </w:tc>
      </w:tr>
      <w:tr>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Russia</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8</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2</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80/20</w:t>
            </w:r>
          </w:p>
        </w:tc>
        <w:tc>
          <w:tcPr>
            <w:tcW w:type="dxa" w:w="5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Oil rents 9.7% GDP (World Bank, 2023); structural fossil dependence</w:t>
            </w:r>
          </w:p>
        </w:tc>
      </w:tr>
      <w:tr>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China</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5</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5</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50/50</w:t>
            </w:r>
          </w:p>
        </w:tc>
        <w:tc>
          <w:tcPr>
            <w:tcW w:type="dxa" w:w="5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60% clean energy workforce (IEA, 2024) but massive coal sector</w:t>
            </w:r>
          </w:p>
        </w:tc>
      </w:tr>
      <w:tr>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India</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4</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6</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40/60</w:t>
            </w:r>
          </w:p>
        </w:tc>
        <w:tc>
          <w:tcPr>
            <w:tcW w:type="dxa" w:w="5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Low industrialisation; 1.3M renewable jobs; agricultural base</w:t>
            </w:r>
          </w:p>
        </w:tc>
      </w:tr>
      <w:tr>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OPEC</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9</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1</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90/10</w:t>
            </w:r>
          </w:p>
        </w:tc>
        <w:tc>
          <w:tcPr>
            <w:tcW w:type="dxa" w:w="5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Oil rents 20–40% GDP (World Bank, 2023); economy IS fossil</w:t>
            </w:r>
          </w:p>
        </w:tc>
      </w:tr>
      <w:tr>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LatAm</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3</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7</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30/70</w:t>
            </w:r>
          </w:p>
        </w:tc>
        <w:tc>
          <w:tcPr>
            <w:tcW w:type="dxa" w:w="5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Hydro-dominant; 1.4M renewable jobs in Brazil alone</w:t>
            </w:r>
          </w:p>
        </w:tc>
      </w:tr>
      <w:tr>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Africa</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5</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5</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50/50</w:t>
            </w:r>
          </w:p>
        </w:tc>
        <w:tc>
          <w:tcPr>
            <w:tcW w:type="dxa" w:w="5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Mineral extraction vs. agricultural/low-industrial base</w:t>
            </w:r>
          </w:p>
        </w:tc>
      </w:tr>
    </w:tbl>
    <w:p>
      <w:pPr>
        <w:spacing w:after="140" w:line="340"/>
      </w:pPr>
      <w:r>
        <w:rPr>
          <w:rFonts w:ascii="Arial" w:cs="Arial" w:eastAsia="Arial" w:hAnsi="Arial"/>
          <w:color w:val="1C2833"/>
          <w:sz w:val="22"/>
          <w:szCs w:val="22"/>
        </w:rPr>
        <w:t xml:space="preserve">Faction satisfaction (0–100) shifts from in-game events: building construction (±3–5), carbon tax changes (±N/5), summit votes (±3–5), and CO₂ trends (±3). The weighted satisfaction feeds into national happiness: modifier = (brown% × brown</w:t>
      </w:r>
      <w:r>
        <w:rPr>
          <w:rFonts w:ascii="Arial" w:cs="Arial" w:eastAsia="Arial" w:hAnsi="Arial"/>
          <w:i/>
          <w:iCs/>
          <w:color w:val="566573"/>
          <w:sz w:val="22"/>
          <w:szCs w:val="22"/>
        </w:rPr>
        <w:t xml:space="preserve">satisfaction + green% × green</w:t>
      </w:r>
      <w:r>
        <w:rPr>
          <w:rFonts w:ascii="Arial" w:cs="Arial" w:eastAsia="Arial" w:hAnsi="Arial"/>
          <w:color w:val="1C2833"/>
          <w:sz w:val="22"/>
          <w:szCs w:val="22"/>
        </w:rPr>
        <w:t xml:space="preserve">satisfaction) / 100. Net effect = modifier − 60 (centred at neutral).</w:t>
      </w:r>
    </w:p>
    <w:p>
      <w:pPr>
        <w:spacing w:after="140" w:line="340"/>
      </w:pPr>
      <w:r>
        <w:rPr>
          <w:rFonts w:ascii="Arial" w:cs="Arial" w:eastAsia="Arial" w:hAnsi="Arial"/>
          <w:b/>
          <w:bCs/>
          <w:color w:val="1C2833"/>
          <w:sz w:val="22"/>
          <w:szCs w:val="22"/>
        </w:rPr>
        <w:t xml:space="preserve">Path dependency</w:t>
      </w:r>
      <w:r>
        <w:rPr>
          <w:rFonts w:ascii="Arial" w:cs="Arial" w:eastAsia="Arial" w:hAnsi="Arial"/>
          <w:color w:val="1C2833"/>
          <w:sz w:val="22"/>
          <w:szCs w:val="22"/>
        </w:rPr>
        <w:t xml:space="preserve"> (Pierson, 2000): OPEC at 90% brown means even building 4 green plants only shifts the ratio to 64% brown. Legacy economic structure constrains political transformation — exactly the lock-in effect the energy transition literature describes.</w:t>
      </w:r>
    </w:p>
    <w:p>
      <w:r>
        <w:br w:type="page"/>
      </w:r>
    </w:p>
    <w:p>
      <w:pPr>
        <w:pStyle w:val="Heading2"/>
        <w:spacing w:after="160" w:before="280"/>
      </w:pPr>
      <w:r>
        <w:rPr>
          <w:rFonts w:ascii="Arial" w:cs="Arial" w:eastAsia="Arial" w:hAnsi="Arial"/>
          <w:b/>
          <w:bCs/>
          <w:color w:val="2E86C1"/>
          <w:sz w:val="26"/>
          <w:szCs w:val="26"/>
        </w:rPr>
        <w:t xml:space="preserve">3.5 Pioneer/Laggard Gap Approach</w:t>
      </w:r>
    </w:p>
    <w:p>
      <w:pPr>
        <w:spacing w:after="140" w:line="340"/>
      </w:pPr>
      <w:r>
        <w:rPr>
          <w:rFonts w:ascii="Arial" w:cs="Arial" w:eastAsia="Arial" w:hAnsi="Arial"/>
          <w:i/>
          <w:iCs/>
          <w:color w:val="566573"/>
          <w:sz w:val="21"/>
          <w:szCs w:val="21"/>
        </w:rPr>
        <w:t xml:space="preserve">Liefferink, D. et al. (2009) ‘Leaders and Laggards in Environmental Policy: A Quantitative Analysis of Domestic Policy Outputs’, Journal of European Public Policy, 16(5), pp. 677–700.</w:t>
      </w:r>
    </w:p>
    <w:p>
      <w:pPr>
        <w:spacing w:after="140" w:line="340"/>
      </w:pPr>
      <w:r>
        <w:rPr>
          <w:rFonts w:ascii="Arial" w:cs="Arial" w:eastAsia="Arial" w:hAnsi="Arial"/>
          <w:i/>
          <w:iCs/>
          <w:color w:val="566573"/>
          <w:sz w:val="21"/>
          <w:szCs w:val="21"/>
        </w:rPr>
        <w:t xml:space="preserve">Also: Holzinger, K. and Sommerer, T. (2012) ‘Was verursacht die Aufwärtsspirale in der Umweltpolitik?’, Österreichische Zeitschrift für Politikwissenschaft, 41(1), pp. 53–72. [Module reading list]</w:t>
      </w:r>
    </w:p>
    <w:p>
      <w:pPr>
        <w:spacing w:after="140" w:line="340"/>
      </w:pPr>
      <w:r>
        <w:rPr>
          <w:rFonts w:ascii="Arial" w:cs="Arial" w:eastAsia="Arial" w:hAnsi="Arial"/>
          <w:color w:val="1C2833"/>
          <w:sz w:val="22"/>
          <w:szCs w:val="22"/>
        </w:rPr>
        <w:t xml:space="preserve">Liefferink et al. (2009) use a </w:t>
      </w:r>
      <w:r>
        <w:rPr>
          <w:rFonts w:ascii="Arial" w:cs="Arial" w:eastAsia="Arial" w:hAnsi="Arial"/>
          <w:b/>
          <w:bCs/>
          <w:color w:val="1C2833"/>
          <w:sz w:val="22"/>
          <w:szCs w:val="22"/>
        </w:rPr>
        <w:t xml:space="preserve">gap approach</w:t>
      </w:r>
      <w:r>
        <w:rPr>
          <w:rFonts w:ascii="Arial" w:cs="Arial" w:eastAsia="Arial" w:hAnsi="Arial"/>
          <w:color w:val="1C2833"/>
          <w:sz w:val="22"/>
          <w:szCs w:val="22"/>
        </w:rPr>
        <w:t xml:space="preserve"> to measure environmental policy leadership: the distance between each country’s policy output and the </w:t>
      </w:r>
      <w:r>
        <w:rPr>
          <w:rFonts w:ascii="Arial" w:cs="Arial" w:eastAsia="Arial" w:hAnsi="Arial"/>
          <w:b/>
          <w:bCs/>
          <w:color w:val="1C2833"/>
          <w:sz w:val="22"/>
          <w:szCs w:val="22"/>
        </w:rPr>
        <w:t xml:space="preserve">strictest policy available</w:t>
      </w:r>
      <w:r>
        <w:rPr>
          <w:rFonts w:ascii="Arial" w:cs="Arial" w:eastAsia="Arial" w:hAnsi="Arial"/>
          <w:color w:val="1C2833"/>
          <w:sz w:val="22"/>
          <w:szCs w:val="22"/>
        </w:rPr>
        <w:t xml:space="preserve"> at that moment. The pioneer sets the benchmark; it shifts dynamically. Key finding: rankings are not static. Pioneers can become laggards through inaction. Laggards can catch up through policy convergence.</w:t>
      </w:r>
    </w:p>
    <w:p>
      <w:pPr>
        <w:pStyle w:val="Heading3"/>
        <w:spacing w:after="120" w:before="200"/>
      </w:pPr>
      <w:r>
        <w:rPr>
          <w:rFonts w:ascii="Arial" w:cs="Arial" w:eastAsia="Arial" w:hAnsi="Arial"/>
          <w:b/>
          <w:bCs/>
          <w:color w:val="1B4F72"/>
          <w:sz w:val="22"/>
          <w:szCs w:val="22"/>
        </w:rPr>
        <w:t xml:space="preserve">Operationalisation in Game</w:t>
      </w:r>
    </w:p>
    <w:p>
      <w:pPr>
        <w:spacing w:after="140" w:line="340"/>
      </w:pPr>
      <w:r>
        <w:rPr>
          <w:rFonts w:ascii="Arial" w:cs="Arial" w:eastAsia="Arial" w:hAnsi="Arial"/>
          <w:color w:val="1C2833"/>
          <w:sz w:val="22"/>
          <w:szCs w:val="22"/>
        </w:rPr>
        <w:t xml:space="preserve">The </w:t>
      </w:r>
      <w:r>
        <w:rPr>
          <w:rFonts w:ascii="Arial" w:cs="Arial" w:eastAsia="Arial" w:hAnsi="Arial"/>
          <w:b/>
          <w:bCs/>
          <w:color w:val="1C2833"/>
          <w:sz w:val="22"/>
          <w:szCs w:val="22"/>
        </w:rPr>
        <w:t xml:space="preserve">Comparison Dashboard</w:t>
      </w:r>
      <w:r>
        <w:rPr>
          <w:rFonts w:ascii="Arial" w:cs="Arial" w:eastAsia="Arial" w:hAnsi="Arial"/>
          <w:color w:val="1C2833"/>
          <w:sz w:val="22"/>
          <w:szCs w:val="22"/>
        </w:rPr>
        <w:t xml:space="preserve"> measures 6 metrics, each normalised 0–1 (0 = pioneer, 1 = laggard):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What It Measures</w:t>
            </w:r>
          </w:p>
        </w:tc>
        <w:tc>
          <w:tcPr>
            <w:tcW w:type="dxa" w:w="3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Pioneer Benchmark</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CO₂ per capita</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Emissions fairness (India’s COP argument)</w:t>
            </w:r>
          </w:p>
        </w:tc>
        <w:tc>
          <w:tcPr>
            <w:tcW w:type="dxa" w:w="36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Lowest per-capita emissions</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Green energy ratio</w:t>
            </w:r>
          </w:p>
        </w:tc>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Energy transition progress</w:t>
            </w:r>
          </w:p>
        </w:tc>
        <w:tc>
          <w:tcPr>
            <w:tcW w:type="dxa" w:w="36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Highest green/nuclear share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Carbon tax level</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Policy ambition</w:t>
            </w:r>
          </w:p>
        </w:tc>
        <w:tc>
          <w:tcPr>
            <w:tcW w:type="dxa" w:w="36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Highest domestic carbon tax</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CO₂ trend</w:t>
            </w:r>
          </w:p>
        </w:tc>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Direction of change</w:t>
            </w:r>
          </w:p>
        </w:tc>
        <w:tc>
          <w:tcPr>
            <w:tcW w:type="dxa" w:w="36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Biggest emission decrease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Summit voting record</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International cooperation</w:t>
            </w:r>
          </w:p>
        </w:tc>
        <w:tc>
          <w:tcPr>
            <w:tcW w:type="dxa" w:w="36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Highest YES-vote percentage</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Climate finance given</w:t>
            </w:r>
          </w:p>
        </w:tc>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North-South solidarity</w:t>
            </w:r>
          </w:p>
        </w:tc>
        <w:tc>
          <w:tcPr>
            <w:tcW w:type="dxa" w:w="36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Largest contributions to developing nations</w:t>
            </w:r>
          </w:p>
        </w:tc>
      </w:tr>
    </w:tbl>
    <w:p>
      <w:pPr>
        <w:spacing w:after="140" w:line="340"/>
      </w:pPr>
      <w:r>
        <w:rPr>
          <w:rFonts w:ascii="Arial" w:cs="Arial" w:eastAsia="Arial" w:hAnsi="Arial"/>
          <w:color w:val="1C2833"/>
          <w:sz w:val="22"/>
          <w:szCs w:val="22"/>
        </w:rPr>
        <w:t xml:space="preserve">Composite gap = unweighted average of all 6 metrics. Bottom 2 = Pioneer badge. Top 2 = Laggard badge. Rankings update every cycle, directly visualising the Liefferink finding that “processes of catching-up and convergence lead to changes in the ranking” (2009, p. 692).</w:t>
      </w:r>
    </w:p>
    <w:p>
      <w:pPr>
        <w:spacing w:after="140" w:line="340"/>
      </w:pPr>
      <w:r>
        <w:rPr>
          <w:rFonts w:ascii="Arial" w:cs="Arial" w:eastAsia="Arial" w:hAnsi="Arial"/>
          <w:color w:val="1C2833"/>
          <w:sz w:val="22"/>
          <w:szCs w:val="22"/>
        </w:rPr>
        <w:t xml:space="preserve">The dashboard provides students the same analytical tool environmental policy researchers use. Analysing dashboard trajectories after a game session IS comparative environmental policy analysis.</w:t>
      </w:r>
    </w:p>
    <w:p>
      <w:pPr>
        <w:pStyle w:val="Heading2"/>
        <w:spacing w:after="160" w:before="280"/>
      </w:pPr>
      <w:r>
        <w:rPr>
          <w:rFonts w:ascii="Arial" w:cs="Arial" w:eastAsia="Arial" w:hAnsi="Arial"/>
          <w:b/>
          <w:bCs/>
          <w:color w:val="2E86C1"/>
          <w:sz w:val="26"/>
          <w:szCs w:val="26"/>
        </w:rPr>
        <w:t xml:space="preserve">3.6 Carbon Tax: DICE Model &amp; Double Dividend</w:t>
      </w:r>
    </w:p>
    <w:p>
      <w:pPr>
        <w:spacing w:after="140" w:line="340"/>
      </w:pPr>
      <w:r>
        <w:rPr>
          <w:rFonts w:ascii="Arial" w:cs="Arial" w:eastAsia="Arial" w:hAnsi="Arial"/>
          <w:i/>
          <w:iCs/>
          <w:color w:val="566573"/>
          <w:sz w:val="21"/>
          <w:szCs w:val="21"/>
        </w:rPr>
        <w:t xml:space="preserve">Nordhaus, W. (2018) ‘Climate Change: The Ultimate Challenge for Economics’. Nobel Prize Lecture. [DICE model]</w:t>
      </w:r>
    </w:p>
    <w:p>
      <w:pPr>
        <w:spacing w:after="140" w:line="340"/>
      </w:pPr>
      <w:r>
        <w:rPr>
          <w:rFonts w:ascii="Arial" w:cs="Arial" w:eastAsia="Arial" w:hAnsi="Arial"/>
          <w:i/>
          <w:iCs/>
          <w:color w:val="566573"/>
          <w:sz w:val="21"/>
          <w:szCs w:val="21"/>
        </w:rPr>
        <w:t xml:space="preserve">Goulder, L.H. (1995) ‘Environmental Taxation and the Double Dividend: A Reader’s Guide’, National Tax Journal, 48(2), pp. 157–183.</w:t>
      </w:r>
    </w:p>
    <w:p>
      <w:pPr>
        <w:spacing w:after="140" w:line="340"/>
      </w:pPr>
      <w:r>
        <w:rPr>
          <w:rFonts w:ascii="Arial" w:cs="Arial" w:eastAsia="Arial" w:hAnsi="Arial"/>
          <w:i/>
          <w:iCs/>
          <w:color w:val="566573"/>
          <w:sz w:val="21"/>
          <w:szCs w:val="21"/>
        </w:rPr>
        <w:t xml:space="preserve">Freire-González, J. (2018) ‘Environmental taxation and the double dividend hypothesis in CGE modelling literature: A critical review’, Journal of Policy Modeling, 40(1), pp. 194–223.</w:t>
      </w:r>
    </w:p>
    <w:p>
      <w:pPr>
        <w:spacing w:after="140" w:line="340"/>
      </w:pPr>
      <w:r>
        <w:rPr>
          <w:rFonts w:ascii="Arial" w:cs="Arial" w:eastAsia="Arial" w:hAnsi="Arial"/>
          <w:i/>
          <w:iCs/>
          <w:color w:val="566573"/>
          <w:sz w:val="21"/>
          <w:szCs w:val="21"/>
        </w:rPr>
        <w:t xml:space="preserve">Federal Reserve (2021) ‘Recycling Carbon Tax Revenue to Maximize Welfare’. FEDS Working Paper 2021-023.</w:t>
      </w:r>
    </w:p>
    <w:p>
      <w:pPr>
        <w:spacing w:after="140" w:line="340"/>
      </w:pPr>
      <w:r>
        <w:rPr>
          <w:rFonts w:ascii="Arial" w:cs="Arial" w:eastAsia="Arial" w:hAnsi="Arial"/>
          <w:color w:val="1C2833"/>
          <w:sz w:val="22"/>
          <w:szCs w:val="22"/>
        </w:rPr>
        <w:t xml:space="preserve">Nordhaus’s DICE model treats carbon tax as an </w:t>
      </w:r>
      <w:r>
        <w:rPr>
          <w:rFonts w:ascii="Arial" w:cs="Arial" w:eastAsia="Arial" w:hAnsi="Arial"/>
          <w:b/>
          <w:bCs/>
          <w:color w:val="1C2833"/>
          <w:sz w:val="22"/>
          <w:szCs w:val="22"/>
        </w:rPr>
        <w:t xml:space="preserve">abatement cost</w:t>
      </w:r>
      <w:r>
        <w:rPr>
          <w:rFonts w:ascii="Arial" w:cs="Arial" w:eastAsia="Arial" w:hAnsi="Arial"/>
          <w:color w:val="1C2833"/>
          <w:sz w:val="22"/>
          <w:szCs w:val="22"/>
        </w:rPr>
        <w:t xml:space="preserve"> — a price on CO₂ that internalises the externality and shifts investment toward cleaner alternatives. The tax does not directly reduce emissions; it makes dirty production expensive enough to motivate substitution.</w:t>
      </w:r>
    </w:p>
    <w:p>
      <w:pPr>
        <w:spacing w:after="140" w:line="340"/>
      </w:pPr>
      <w:r>
        <w:rPr>
          <w:rFonts w:ascii="Arial" w:cs="Arial" w:eastAsia="Arial" w:hAnsi="Arial"/>
          <w:color w:val="1C2833"/>
          <w:sz w:val="22"/>
          <w:szCs w:val="22"/>
        </w:rPr>
        <w:t xml:space="preserve">Goulder (1995) formalised the </w:t>
      </w:r>
      <w:r>
        <w:rPr>
          <w:rFonts w:ascii="Arial" w:cs="Arial" w:eastAsia="Arial" w:hAnsi="Arial"/>
          <w:b/>
          <w:bCs/>
          <w:color w:val="1C2833"/>
          <w:sz w:val="22"/>
          <w:szCs w:val="22"/>
        </w:rPr>
        <w:t xml:space="preserve">double dividend hypothesis</w:t>
      </w:r>
      <w:r>
        <w:rPr>
          <w:rFonts w:ascii="Arial" w:cs="Arial" w:eastAsia="Arial" w:hAnsi="Arial"/>
          <w:color w:val="1C2833"/>
          <w:sz w:val="22"/>
          <w:szCs w:val="22"/>
        </w:rPr>
        <w:t xml:space="preserve">: can carbon tax revenue be recycled in a way that produces both an environmental benefit (reduced emissions) AND an economic benefit (reduced distortionary taxes, increased welfare)? The Federal Reserve (2021) and Freire-González (2018, meta-analysis of 69 CGE simulations) found the answer depends entirely on the recycling mechanism: lump-sum rebates produce 0.56% GDP loss, while corporate tax cuts produce only 0.24% loss.</w:t>
      </w:r>
    </w:p>
    <w:p>
      <w:pPr>
        <w:pStyle w:val="Heading3"/>
        <w:spacing w:after="120" w:before="200"/>
      </w:pPr>
      <w:r>
        <w:rPr>
          <w:rFonts w:ascii="Arial" w:cs="Arial" w:eastAsia="Arial" w:hAnsi="Arial"/>
          <w:b/>
          <w:bCs/>
          <w:color w:val="1B4F72"/>
          <w:sz w:val="22"/>
          <w:szCs w:val="22"/>
        </w:rPr>
        <w:t xml:space="preserve">Operationalisation in Game</w:t>
      </w:r>
    </w:p>
    <w:p>
      <w:pPr>
        <w:spacing w:after="140" w:line="340"/>
      </w:pPr>
      <w:r>
        <w:rPr>
          <w:rFonts w:ascii="Arial" w:cs="Arial" w:eastAsia="Arial" w:hAnsi="Arial"/>
          <w:color w:val="1C2833"/>
          <w:sz w:val="22"/>
          <w:szCs w:val="22"/>
        </w:rPr>
        <w:t xml:space="preserve">Each country has a </w:t>
      </w:r>
      <w:r>
        <w:rPr>
          <w:rFonts w:ascii="Arial" w:cs="Arial" w:eastAsia="Arial" w:hAnsi="Arial"/>
          <w:b/>
          <w:bCs/>
          <w:color w:val="1C2833"/>
          <w:sz w:val="22"/>
          <w:szCs w:val="22"/>
        </w:rPr>
        <w:t xml:space="preserve">carbon tax slider</w:t>
      </w:r>
      <w:r>
        <w:rPr>
          <w:rFonts w:ascii="Arial" w:cs="Arial" w:eastAsia="Arial" w:hAnsi="Arial"/>
          <w:color w:val="1C2833"/>
          <w:sz w:val="22"/>
          <w:szCs w:val="22"/>
        </w:rPr>
        <w:t xml:space="preserve"> (0–100). Tax collected per cycle = national_CO₂ × (rate / 100). Money is deducted from treasury. The tax </w:t>
      </w:r>
      <w:r>
        <w:rPr>
          <w:rFonts w:ascii="Arial" w:cs="Arial" w:eastAsia="Arial" w:hAnsi="Arial"/>
          <w:b/>
          <w:bCs/>
          <w:color w:val="1C2833"/>
          <w:sz w:val="22"/>
          <w:szCs w:val="22"/>
        </w:rPr>
        <w:t xml:space="preserve">never directly reduces CO₂</w:t>
      </w:r>
      <w:r>
        <w:rPr>
          <w:rFonts w:ascii="Arial" w:cs="Arial" w:eastAsia="Arial" w:hAnsi="Arial"/>
          <w:color w:val="1C2833"/>
          <w:sz w:val="22"/>
          <w:szCs w:val="22"/>
        </w:rPr>
        <w:t xml:space="preserve"> — the only way to cut emissions is to replace fossil buildings with green ones. This preserves the Nordhaus logic: carbon pricing shifts incentives, not physics.</w:t>
      </w:r>
    </w:p>
    <w:p>
      <w:pPr>
        <w:spacing w:after="140" w:line="340"/>
      </w:pPr>
      <w:r>
        <w:rPr>
          <w:rFonts w:ascii="Arial" w:cs="Arial" w:eastAsia="Arial" w:hAnsi="Arial"/>
          <w:color w:val="1C2833"/>
          <w:sz w:val="22"/>
          <w:szCs w:val="22"/>
        </w:rPr>
        <w:t xml:space="preserve">Players choose one of three </w:t>
      </w:r>
      <w:r>
        <w:rPr>
          <w:rFonts w:ascii="Arial" w:cs="Arial" w:eastAsia="Arial" w:hAnsi="Arial"/>
          <w:b/>
          <w:bCs/>
          <w:color w:val="1C2833"/>
          <w:sz w:val="22"/>
          <w:szCs w:val="22"/>
        </w:rPr>
        <w:t xml:space="preserve">revenue recycling</w:t>
      </w:r>
      <w:r>
        <w:rPr>
          <w:rFonts w:ascii="Arial" w:cs="Arial" w:eastAsia="Arial" w:hAnsi="Arial"/>
          <w:color w:val="1C2833"/>
          <w:sz w:val="22"/>
          <w:szCs w:val="22"/>
        </w:rPr>
        <w:t xml:space="preserve"> destinations, mapping directly to the academic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Option</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Game Effect</w:t>
            </w:r>
          </w:p>
        </w:tc>
        <w:tc>
          <w:tcPr>
            <w:tcW w:type="dxa" w:w="3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Academic Basis</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Citizen Dividend</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+1 happiness per 10 money recycled (cap +8)</w:t>
            </w:r>
          </w:p>
        </w:tc>
        <w:tc>
          <w:tcPr>
            <w:tcW w:type="dxa" w:w="36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Lump-sum transfer — politically popular but least efficient (Goulder, 1995)</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Green Subsidy</w:t>
            </w:r>
          </w:p>
        </w:tc>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Reduces next green/nuclear build cost (cap 50%)</w:t>
            </w:r>
          </w:p>
        </w:tc>
        <w:tc>
          <w:tcPr>
            <w:tcW w:type="dxa" w:w="36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Technology/investment fund — most efficient (Freire-González, 2018)</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Climate Finance</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Money sent to developing nations; +relations, +dashboard</w:t>
            </w:r>
          </w:p>
        </w:tc>
        <w:tc>
          <w:tcPr>
            <w:tcW w:type="dxa" w:w="36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Cancún Agreements 2010 — $100B/yr climate finance pledge</w:t>
            </w:r>
          </w:p>
        </w:tc>
      </w:tr>
    </w:tbl>
    <w:p>
      <w:pPr>
        <w:spacing w:after="140" w:line="340"/>
      </w:pPr>
      <w:r>
        <w:rPr>
          <w:rFonts w:ascii="Arial" w:cs="Arial" w:eastAsia="Arial" w:hAnsi="Arial"/>
          <w:color w:val="1C2833"/>
          <w:sz w:val="22"/>
          <w:szCs w:val="22"/>
        </w:rPr>
        <w:t xml:space="preserve">The carbon tax interacts with the faction system (brown faction loses −N/5 satisfaction when tax is raised), the dashboard (higher tax = better pioneer score), and summit resolutions (which can mandate minimum tax floors). This creates a genuine two-level game dilemma where players must balance domestic political costs against international diplomatic benefits.</w:t>
      </w:r>
    </w:p>
    <w:p>
      <w:pPr>
        <w:pStyle w:val="Heading2"/>
        <w:spacing w:after="160" w:before="280"/>
      </w:pPr>
      <w:r>
        <w:rPr>
          <w:rFonts w:ascii="Arial" w:cs="Arial" w:eastAsia="Arial" w:hAnsi="Arial"/>
          <w:b/>
          <w:bCs/>
          <w:color w:val="2E86C1"/>
          <w:sz w:val="26"/>
          <w:szCs w:val="26"/>
        </w:rPr>
        <w:t xml:space="preserve">3.7 Distributive Conflict</w:t>
      </w:r>
    </w:p>
    <w:p>
      <w:pPr>
        <w:spacing w:after="140" w:line="340"/>
      </w:pPr>
      <w:r>
        <w:rPr>
          <w:rFonts w:ascii="Arial" w:cs="Arial" w:eastAsia="Arial" w:hAnsi="Arial"/>
          <w:i/>
          <w:iCs/>
          <w:color w:val="566573"/>
          <w:sz w:val="21"/>
          <w:szCs w:val="21"/>
        </w:rPr>
        <w:t xml:space="preserve">Aklin, M. and Mildenberger, M. (2020) ‘Prisoners of the Wrong Dilemma: Why Distributive Conflict, Not Collective Action, Characterizes the Politics of Climate Change’, Global Environmental Politics, 20(4), pp. 4–27.</w:t>
      </w:r>
    </w:p>
    <w:p>
      <w:pPr>
        <w:spacing w:after="140" w:line="340"/>
      </w:pPr>
      <w:r>
        <w:rPr>
          <w:rFonts w:ascii="Arial" w:cs="Arial" w:eastAsia="Arial" w:hAnsi="Arial"/>
          <w:color w:val="1C2833"/>
          <w:sz w:val="22"/>
          <w:szCs w:val="22"/>
        </w:rPr>
        <w:t xml:space="preserve">Aklin and Mildenberger (2020) argue that climate politics is mischaracterised as a collective action problem. The real barrier is not free-riding but </w:t>
      </w:r>
      <w:r>
        <w:rPr>
          <w:rFonts w:ascii="Arial" w:cs="Arial" w:eastAsia="Arial" w:hAnsi="Arial"/>
          <w:b/>
          <w:bCs/>
          <w:color w:val="1C2833"/>
          <w:sz w:val="22"/>
          <w:szCs w:val="22"/>
        </w:rPr>
        <w:t xml:space="preserve">distributive conflict</w:t>
      </w:r>
      <w:r>
        <w:rPr>
          <w:rFonts w:ascii="Arial" w:cs="Arial" w:eastAsia="Arial" w:hAnsi="Arial"/>
          <w:color w:val="1C2833"/>
          <w:sz w:val="22"/>
          <w:szCs w:val="22"/>
        </w:rPr>
        <w:t xml:space="preserve"> — the question of who bears the cost of transition. Countries with fossil-dependent economies (OPEC, Russia) face existential economic restructuring. Developing countries (India, Africa) demand climate finance as the price of their participation. Rich countries can afford transition but face domestic political costs from affected industries.</w:t>
      </w:r>
    </w:p>
    <w:p>
      <w:pPr>
        <w:pStyle w:val="Heading3"/>
        <w:spacing w:after="120" w:before="200"/>
      </w:pPr>
      <w:r>
        <w:rPr>
          <w:rFonts w:ascii="Arial" w:cs="Arial" w:eastAsia="Arial" w:hAnsi="Arial"/>
          <w:b/>
          <w:bCs/>
          <w:color w:val="1B4F72"/>
          <w:sz w:val="22"/>
          <w:szCs w:val="22"/>
        </w:rPr>
        <w:t xml:space="preserve">Operationalisation in Game</w:t>
      </w:r>
    </w:p>
    <w:p>
      <w:pPr>
        <w:spacing w:after="140" w:line="340"/>
      </w:pPr>
      <w:r>
        <w:rPr>
          <w:rFonts w:ascii="Arial" w:cs="Arial" w:eastAsia="Arial" w:hAnsi="Arial"/>
          <w:color w:val="1C2833"/>
          <w:sz w:val="22"/>
          <w:szCs w:val="22"/>
        </w:rPr>
        <w:t xml:space="preserve">The game embeds distributive conflict through </w:t>
      </w:r>
      <w:r>
        <w:rPr>
          <w:rFonts w:ascii="Arial" w:cs="Arial" w:eastAsia="Arial" w:hAnsi="Arial"/>
          <w:b/>
          <w:bCs/>
          <w:color w:val="1C2833"/>
          <w:sz w:val="22"/>
          <w:szCs w:val="22"/>
        </w:rPr>
        <w:t xml:space="preserve">asymmetric starting conditions</w:t>
      </w:r>
      <w:r>
        <w:rPr>
          <w:rFonts w:ascii="Arial" w:cs="Arial" w:eastAsia="Arial" w:hAnsi="Arial"/>
          <w:color w:val="1C2833"/>
          <w:sz w:val="22"/>
          <w:szCs w:val="22"/>
        </w:rPr>
        <w:t xml:space="preserve"> and the </w:t>
      </w:r>
      <w:r>
        <w:rPr>
          <w:rFonts w:ascii="Arial" w:cs="Arial" w:eastAsia="Arial" w:hAnsi="Arial"/>
          <w:b/>
          <w:bCs/>
          <w:color w:val="1C2833"/>
          <w:sz w:val="22"/>
          <w:szCs w:val="22"/>
        </w:rPr>
        <w:t xml:space="preserve">carbon tax recycling</w:t>
      </w:r>
      <w:r>
        <w:rPr>
          <w:rFonts w:ascii="Arial" w:cs="Arial" w:eastAsia="Arial" w:hAnsi="Arial"/>
          <w:color w:val="1C2833"/>
          <w:sz w:val="22"/>
          <w:szCs w:val="22"/>
        </w:rPr>
        <w:t xml:space="preserve"> choice. OPEC’s economy IS fossil fuel (54 starting money from oil/gas exports). Transitioning to green means abandoning the economic base. India and Africa start with low money (28 and 18) and demand climate finance as the price of cooperation. The “Climate Finance” recycling option and summit finance pledges operationalise this: rich countries redistribute wealth to developing nations, or developing nations refuse cooperation.</w:t>
      </w:r>
    </w:p>
    <w:p>
      <w:pPr>
        <w:spacing w:after="140" w:line="340"/>
      </w:pPr>
      <w:r>
        <w:rPr>
          <w:rFonts w:ascii="Arial" w:cs="Arial" w:eastAsia="Arial" w:hAnsi="Arial"/>
          <w:color w:val="1C2833"/>
          <w:sz w:val="22"/>
          <w:szCs w:val="22"/>
        </w:rPr>
        <w:t xml:space="preserve">The game’s three summit resolution types map directly to the three distributive conflicts: who pays the regulatory cost (carbon tax floor), who funds the transition (climate finance pledge), and who reduces emissions first (emission reduction target). Each resolution redistributes costs differently, forcing players to negotiate distribution, not just cooperation.</w:t>
      </w:r>
    </w:p>
    <w:p>
      <w:pPr>
        <w:pStyle w:val="Heading2"/>
        <w:spacing w:after="160" w:before="280"/>
      </w:pPr>
      <w:r>
        <w:rPr>
          <w:rFonts w:ascii="Arial" w:cs="Arial" w:eastAsia="Arial" w:hAnsi="Arial"/>
          <w:b/>
          <w:bCs/>
          <w:color w:val="2E86C1"/>
          <w:sz w:val="26"/>
          <w:szCs w:val="26"/>
        </w:rPr>
        <w:t xml:space="preserve">3.8 N-Player Public Goods Game</w:t>
      </w:r>
    </w:p>
    <w:p>
      <w:pPr>
        <w:spacing w:after="140" w:line="340"/>
      </w:pPr>
      <w:r>
        <w:rPr>
          <w:rFonts w:ascii="Arial" w:cs="Arial" w:eastAsia="Arial" w:hAnsi="Arial"/>
          <w:i/>
          <w:iCs/>
          <w:color w:val="566573"/>
          <w:sz w:val="21"/>
          <w:szCs w:val="21"/>
        </w:rPr>
        <w:t xml:space="preserve">Olson, M. (1965) The Logic of Collective Action. Cambridge, MA: Harvard University Press.</w:t>
      </w:r>
    </w:p>
    <w:p>
      <w:pPr>
        <w:spacing w:after="140" w:line="340"/>
      </w:pPr>
      <w:r>
        <w:rPr>
          <w:rFonts w:ascii="Arial" w:cs="Arial" w:eastAsia="Arial" w:hAnsi="Arial"/>
          <w:color w:val="1C2833"/>
          <w:sz w:val="22"/>
          <w:szCs w:val="22"/>
        </w:rPr>
        <w:t xml:space="preserve">Emission reduction is a public good in Olson’s (1965) sense: it is non-excludable (everyone benefits from lower temperature) and its provision is individually costly (green plants cost 120+ money and 10+ technology vs. 60 money for fossil). Each player has an incentive to free-ride. The game’s 8-player structure is a direct N-player public goods game.</w:t>
      </w:r>
    </w:p>
    <w:p>
      <w:pPr>
        <w:spacing w:after="140" w:line="340"/>
      </w:pPr>
      <w:r>
        <w:rPr>
          <w:rFonts w:ascii="Arial" w:cs="Arial" w:eastAsia="Arial" w:hAnsi="Arial"/>
          <w:color w:val="1C2833"/>
          <w:sz w:val="22"/>
          <w:szCs w:val="22"/>
        </w:rPr>
        <w:t xml:space="preserve">The game provides multiple cooperation mechanisms that the literature identifies as solutions: repeated interaction (continuous trade builds trust at +1/cycle), monitoring (relations system tracks all events), graduated sanctions (relations thresholds at 30 and 20), conditional cooperation (summit votes), and social pressure (dashboard pioneer/laggard labels). Whether these mechanisms overcome the free-rider incentive depends on player behaviour — making each game session a natural experiment in collective action theory.</w:t>
      </w:r>
    </w:p>
    <w:p>
      <w:r>
        <w:br w:type="page"/>
      </w:r>
    </w:p>
    <w:p>
      <w:pPr>
        <w:pStyle w:val="Heading1"/>
        <w:spacing w:after="200" w:before="360"/>
      </w:pPr>
      <w:r>
        <w:rPr>
          <w:rFonts w:ascii="Arial" w:cs="Arial" w:eastAsia="Arial" w:hAnsi="Arial"/>
          <w:b/>
          <w:bCs/>
          <w:color w:val="1B4F72"/>
          <w:sz w:val="32"/>
          <w:szCs w:val="32"/>
        </w:rPr>
        <w:t xml:space="preserve">4. Model-to-Mechanic Mapping</w:t>
      </w:r>
    </w:p>
    <w:p>
      <w:pPr>
        <w:spacing w:after="140" w:line="340"/>
      </w:pPr>
      <w:r>
        <w:rPr>
          <w:rFonts w:ascii="Arial" w:cs="Arial" w:eastAsia="Arial" w:hAnsi="Arial"/>
          <w:color w:val="1C2833"/>
          <w:sz w:val="22"/>
          <w:szCs w:val="22"/>
        </w:rPr>
        <w:t xml:space="preserve">Complete mapping of every academic model to its specific game mechanic: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Academic Model</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Game Mechanic</w:t>
            </w:r>
          </w:p>
        </w:tc>
        <w:tc>
          <w:tcPr>
            <w:tcW w:type="dxa" w:w="2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Where in Game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Tragedy of the Commons (Hardin, 1968)</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Shared global temperature from cumulative CO₂</w:t>
            </w:r>
          </w:p>
        </w:tc>
        <w:tc>
          <w:tcPr>
            <w:tcW w:type="dxa" w:w="2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Climate system: temp += CO₂ × 0.001/cycle</w:t>
            </w:r>
          </w:p>
        </w:tc>
      </w:tr>
      <w:tr>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Polycentric Governance (Ostrom, 1990; 2010)</w:t>
            </w:r>
          </w:p>
        </w:tc>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Multiple cooperation layers: trade, transit, summits, dashboard</w:t>
            </w:r>
          </w:p>
        </w:tc>
        <w:tc>
          <w:tcPr>
            <w:tcW w:type="dxa" w:w="2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Trade panel, transit agreements, summit votes, dashboard</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Two-Level Games (Putnam, 1988)</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Faction balance constrains summit voting</w:t>
            </w:r>
          </w:p>
        </w:tc>
        <w:tc>
          <w:tcPr>
            <w:tcW w:type="dxa" w:w="2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Summit resolutions + domestic factions</w:t>
            </w:r>
          </w:p>
        </w:tc>
      </w:tr>
      <w:tr>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Green-Brown Balance (CEPR DP20578)</w:t>
            </w:r>
          </w:p>
        </w:tc>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Building composition shifts faction %</w:t>
            </w:r>
          </w:p>
        </w:tc>
        <w:tc>
          <w:tcPr>
            <w:tcW w:type="dxa" w:w="2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Faction system with legacy weights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Pioneer/Laggard Gap (Liefferink et al., 2009)</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6-metric comparative dashboard</w:t>
            </w:r>
          </w:p>
        </w:tc>
        <w:tc>
          <w:tcPr>
            <w:tcW w:type="dxa" w:w="2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Comparison dashboard modal</w:t>
            </w:r>
          </w:p>
        </w:tc>
      </w:tr>
      <w:tr>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DICE Model (Nordhaus, 2018)</w:t>
            </w:r>
          </w:p>
        </w:tc>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Carbon tax as abatement cost on CO₂</w:t>
            </w:r>
          </w:p>
        </w:tc>
        <w:tc>
          <w:tcPr>
            <w:tcW w:type="dxa" w:w="2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Carbon tax slider (0–100)</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Double Dividend (Goulder, 1995)</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3 revenue recycling options</w:t>
            </w:r>
          </w:p>
        </w:tc>
        <w:tc>
          <w:tcPr>
            <w:tcW w:type="dxa" w:w="2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Tax recycling: dividend/subsidy/finance</w:t>
            </w:r>
          </w:p>
        </w:tc>
      </w:tr>
      <w:tr>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Distributive Conflict (Aklin &amp; Mildenberger, 2020)</w:t>
            </w:r>
          </w:p>
        </w:tc>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Asymmetric transition costs, climate finance</w:t>
            </w:r>
          </w:p>
        </w:tc>
        <w:tc>
          <w:tcPr>
            <w:tcW w:type="dxa" w:w="2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Country starting conditions + finance recycling</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Public Goods Game (Olson, 1965)</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Free-rider incentive on emission reduction</w:t>
            </w:r>
          </w:p>
        </w:tc>
        <w:tc>
          <w:tcPr>
            <w:tcW w:type="dxa" w:w="2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Fossil vs. green cost asymmetry</w:t>
            </w:r>
          </w:p>
        </w:tc>
      </w:tr>
      <w:tr>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Path Dependency (Pierson, 2000)</w:t>
            </w:r>
          </w:p>
        </w:tc>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Legacy weights resist faction shift</w:t>
            </w:r>
          </w:p>
        </w:tc>
        <w:tc>
          <w:tcPr>
            <w:tcW w:type="dxa" w:w="2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OPEC 90% brown hard to change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Climate Justice</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Clean countries suffer from others’ emissions</w:t>
            </w:r>
          </w:p>
        </w:tc>
        <w:tc>
          <w:tcPr>
            <w:tcW w:type="dxa" w:w="2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Global temp penalty hits all countries equally</w:t>
            </w:r>
          </w:p>
        </w:tc>
      </w:tr>
      <w:tr>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Revenue Recycling (Fed Reserve, 2021)</w:t>
            </w:r>
          </w:p>
        </w:tc>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Efficiency varies by recycling method</w:t>
            </w:r>
          </w:p>
        </w:tc>
        <w:tc>
          <w:tcPr>
            <w:tcW w:type="dxa" w:w="2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Three recycling options with different returns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COP Architecture (Cancún, 2010)</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Climate finance from rich to developing</w:t>
            </w:r>
          </w:p>
        </w:tc>
        <w:tc>
          <w:tcPr>
            <w:tcW w:type="dxa" w:w="2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Finance recycling + summit pledges</w:t>
            </w:r>
          </w:p>
        </w:tc>
      </w:tr>
    </w:tbl>
    <w:p>
      <w:r>
        <w:br w:type="page"/>
      </w:r>
    </w:p>
    <w:p>
      <w:pPr>
        <w:pStyle w:val="Heading1"/>
        <w:spacing w:after="200" w:before="360"/>
      </w:pPr>
      <w:r>
        <w:rPr>
          <w:rFonts w:ascii="Arial" w:cs="Arial" w:eastAsia="Arial" w:hAnsi="Arial"/>
          <w:b/>
          <w:bCs/>
          <w:color w:val="1B4F72"/>
          <w:sz w:val="32"/>
          <w:szCs w:val="32"/>
        </w:rPr>
        <w:t xml:space="preserve">5. Country Design Rationale</w:t>
      </w:r>
    </w:p>
    <w:p>
      <w:pPr>
        <w:spacing w:after="140" w:line="340"/>
      </w:pPr>
      <w:r>
        <w:rPr>
          <w:rFonts w:ascii="Arial" w:cs="Arial" w:eastAsia="Arial" w:hAnsi="Arial"/>
          <w:color w:val="1C2833"/>
          <w:sz w:val="22"/>
          <w:szCs w:val="22"/>
        </w:rPr>
        <w:t xml:space="preserve">Each country’s starting conditions, faction balance, and resource profile are designed to reproduce real-world structural positions in climate politics: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Country</w:t>
            </w:r>
          </w:p>
        </w:tc>
        <w:tc>
          <w:tcPr>
            <w:tcW w:type="dxa" w:w="3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Structural Role</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Academic Parallel</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USA</w:t>
            </w:r>
          </w:p>
        </w:tc>
        <w:tc>
          <w:tcPr>
            <w:tcW w:type="dxa" w:w="3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Rich, high-emission, mixed factions (60/40). Can afford transition but faces domestic resistance.</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US withdrawal from Kyoto/Paris. Putnam: narrow win-set from fossil-state opposition (Schreurs, 2002).</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EU</w:t>
            </w:r>
          </w:p>
        </w:tc>
        <w:tc>
          <w:tcPr>
            <w:tcW w:type="dxa" w:w="3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Resource-poor, high-tech, green-dominant (30/70). Natural pioneer but import-dependent.</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EU regulatory leadership (Jänicke &amp; Weidner, 1995). Liefferink: first-mover advantage in environmental policy.</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Russia</w:t>
            </w:r>
          </w:p>
        </w:tc>
        <w:tc>
          <w:tcPr>
            <w:tcW w:type="dxa" w:w="3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Fossil exporter, 80% brown. Existentially threatened by global green transition.</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Petrostate dilemma. Economy collapses if export market disappears (World Bank oil rents 9.7% GDP).</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China</w:t>
            </w:r>
          </w:p>
        </w:tc>
        <w:tc>
          <w:tcPr>
            <w:tcW w:type="dxa" w:w="3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Manufacturing powerhouse, 50/50 split. Rare earth monopoly. The swing state.</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Dual identity: largest emitter AND largest renewable investor. Could go either way (IEA, 2024).</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India</w:t>
            </w:r>
          </w:p>
        </w:tc>
        <w:tc>
          <w:tcPr>
            <w:tcW w:type="dxa" w:w="3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Huge population, low capital. Climate justice advocate. Low historical emissions.</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India’s COP position: per-capita fairness argument. Demands climate finance before committing.</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OPEC</w:t>
            </w:r>
          </w:p>
        </w:tc>
        <w:tc>
          <w:tcPr>
            <w:tcW w:type="dxa" w:w="3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Economy IS fossil (90/10). Food-poor. Most locked-in.</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Distributive conflict (Aklin &amp; Mildenberger, 2020): highest transition cost, strongest resistance.</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LatAm</w:t>
            </w:r>
          </w:p>
        </w:tc>
        <w:tc>
          <w:tcPr>
            <w:tcW w:type="dxa" w:w="3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Food surplus, hydro potential, green-leaning (30/70).</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Agricultural leverage. Brazilian renewable energy leadership (IRENA/ILO, 2024).</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Africa</w:t>
            </w:r>
          </w:p>
        </w:tc>
        <w:tc>
          <w:tcPr>
            <w:tcW w:type="dxa" w:w="3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Mineral-rich, capital-poor, crossroads (50/50).</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Development vs. environment dilemma. Demands finance, has leapfrog potential.</w:t>
            </w:r>
          </w:p>
        </w:tc>
      </w:tr>
    </w:tbl>
    <w:p>
      <w:r>
        <w:br w:type="page"/>
      </w:r>
    </w:p>
    <w:p>
      <w:pPr>
        <w:pStyle w:val="Heading1"/>
        <w:spacing w:after="200" w:before="360"/>
      </w:pPr>
      <w:r>
        <w:rPr>
          <w:rFonts w:ascii="Arial" w:cs="Arial" w:eastAsia="Arial" w:hAnsi="Arial"/>
          <w:b/>
          <w:bCs/>
          <w:color w:val="1B4F72"/>
          <w:sz w:val="32"/>
          <w:szCs w:val="32"/>
        </w:rPr>
        <w:t xml:space="preserve">6. Multiplayer &amp; Bot AI Strategy</w:t>
      </w:r>
    </w:p>
    <w:p>
      <w:pPr>
        <w:spacing w:after="140" w:line="340"/>
      </w:pPr>
      <w:r>
        <w:rPr>
          <w:rFonts w:ascii="Arial" w:cs="Arial" w:eastAsia="Arial" w:hAnsi="Arial"/>
          <w:color w:val="1C2833"/>
          <w:sz w:val="22"/>
          <w:szCs w:val="22"/>
        </w:rPr>
        <w:t xml:space="preserve">The game supports up to 8 simultaneous human players via Firebase Realtime Database. When fewer than 8 humans are available, bot-controlled countries fill remaining slots.</w:t>
      </w:r>
    </w:p>
    <w:p>
      <w:pPr>
        <w:pStyle w:val="Heading2"/>
        <w:spacing w:after="160" w:before="280"/>
      </w:pPr>
      <w:r>
        <w:rPr>
          <w:rFonts w:ascii="Arial" w:cs="Arial" w:eastAsia="Arial" w:hAnsi="Arial"/>
          <w:b/>
          <w:bCs/>
          <w:color w:val="2E86C1"/>
          <w:sz w:val="26"/>
          <w:szCs w:val="26"/>
        </w:rPr>
        <w:t xml:space="preserve">Bot Strategy Profiles</w:t>
      </w:r>
    </w:p>
    <w:p>
      <w:pPr>
        <w:spacing w:after="140" w:line="340"/>
      </w:pPr>
      <w:r>
        <w:rPr>
          <w:rFonts w:ascii="Arial" w:cs="Arial" w:eastAsia="Arial" w:hAnsi="Arial"/>
          <w:color w:val="1C2833"/>
          <w:sz w:val="22"/>
          <w:szCs w:val="22"/>
        </w:rPr>
        <w:t xml:space="preserve">Bot AI uses </w:t>
      </w:r>
      <w:r>
        <w:rPr>
          <w:rFonts w:ascii="Arial" w:cs="Arial" w:eastAsia="Arial" w:hAnsi="Arial"/>
          <w:b/>
          <w:bCs/>
          <w:color w:val="1C2833"/>
          <w:sz w:val="22"/>
          <w:szCs w:val="22"/>
        </w:rPr>
        <w:t xml:space="preserve">rule-based strategy profiles</w:t>
      </w:r>
      <w:r>
        <w:rPr>
          <w:rFonts w:ascii="Arial" w:cs="Arial" w:eastAsia="Arial" w:hAnsi="Arial"/>
          <w:color w:val="1C2833"/>
          <w:sz w:val="22"/>
          <w:szCs w:val="22"/>
        </w:rPr>
        <w:t xml:space="preserve"> rather than machine learning. This is deliberate: bots model recognisable national strategies, supporting the educational goal. Students can predict bot behaviour based on the country’s structural position and test theoretical predictions against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2000"/>
        <w:gridCol w:w="23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Profile</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Countries</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Carbon Tax</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Summit Votes</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Build Priority</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Fossil Maximiser</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OPEC, Russia</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0–10</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NO on climate</w:t>
            </w:r>
          </w:p>
        </w:tc>
        <w:tc>
          <w:tcPr>
            <w:tcW w:type="dxa" w:w="2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Fossil plants, extractors</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Green Pioneer</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EU, LatAm</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40–70</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YES on climate</w:t>
            </w:r>
          </w:p>
        </w:tc>
        <w:tc>
          <w:tcPr>
            <w:tcW w:type="dxa" w:w="2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Green/nuclear, manufacturing</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Pragmatic Balancer</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USA, China</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15–35</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Cost-benefit analysis</w:t>
            </w:r>
          </w:p>
        </w:tc>
        <w:tc>
          <w:tcPr>
            <w:tcW w:type="dxa" w:w="2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Mixed based on resource deficit</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Development First</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India, Africa</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5–20</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YES if aid included</w:t>
            </w:r>
          </w:p>
        </w:tc>
        <w:tc>
          <w:tcPr>
            <w:tcW w:type="dxa" w:w="2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Farms, basic infrastructure</w:t>
            </w:r>
          </w:p>
        </w:tc>
      </w:tr>
    </w:tbl>
    <w:p>
      <w:pPr>
        <w:spacing w:after="140" w:line="340"/>
      </w:pPr>
      <w:r>
        <w:rPr>
          <w:rFonts w:ascii="Arial" w:cs="Arial" w:eastAsia="Arial" w:hAnsi="Arial"/>
          <w:color w:val="1C2833"/>
          <w:sz w:val="22"/>
          <w:szCs w:val="22"/>
        </w:rPr>
        <w:t xml:space="preserve">Each bot profile represents a </w:t>
      </w:r>
      <w:r>
        <w:rPr>
          <w:rFonts w:ascii="Arial" w:cs="Arial" w:eastAsia="Arial" w:hAnsi="Arial"/>
          <w:b/>
          <w:bCs/>
          <w:color w:val="1C2833"/>
          <w:sz w:val="22"/>
          <w:szCs w:val="22"/>
        </w:rPr>
        <w:t xml:space="preserve">rational actor</w:t>
      </w:r>
      <w:r>
        <w:rPr>
          <w:rFonts w:ascii="Arial" w:cs="Arial" w:eastAsia="Arial" w:hAnsi="Arial"/>
          <w:color w:val="1C2833"/>
          <w:sz w:val="22"/>
          <w:szCs w:val="22"/>
        </w:rPr>
        <w:t xml:space="preserve"> within its structural constraints. No bot is intentionally irrational. Fossil Maximisers pursue short-term economic optimisation consistent with their 80–90% brown faction. Green Pioneers exploit their low emissions and green faction dominance. Development First countries prioritise survival (food, energy) and seek external financing. This models the Olson (1965) prediction: individually rational behaviour produces collectively suboptimal outcomes.</w:t>
      </w:r>
    </w:p>
    <w:p>
      <w:pPr>
        <w:pStyle w:val="Heading2"/>
        <w:spacing w:after="160" w:before="280"/>
      </w:pPr>
      <w:r>
        <w:rPr>
          <w:rFonts w:ascii="Arial" w:cs="Arial" w:eastAsia="Arial" w:hAnsi="Arial"/>
          <w:b/>
          <w:bCs/>
          <w:color w:val="2E86C1"/>
          <w:sz w:val="26"/>
          <w:szCs w:val="26"/>
        </w:rPr>
        <w:t xml:space="preserve">Nash Equilibrium Analysis</w:t>
      </w:r>
    </w:p>
    <w:p>
      <w:pPr>
        <w:spacing w:after="140" w:line="340"/>
      </w:pPr>
      <w:r>
        <w:rPr>
          <w:rFonts w:ascii="Arial" w:cs="Arial" w:eastAsia="Arial" w:hAnsi="Arial"/>
          <w:color w:val="1C2833"/>
          <w:sz w:val="22"/>
          <w:szCs w:val="22"/>
        </w:rPr>
        <w:t xml:space="preserve">Without cooperation mechanisms, the game’s Nash equilibrium is universal fossil exploitation: every player builds fossil (cheapest), temperature spirals, everyone suffers. With cooperation mechanisms (summits, dashboard, relations), multiple equilibria emerge. The game’s actual outcome depends on player negotiation — each session is a natural experiment in whether Ostrom’s polycentric governance can overcome Hardin’s tragedy.</w:t>
      </w:r>
    </w:p>
    <w:p>
      <w:r>
        <w:br w:type="page"/>
      </w:r>
    </w:p>
    <w:p>
      <w:pPr>
        <w:pStyle w:val="Heading1"/>
        <w:spacing w:after="200" w:before="360"/>
      </w:pPr>
      <w:r>
        <w:rPr>
          <w:rFonts w:ascii="Arial" w:cs="Arial" w:eastAsia="Arial" w:hAnsi="Arial"/>
          <w:b/>
          <w:bCs/>
          <w:color w:val="1B4F72"/>
          <w:sz w:val="32"/>
          <w:szCs w:val="32"/>
        </w:rPr>
        <w:t xml:space="preserve">7. Intended Learning Outcomes Alignment</w:t>
      </w:r>
    </w:p>
    <w:p>
      <w:pPr>
        <w:spacing w:after="140" w:line="340"/>
      </w:pPr>
      <w:r>
        <w:rPr>
          <w:rFonts w:ascii="Arial" w:cs="Arial" w:eastAsia="Arial" w:hAnsi="Arial"/>
          <w:color w:val="1C2833"/>
          <w:sz w:val="22"/>
          <w:szCs w:val="22"/>
        </w:rPr>
        <w:t xml:space="preserve">Mapping each module ILO from the POL23200 module handbook to specific game mechanics and academic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rPr>
          <w:tblHeader/>
        </w:trPr>
        <w:tc>
          <w:tcPr>
            <w:tcW w:type="dxa" w:w="2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Module ILO</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Game Mechanic</w:t>
            </w:r>
          </w:p>
        </w:tc>
        <w:tc>
          <w:tcPr>
            <w:tcW w:type="dxa" w:w="3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Academic Model</w:t>
            </w:r>
          </w:p>
        </w:tc>
      </w:tr>
      <w:tr>
        <w:tc>
          <w:tcPr>
            <w:tcW w:type="dxa" w:w="2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Identify key concepts and theories of environmental policy</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Carbon tax, factions, temperature model, summit resolutions</w:t>
            </w:r>
          </w:p>
        </w:tc>
        <w:tc>
          <w:tcPr>
            <w:tcW w:type="dxa" w:w="36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Nordhaus (2018), Goulder (1995), Hardin (1968), COP structure</w:t>
            </w:r>
          </w:p>
        </w:tc>
      </w:tr>
      <w:tr>
        <w:tc>
          <w:tcPr>
            <w:tcW w:type="dxa" w:w="2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Distinguish among different theoretical approaches</w:t>
            </w:r>
          </w:p>
        </w:tc>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Game theory analysis: tragedy vs. polycentric vs. two-level vs. distributive</w:t>
            </w:r>
          </w:p>
        </w:tc>
        <w:tc>
          <w:tcPr>
            <w:tcW w:type="dxa" w:w="36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Hardin vs. Ostrom vs. Putnam vs. Aklin &amp; Mildenberger</w:t>
            </w:r>
          </w:p>
        </w:tc>
      </w:tr>
      <w:tr>
        <w:tc>
          <w:tcPr>
            <w:tcW w:type="dxa" w:w="2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Apply methods of comparative analysis</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Pioneer/laggard dashboard with 6 normalised metrics</w:t>
            </w:r>
          </w:p>
        </w:tc>
        <w:tc>
          <w:tcPr>
            <w:tcW w:type="dxa" w:w="36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Liefferink et al. (2009) gap approach</w:t>
            </w:r>
          </w:p>
        </w:tc>
      </w:tr>
      <w:tr>
        <w:tc>
          <w:tcPr>
            <w:tcW w:type="dxa" w:w="2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Compare internationally institutions, actors, processes, outcomes</w:t>
            </w:r>
          </w:p>
        </w:tc>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8 countries with different structures, factions, resources, strategies</w:t>
            </w:r>
          </w:p>
        </w:tc>
        <w:tc>
          <w:tcPr>
            <w:tcW w:type="dxa" w:w="36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Schreurs (2002), Steinberg &amp; VanDeveer (2012)</w:t>
            </w:r>
          </w:p>
        </w:tc>
      </w:tr>
      <w:tr>
        <w:tc>
          <w:tcPr>
            <w:tcW w:type="dxa" w:w="2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Evaluate environmental policy outcomes comparatively</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Dashboard trend lines; post-game analysis of convergence/divergence</w:t>
            </w:r>
          </w:p>
        </w:tc>
        <w:tc>
          <w:tcPr>
            <w:tcW w:type="dxa" w:w="36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Holzinger &amp; Sommerer (2012), Liefferink et al. (2009)</w:t>
            </w:r>
          </w:p>
        </w:tc>
      </w:tr>
    </w:tbl>
    <w:p>
      <w:pPr>
        <w:spacing w:after="140" w:line="340"/>
      </w:pPr>
      <w:r>
        <w:rPr>
          <w:rFonts w:ascii="Arial" w:cs="Arial" w:eastAsia="Arial" w:hAnsi="Arial"/>
          <w:b/>
          <w:bCs/>
          <w:color w:val="1C2833"/>
          <w:sz w:val="22"/>
          <w:szCs w:val="22"/>
        </w:rPr>
        <w:t xml:space="preserve">Presentation connection:</w:t>
      </w:r>
      <w:r>
        <w:rPr>
          <w:rFonts w:ascii="Arial" w:cs="Arial" w:eastAsia="Arial" w:hAnsi="Arial"/>
          <w:color w:val="1C2833"/>
          <w:sz w:val="22"/>
          <w:szCs w:val="22"/>
        </w:rPr>
        <w:t xml:space="preserve"> Each presenter can reference game session data as empirical evidence. For example: “Our EU player achieved pioneer status by cycle 15 through early green investment and climate finance, consistent with Liefferink’s finding that early movers maintain advantage through policy learning (2009, p. 694).” The game generates the evidence; the presentation applies the theoretical analysis.</w:t>
      </w:r>
    </w:p>
    <w:p>
      <w:r>
        <w:br w:type="page"/>
      </w:r>
    </w:p>
    <w:p>
      <w:pPr>
        <w:pStyle w:val="Heading1"/>
        <w:spacing w:after="200" w:before="360"/>
      </w:pPr>
      <w:r>
        <w:rPr>
          <w:rFonts w:ascii="Arial" w:cs="Arial" w:eastAsia="Arial" w:hAnsi="Arial"/>
          <w:b/>
          <w:bCs/>
          <w:color w:val="1B4F72"/>
          <w:sz w:val="32"/>
          <w:szCs w:val="32"/>
        </w:rPr>
        <w:t xml:space="preserve">8. Reference List</w:t>
      </w:r>
    </w:p>
    <w:p>
      <w:pPr>
        <w:spacing w:after="100" w:line="340"/>
        <w:ind w:left="720" w:hanging="720"/>
      </w:pPr>
      <w:r>
        <w:rPr>
          <w:rFonts w:ascii="Arial" w:cs="Arial" w:eastAsia="Arial" w:hAnsi="Arial"/>
          <w:color w:val="1C2833"/>
          <w:sz w:val="21"/>
          <w:szCs w:val="21"/>
        </w:rPr>
        <w:t xml:space="preserve">Aklin, M. and Mildenberger, M. (2020) ‘Prisoners of the Wrong Dilemma: Why Distributive Conflict, Not Collective Action, Characterizes the Politics of Climate Change’, Global Environmental Politics, 20(4), pp. 4–27.</w:t>
      </w:r>
    </w:p>
    <w:p>
      <w:pPr>
        <w:spacing w:after="100" w:line="340"/>
        <w:ind w:left="720" w:hanging="720"/>
      </w:pPr>
      <w:r>
        <w:rPr>
          <w:rFonts w:ascii="Arial" w:cs="Arial" w:eastAsia="Arial" w:hAnsi="Arial"/>
          <w:color w:val="1C2833"/>
          <w:sz w:val="21"/>
          <w:szCs w:val="21"/>
        </w:rPr>
        <w:t xml:space="preserve">Federal Reserve (2021) Recycling Carbon Tax Revenue to Maximize Welfare. FEDS Working Paper 2021-023. Washington, DC: Board of Governors of the Federal Reserve System.</w:t>
      </w:r>
    </w:p>
    <w:p>
      <w:pPr>
        <w:spacing w:after="100" w:line="340"/>
        <w:ind w:left="720" w:hanging="720"/>
      </w:pPr>
      <w:r>
        <w:rPr>
          <w:rFonts w:ascii="Arial" w:cs="Arial" w:eastAsia="Arial" w:hAnsi="Arial"/>
          <w:color w:val="1C2833"/>
          <w:sz w:val="21"/>
          <w:szCs w:val="21"/>
        </w:rPr>
        <w:t xml:space="preserve">Freire-González, J. (2018) ‘Environmental taxation and the double dividend hypothesis in CGE modelling literature: A critical review’, Journal of Policy Modeling, 40(1), pp. 194–223.</w:t>
      </w:r>
    </w:p>
    <w:p>
      <w:pPr>
        <w:spacing w:after="100" w:line="340"/>
        <w:ind w:left="720" w:hanging="720"/>
      </w:pPr>
      <w:r>
        <w:rPr>
          <w:rFonts w:ascii="Arial" w:cs="Arial" w:eastAsia="Arial" w:hAnsi="Arial"/>
          <w:color w:val="1C2833"/>
          <w:sz w:val="21"/>
          <w:szCs w:val="21"/>
        </w:rPr>
        <w:t xml:space="preserve">Goulder, L.H. (1995) ‘Environmental Taxation and the Double Dividend: A Reader’s Guide’, National Tax Journal, 48(2), pp. 157–183.</w:t>
      </w:r>
    </w:p>
    <w:p>
      <w:pPr>
        <w:spacing w:after="100" w:line="340"/>
        <w:ind w:left="720" w:hanging="720"/>
      </w:pPr>
      <w:r>
        <w:rPr>
          <w:rFonts w:ascii="Arial" w:cs="Arial" w:eastAsia="Arial" w:hAnsi="Arial"/>
          <w:color w:val="1C2833"/>
          <w:sz w:val="21"/>
          <w:szCs w:val="21"/>
        </w:rPr>
        <w:t xml:space="preserve">Hardin, G. (1968) ‘The Tragedy of the Commons’, Science, 162(3859), pp. 1243–1248.</w:t>
      </w:r>
    </w:p>
    <w:p>
      <w:pPr>
        <w:spacing w:after="100" w:line="340"/>
        <w:ind w:left="720" w:hanging="720"/>
      </w:pPr>
      <w:r>
        <w:rPr>
          <w:rFonts w:ascii="Arial" w:cs="Arial" w:eastAsia="Arial" w:hAnsi="Arial"/>
          <w:color w:val="1C2833"/>
          <w:sz w:val="21"/>
          <w:szCs w:val="21"/>
        </w:rPr>
        <w:t xml:space="preserve">Holzinger, K. and Sommerer, T. (2012) ‘Was verursacht die Aufwärtsspirale in der Umweltpolitik? Der Einfluss internationaler Harmonisierung auf nationale Umweltstandards’, Österreichische Zeitschrift für Politikwissenschaft, 41(1), pp. 53–72.</w:t>
      </w:r>
    </w:p>
    <w:p>
      <w:pPr>
        <w:spacing w:after="100" w:line="340"/>
        <w:ind w:left="720" w:hanging="720"/>
      </w:pPr>
      <w:r>
        <w:rPr>
          <w:rFonts w:ascii="Arial" w:cs="Arial" w:eastAsia="Arial" w:hAnsi="Arial"/>
          <w:color w:val="1C2833"/>
          <w:sz w:val="21"/>
          <w:szCs w:val="21"/>
        </w:rPr>
        <w:t xml:space="preserve">IEA (2024) World Energy Employment 2024. Paris: International Energy Agency.</w:t>
      </w:r>
    </w:p>
    <w:p>
      <w:pPr>
        <w:spacing w:after="100" w:line="340"/>
        <w:ind w:left="720" w:hanging="720"/>
      </w:pPr>
      <w:r>
        <w:rPr>
          <w:rFonts w:ascii="Arial" w:cs="Arial" w:eastAsia="Arial" w:hAnsi="Arial"/>
          <w:color w:val="1C2833"/>
          <w:sz w:val="21"/>
          <w:szCs w:val="21"/>
        </w:rPr>
        <w:t xml:space="preserve">IRENA and ILO (2024) Renewable Energy and Jobs: Annual Review 2024. Abu Dhabi: International Renewable Energy Agency.</w:t>
      </w:r>
    </w:p>
    <w:p>
      <w:pPr>
        <w:spacing w:after="100" w:line="340"/>
        <w:ind w:left="720" w:hanging="720"/>
      </w:pPr>
      <w:r>
        <w:rPr>
          <w:rFonts w:ascii="Arial" w:cs="Arial" w:eastAsia="Arial" w:hAnsi="Arial"/>
          <w:color w:val="1C2833"/>
          <w:sz w:val="21"/>
          <w:szCs w:val="21"/>
        </w:rPr>
        <w:t xml:space="preserve">Jänicke, M. and Weidner, H. (eds.) (1995) Successful Environmental Policy: A Critical Evaluation of 24 Cases. Berlin: Edition Sigma.</w:t>
      </w:r>
    </w:p>
    <w:p>
      <w:pPr>
        <w:spacing w:after="100" w:line="340"/>
        <w:ind w:left="720" w:hanging="720"/>
      </w:pPr>
      <w:r>
        <w:rPr>
          <w:rFonts w:ascii="Arial" w:cs="Arial" w:eastAsia="Arial" w:hAnsi="Arial"/>
          <w:color w:val="1C2833"/>
          <w:sz w:val="21"/>
          <w:szCs w:val="21"/>
        </w:rPr>
        <w:t xml:space="preserve">Jordan, A.J. et al. (2015) ‘Emergence of Polycentric Climate Governance and its Future Prospects’, Nature Climate Change, 5(11), pp. 977–982.</w:t>
      </w:r>
    </w:p>
    <w:p>
      <w:pPr>
        <w:spacing w:after="100" w:line="340"/>
        <w:ind w:left="720" w:hanging="720"/>
      </w:pPr>
      <w:r>
        <w:rPr>
          <w:rFonts w:ascii="Arial" w:cs="Arial" w:eastAsia="Arial" w:hAnsi="Arial"/>
          <w:color w:val="1C2833"/>
          <w:sz w:val="21"/>
          <w:szCs w:val="21"/>
        </w:rPr>
        <w:t xml:space="preserve">Liefferink, D. et al. (2009) ‘Leaders and Laggards in Environmental Policy: A Quantitative Analysis of Domestic Policy Outputs’, Journal of European Public Policy, 16(5), pp. 677–700.</w:t>
      </w:r>
    </w:p>
    <w:p>
      <w:pPr>
        <w:spacing w:after="100" w:line="340"/>
        <w:ind w:left="720" w:hanging="720"/>
      </w:pPr>
      <w:r>
        <w:rPr>
          <w:rFonts w:ascii="Arial" w:cs="Arial" w:eastAsia="Arial" w:hAnsi="Arial"/>
          <w:color w:val="1C2833"/>
          <w:sz w:val="21"/>
          <w:szCs w:val="21"/>
        </w:rPr>
        <w:t xml:space="preserve">Mezzanotti, F. and Starkman, R. (n.d.) Climate Politics in the United States. CEPR Discussion Paper No. 20578. London: Centre for Economic Policy Research.</w:t>
      </w:r>
    </w:p>
    <w:p>
      <w:pPr>
        <w:spacing w:after="100" w:line="340"/>
        <w:ind w:left="720" w:hanging="720"/>
      </w:pPr>
      <w:r>
        <w:rPr>
          <w:rFonts w:ascii="Arial" w:cs="Arial" w:eastAsia="Arial" w:hAnsi="Arial"/>
          <w:color w:val="1C2833"/>
          <w:sz w:val="21"/>
          <w:szCs w:val="21"/>
        </w:rPr>
        <w:t xml:space="preserve">Muno, W. (2010) ‘Umweltpolitik’, in Lauth, H.-J. (ed.) Vergleichende Regierungslehre: Eine Einführung. Wiesbaden: VS Verlag, pp. 349–372.</w:t>
      </w:r>
    </w:p>
    <w:p>
      <w:pPr>
        <w:spacing w:after="100" w:line="340"/>
        <w:ind w:left="720" w:hanging="720"/>
      </w:pPr>
      <w:r>
        <w:rPr>
          <w:rFonts w:ascii="Arial" w:cs="Arial" w:eastAsia="Arial" w:hAnsi="Arial"/>
          <w:color w:val="1C2833"/>
          <w:sz w:val="21"/>
          <w:szCs w:val="21"/>
        </w:rPr>
        <w:t xml:space="preserve">Nordhaus, W. (2018) ‘Climate Change: The Ultimate Challenge for Economics’. Nobel Prize Lecture, 8 December.</w:t>
      </w:r>
    </w:p>
    <w:p>
      <w:pPr>
        <w:spacing w:after="100" w:line="340"/>
        <w:ind w:left="720" w:hanging="720"/>
      </w:pPr>
      <w:r>
        <w:rPr>
          <w:rFonts w:ascii="Arial" w:cs="Arial" w:eastAsia="Arial" w:hAnsi="Arial"/>
          <w:color w:val="1C2833"/>
          <w:sz w:val="21"/>
          <w:szCs w:val="21"/>
        </w:rPr>
        <w:t xml:space="preserve">Olson, M. (1965) The Logic of Collective Action: Public Goods and the Theory of Groups. Cambridge, MA: Harvard University Press.</w:t>
      </w:r>
    </w:p>
    <w:p>
      <w:pPr>
        <w:spacing w:after="100" w:line="340"/>
        <w:ind w:left="720" w:hanging="720"/>
      </w:pPr>
      <w:r>
        <w:rPr>
          <w:rFonts w:ascii="Arial" w:cs="Arial" w:eastAsia="Arial" w:hAnsi="Arial"/>
          <w:color w:val="1C2833"/>
          <w:sz w:val="21"/>
          <w:szCs w:val="21"/>
        </w:rPr>
        <w:t xml:space="preserve">Ostrom, E. (1990) Governing the Commons: The Evolution of Institutions for Collective Action. Cambridge: Cambridge University Press.</w:t>
      </w:r>
    </w:p>
    <w:p>
      <w:pPr>
        <w:spacing w:after="100" w:line="340"/>
        <w:ind w:left="720" w:hanging="720"/>
      </w:pPr>
      <w:r>
        <w:rPr>
          <w:rFonts w:ascii="Arial" w:cs="Arial" w:eastAsia="Arial" w:hAnsi="Arial"/>
          <w:color w:val="1C2833"/>
          <w:sz w:val="21"/>
          <w:szCs w:val="21"/>
        </w:rPr>
        <w:t xml:space="preserve">Ostrom, E. (2010) ‘Polycentric Systems for Coping with Collective Action and Global Environmental Change’, Global Environmental Change, 20(4), pp. 550–557.</w:t>
      </w:r>
    </w:p>
    <w:p>
      <w:pPr>
        <w:spacing w:after="100" w:line="340"/>
        <w:ind w:left="720" w:hanging="720"/>
      </w:pPr>
      <w:r>
        <w:rPr>
          <w:rFonts w:ascii="Arial" w:cs="Arial" w:eastAsia="Arial" w:hAnsi="Arial"/>
          <w:color w:val="1C2833"/>
          <w:sz w:val="21"/>
          <w:szCs w:val="21"/>
        </w:rPr>
        <w:t xml:space="preserve">Pierson, P. (2000) ‘Increasing Returns, Path Dependence, and the Study of Politics’, American Political Science Review, 94(2), pp. 251–267.</w:t>
      </w:r>
    </w:p>
    <w:p>
      <w:pPr>
        <w:spacing w:after="100" w:line="340"/>
        <w:ind w:left="720" w:hanging="720"/>
      </w:pPr>
      <w:r>
        <w:rPr>
          <w:rFonts w:ascii="Arial" w:cs="Arial" w:eastAsia="Arial" w:hAnsi="Arial"/>
          <w:color w:val="1C2833"/>
          <w:sz w:val="21"/>
          <w:szCs w:val="21"/>
        </w:rPr>
        <w:t xml:space="preserve">Putnam, R.D. (1988) ‘Diplomacy and Domestic Politics: The Logic of Two-Level Games’, International Organization, 42(3), pp. 427–460.</w:t>
      </w:r>
    </w:p>
    <w:p>
      <w:pPr>
        <w:spacing w:after="100" w:line="340"/>
        <w:ind w:left="720" w:hanging="720"/>
      </w:pPr>
      <w:r>
        <w:rPr>
          <w:rFonts w:ascii="Arial" w:cs="Arial" w:eastAsia="Arial" w:hAnsi="Arial"/>
          <w:color w:val="1C2833"/>
          <w:sz w:val="21"/>
          <w:szCs w:val="21"/>
        </w:rPr>
        <w:t xml:space="preserve">Schreurs, M.A. (2002) Environmental Politics in Japan, Germany, and the United States. Cambridge: Cambridge University Press.</w:t>
      </w:r>
    </w:p>
    <w:p>
      <w:pPr>
        <w:spacing w:after="100" w:line="340"/>
        <w:ind w:left="720" w:hanging="720"/>
      </w:pPr>
      <w:r>
        <w:rPr>
          <w:rFonts w:ascii="Arial" w:cs="Arial" w:eastAsia="Arial" w:hAnsi="Arial"/>
          <w:color w:val="1C2833"/>
          <w:sz w:val="21"/>
          <w:szCs w:val="21"/>
        </w:rPr>
        <w:t xml:space="preserve">Steinberg, P. and VanDeveer, S. (eds.) (2012) Comparative Environmental Politics: Theory, Practice, and Prospects. Cambridge, MA: MIT Press.</w:t>
      </w:r>
    </w:p>
    <w:p>
      <w:pPr>
        <w:spacing w:after="100" w:line="340"/>
        <w:ind w:left="720" w:hanging="720"/>
      </w:pPr>
      <w:r>
        <w:rPr>
          <w:rFonts w:ascii="Arial" w:cs="Arial" w:eastAsia="Arial" w:hAnsi="Arial"/>
          <w:color w:val="1C2833"/>
          <w:sz w:val="21"/>
          <w:szCs w:val="21"/>
        </w:rPr>
        <w:t xml:space="preserve">UNFCCC (2010) The Cancún Agreements. Decision 1/CP.16. Cancún: United Nations Framework Convention on Climate Change.</w:t>
      </w:r>
    </w:p>
    <w:p>
      <w:pPr>
        <w:spacing w:after="100" w:line="340"/>
        <w:ind w:left="720" w:hanging="720"/>
      </w:pPr>
      <w:r>
        <w:rPr>
          <w:rFonts w:ascii="Arial" w:cs="Arial" w:eastAsia="Arial" w:hAnsi="Arial"/>
          <w:color w:val="1C2833"/>
          <w:sz w:val="21"/>
          <w:szCs w:val="21"/>
        </w:rPr>
        <w:t xml:space="preserve">World Bank (2023) Oil Rents (% of GDP). World Development Indicators. Washington, DC: World Bank Group.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jc w:val="center"/>
    </w:pPr>
    <w:r>
      <w:rPr>
        <w:rFonts w:ascii="Arial" w:cs="Arial" w:eastAsia="Arial" w:hAnsi="Arial"/>
        <w:color w:val="7F8C8D"/>
        <w:sz w:val="18"/>
        <w:szCs w:val="18"/>
      </w:rPr>
      <w:t xml:space="preserve">POL23200 — TUM — 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4"/>
      </w:pBdr>
    </w:pPr>
    <w:r>
      <w:rPr>
        <w:rFonts w:ascii="Arial" w:cs="Arial" w:eastAsia="Arial" w:hAnsi="Arial"/>
        <w:i/>
        <w:iCs/>
        <w:color w:val="7F8C8D"/>
        <w:sz w:val="18"/>
        <w:szCs w:val="18"/>
      </w:rPr>
      <w:t xml:space="preserve">Climate Diplomacy — Academic Foundations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2026-07-06T00:17:47.605Z</dcterms:created>
  <dcterms:modified xsi:type="dcterms:W3CDTF">2026-07-06T00:17:47.606Z</dcterms:modified>
</cp:coreProperties>
</file>

<file path=docProps/custom.xml><?xml version="1.0" encoding="utf-8"?>
<Properties xmlns="http://schemas.openxmlformats.org/officeDocument/2006/custom-properties" xmlns:vt="http://schemas.openxmlformats.org/officeDocument/2006/docPropsVTypes"/>
</file>