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Climate Diplomacy</w:t>
      </w:r>
    </w:p>
    <w:p>
      <w:pPr>
        <w:spacing w:after="100"/>
        <w:jc w:val="center"/>
      </w:pPr>
      <w:r>
        <w:rPr>
          <w:rFonts w:ascii="Arial" w:cs="Arial" w:eastAsia="Arial" w:hAnsi="Arial"/>
          <w:color w:val="2E86C1"/>
          <w:sz w:val="30"/>
          <w:szCs w:val="30"/>
        </w:rPr>
        <w:t xml:space="preserve">A Multiplayer Environmental Politics Simulation</w:t>
      </w:r>
    </w:p>
    <w:p>
      <w:pPr>
        <w:spacing w:after="600"/>
        <w:jc w:val="center"/>
      </w:pPr>
      <w:r>
        <w:rPr>
          <w:rFonts w:ascii="Arial" w:cs="Arial" w:eastAsia="Arial" w:hAnsi="Arial"/>
          <w:color w:val="566573"/>
          <w:sz w:val="24"/>
          <w:szCs w:val="24"/>
        </w:rPr>
        <w:t xml:space="preserve">Game Design Document — Academic Foundations &amp; Mechanics</w:t>
      </w:r>
    </w:p>
    <w:p>
      <w:pPr>
        <w:spacing w:after="100"/>
        <w:jc w:val="center"/>
      </w:pPr>
      <w:r>
        <w:rPr>
          <w:rFonts w:ascii="Arial" w:cs="Arial" w:eastAsia="Arial" w:hAnsi="Arial"/>
          <w:color w:val="1C2833"/>
          <w:sz w:val="22"/>
          <w:szCs w:val="22"/>
        </w:rPr>
        <w:t xml:space="preserve">Module: POL23200 — Environmental Politics in International Comparison</w:t>
      </w:r>
    </w:p>
    <w:p>
      <w:pPr>
        <w:spacing w:after="100"/>
        <w:jc w:val="center"/>
      </w:pPr>
      <w:r>
        <w:rPr>
          <w:rFonts w:ascii="Arial" w:cs="Arial" w:eastAsia="Arial" w:hAnsi="Arial"/>
          <w:color w:val="1C2833"/>
          <w:sz w:val="22"/>
          <w:szCs w:val="22"/>
        </w:rPr>
        <w:t xml:space="preserve">Prof. Dr. Miranda Schreurs — Technical University of Munich</w:t>
      </w:r>
    </w:p>
    <w:p>
      <w:pPr>
        <w:spacing w:after="100"/>
        <w:jc w:val="center"/>
      </w:pPr>
      <w:r>
        <w:rPr>
          <w:rFonts w:ascii="Arial" w:cs="Arial" w:eastAsia="Arial" w:hAnsi="Arial"/>
          <w:color w:val="1C2833"/>
          <w:sz w:val="22"/>
          <w:szCs w:val="22"/>
        </w:rPr>
        <w:t xml:space="preserve">Summer Semester 2026</w:t>
      </w:r>
    </w:p>
    <w:p>
      <w:pPr>
        <w:spacing w:after="600"/>
        <w:jc w:val="center"/>
      </w:pPr>
      <w:r>
        <w:rPr>
          <w:rFonts w:ascii="Arial" w:cs="Arial" w:eastAsia="Arial" w:hAnsi="Arial"/>
          <w:i/>
          <w:iCs/>
          <w:color w:val="566573"/>
          <w:sz w:val="20"/>
          <w:szCs w:val="20"/>
        </w:rPr>
        <w:t xml:space="preserve">React 19 + Vite 8 + TypeScript + Firebase Realtime Database</w:t>
      </w:r>
    </w:p>
    <w:p>
      <w:r>
        <w:br w:type="page"/>
      </w:r>
    </w:p>
    <w:p>
      <w:pPr>
        <w:pStyle w:val="Heading1"/>
        <w:spacing w:after="200" w:before="360"/>
      </w:pPr>
      <w:r>
        <w:rPr>
          <w:rFonts w:ascii="Arial" w:cs="Arial" w:eastAsia="Arial" w:hAnsi="Arial"/>
          <w:b/>
          <w:bCs/>
          <w:color w:val="1B4F72"/>
          <w:sz w:val="32"/>
          <w:szCs w:val="32"/>
        </w:rPr>
        <w:t xml:space="preserve">Table of Contents</w:t>
      </w:r>
    </w:p>
    <w:p>
      <w:pPr>
        <w:spacing w:after="120"/>
      </w:pPr>
      <w:r>
        <w:rPr>
          <w:rFonts w:ascii="Arial" w:cs="Arial" w:eastAsia="Arial" w:hAnsi="Arial"/>
          <w:color w:val="1C2833"/>
          <w:sz w:val="22"/>
          <w:szCs w:val="22"/>
        </w:rPr>
        <w:t xml:space="preserve">1. Introduction &amp; Module Alignment</w:t>
      </w:r>
    </w:p>
    <w:p>
      <w:pPr>
        <w:spacing w:after="120"/>
      </w:pPr>
      <w:r>
        <w:rPr>
          <w:rFonts w:ascii="Arial" w:cs="Arial" w:eastAsia="Arial" w:hAnsi="Arial"/>
          <w:color w:val="1C2833"/>
          <w:sz w:val="22"/>
          <w:szCs w:val="22"/>
        </w:rPr>
        <w:t xml:space="preserve">2. Game Architecture</w:t>
      </w:r>
    </w:p>
    <w:p>
      <w:pPr>
        <w:spacing w:after="120"/>
      </w:pPr>
      <w:r>
        <w:rPr>
          <w:rFonts w:ascii="Arial" w:cs="Arial" w:eastAsia="Arial" w:hAnsi="Arial"/>
          <w:color w:val="1C2833"/>
          <w:sz w:val="22"/>
          <w:szCs w:val="22"/>
        </w:rPr>
        <w:t xml:space="preserve">3. Countries &amp; Starting Conditions</w:t>
      </w:r>
    </w:p>
    <w:p>
      <w:pPr>
        <w:spacing w:after="120"/>
      </w:pPr>
      <w:r>
        <w:rPr>
          <w:rFonts w:ascii="Arial" w:cs="Arial" w:eastAsia="Arial" w:hAnsi="Arial"/>
          <w:color w:val="1C2833"/>
          <w:sz w:val="22"/>
          <w:szCs w:val="22"/>
        </w:rPr>
        <w:t xml:space="preserve">4. Resources, Materials &amp; Buildings</w:t>
      </w:r>
    </w:p>
    <w:p>
      <w:pPr>
        <w:spacing w:after="120"/>
      </w:pPr>
      <w:r>
        <w:rPr>
          <w:rFonts w:ascii="Arial" w:cs="Arial" w:eastAsia="Arial" w:hAnsi="Arial"/>
          <w:color w:val="1C2833"/>
          <w:sz w:val="22"/>
          <w:szCs w:val="22"/>
        </w:rPr>
        <w:t xml:space="preserve">5. Population &amp; Per-Capita Consumption</w:t>
      </w:r>
    </w:p>
    <w:p>
      <w:pPr>
        <w:spacing w:after="120"/>
      </w:pPr>
      <w:r>
        <w:rPr>
          <w:rFonts w:ascii="Arial" w:cs="Arial" w:eastAsia="Arial" w:hAnsi="Arial"/>
          <w:color w:val="1C2833"/>
          <w:sz w:val="22"/>
          <w:szCs w:val="22"/>
        </w:rPr>
        <w:t xml:space="preserve">6. Climate System (CO₂, Temperature, Happiness)</w:t>
      </w:r>
    </w:p>
    <w:p>
      <w:pPr>
        <w:spacing w:after="120"/>
      </w:pPr>
      <w:r>
        <w:rPr>
          <w:rFonts w:ascii="Arial" w:cs="Arial" w:eastAsia="Arial" w:hAnsi="Arial"/>
          <w:color w:val="1C2833"/>
          <w:sz w:val="22"/>
          <w:szCs w:val="22"/>
        </w:rPr>
        <w:t xml:space="preserve">7. Transport, Trade &amp; Diplomacy</w:t>
      </w:r>
    </w:p>
    <w:p>
      <w:pPr>
        <w:spacing w:after="120"/>
      </w:pPr>
      <w:r>
        <w:rPr>
          <w:rFonts w:ascii="Arial" w:cs="Arial" w:eastAsia="Arial" w:hAnsi="Arial"/>
          <w:color w:val="1C2833"/>
          <w:sz w:val="22"/>
          <w:szCs w:val="22"/>
        </w:rPr>
        <w:t xml:space="preserve">8. Domestic Factions (Green-Brown Establishment Balance)</w:t>
      </w:r>
    </w:p>
    <w:p>
      <w:pPr>
        <w:spacing w:after="120"/>
      </w:pPr>
      <w:r>
        <w:rPr>
          <w:rFonts w:ascii="Arial" w:cs="Arial" w:eastAsia="Arial" w:hAnsi="Arial"/>
          <w:color w:val="1C2833"/>
          <w:sz w:val="22"/>
          <w:szCs w:val="22"/>
        </w:rPr>
        <w:t xml:space="preserve">9. Carbon Tax (Double Dividend Model)</w:t>
      </w:r>
    </w:p>
    <w:p>
      <w:pPr>
        <w:spacing w:after="120"/>
      </w:pPr>
      <w:r>
        <w:rPr>
          <w:rFonts w:ascii="Arial" w:cs="Arial" w:eastAsia="Arial" w:hAnsi="Arial"/>
          <w:color w:val="1C2833"/>
          <w:sz w:val="22"/>
          <w:szCs w:val="22"/>
        </w:rPr>
        <w:t xml:space="preserve">10. Comparison Dashboard (Pioneer/Laggard Gap Approach)</w:t>
      </w:r>
    </w:p>
    <w:p>
      <w:pPr>
        <w:spacing w:after="120"/>
      </w:pPr>
      <w:r>
        <w:rPr>
          <w:rFonts w:ascii="Arial" w:cs="Arial" w:eastAsia="Arial" w:hAnsi="Arial"/>
          <w:color w:val="1C2833"/>
          <w:sz w:val="22"/>
          <w:szCs w:val="22"/>
        </w:rPr>
        <w:t xml:space="preserve">11. Event-Driven Relations System</w:t>
      </w:r>
    </w:p>
    <w:p>
      <w:pPr>
        <w:spacing w:after="120"/>
      </w:pPr>
      <w:r>
        <w:rPr>
          <w:rFonts w:ascii="Arial" w:cs="Arial" w:eastAsia="Arial" w:hAnsi="Arial"/>
          <w:color w:val="1C2833"/>
          <w:sz w:val="22"/>
          <w:szCs w:val="22"/>
        </w:rPr>
        <w:t xml:space="preserve">12. Summit Resolutions</w:t>
      </w:r>
    </w:p>
    <w:p>
      <w:pPr>
        <w:spacing w:after="120"/>
      </w:pPr>
      <w:r>
        <w:rPr>
          <w:rFonts w:ascii="Arial" w:cs="Arial" w:eastAsia="Arial" w:hAnsi="Arial"/>
          <w:color w:val="1C2833"/>
          <w:sz w:val="22"/>
          <w:szCs w:val="22"/>
        </w:rPr>
        <w:t xml:space="preserve">13. Multiplayer Architecture &amp; Bot AI</w:t>
      </w:r>
    </w:p>
    <w:p>
      <w:pPr>
        <w:spacing w:after="120"/>
      </w:pPr>
      <w:r>
        <w:rPr>
          <w:rFonts w:ascii="Arial" w:cs="Arial" w:eastAsia="Arial" w:hAnsi="Arial"/>
          <w:color w:val="1C2833"/>
          <w:sz w:val="22"/>
          <w:szCs w:val="22"/>
        </w:rPr>
        <w:t xml:space="preserve">14. Game Theory Foundations</w:t>
      </w:r>
    </w:p>
    <w:p>
      <w:pPr>
        <w:spacing w:after="120"/>
      </w:pPr>
      <w:r>
        <w:rPr>
          <w:rFonts w:ascii="Arial" w:cs="Arial" w:eastAsia="Arial" w:hAnsi="Arial"/>
          <w:color w:val="1C2833"/>
          <w:sz w:val="22"/>
          <w:szCs w:val="22"/>
        </w:rPr>
        <w:t xml:space="preserve">15. Intended Learning Outcomes Mapping</w:t>
      </w:r>
    </w:p>
    <w:p>
      <w:pPr>
        <w:spacing w:after="120"/>
      </w:pPr>
      <w:r>
        <w:rPr>
          <w:rFonts w:ascii="Arial" w:cs="Arial" w:eastAsia="Arial" w:hAnsi="Arial"/>
          <w:color w:val="1C2833"/>
          <w:sz w:val="22"/>
          <w:szCs w:val="22"/>
        </w:rPr>
        <w:t xml:space="preserve">16. Academic References</w:t>
      </w:r>
    </w:p>
    <w:p>
      <w:r>
        <w:br w:type="page"/>
      </w:r>
    </w:p>
    <w:p>
      <w:pPr>
        <w:pStyle w:val="Heading1"/>
        <w:spacing w:after="200" w:before="360"/>
      </w:pPr>
      <w:r>
        <w:rPr>
          <w:rFonts w:ascii="Arial" w:cs="Arial" w:eastAsia="Arial" w:hAnsi="Arial"/>
          <w:b/>
          <w:bCs/>
          <w:color w:val="1B4F72"/>
          <w:sz w:val="32"/>
          <w:szCs w:val="32"/>
        </w:rPr>
        <w:t xml:space="preserve">1. Introduction &amp; Module Alignment</w:t>
      </w:r>
    </w:p>
    <w:p>
      <w:pPr>
        <w:spacing w:after="120"/>
      </w:pPr>
      <w:r>
        <w:rPr>
          <w:rFonts w:ascii="Arial" w:cs="Arial" w:eastAsia="Arial" w:hAnsi="Arial"/>
          <w:color w:val="1C2833"/>
          <w:sz w:val="22"/>
          <w:szCs w:val="22"/>
        </w:rPr>
        <w:t xml:space="preserve">Climate Diplomacy is a multiplayer simulation game in which 8 players each control a country bloc and must balance economic growth, energy production, food security, and environmental sustainability. The game operationalizes key theoretical frameworks from the module reading list, allowing students to experience the structural tensions of environmental politics through strategic decision-making.</w:t>
      </w:r>
    </w:p>
    <w:p>
      <w:pPr>
        <w:spacing w:after="120"/>
      </w:pPr>
      <w:r>
        <w:rPr>
          <w:rFonts w:ascii="Arial" w:cs="Arial" w:eastAsia="Arial" w:hAnsi="Arial"/>
          <w:color w:val="1C2833"/>
          <w:sz w:val="22"/>
          <w:szCs w:val="22"/>
        </w:rPr>
        <w:t xml:space="preserve">The game is designed as the primary deliverable for POL23200. Each mechanic maps directly to concepts from the module: comparative environmental policy analysis, domestic-international two-level games, pioneer/laggard dynamics, collective action problems, and the political economy of climate transition.</w:t>
      </w:r>
    </w:p>
    <w:p>
      <w:pPr>
        <w:pStyle w:val="Heading2"/>
        <w:spacing w:after="160" w:before="280"/>
      </w:pPr>
      <w:r>
        <w:rPr>
          <w:rFonts w:ascii="Arial" w:cs="Arial" w:eastAsia="Arial" w:hAnsi="Arial"/>
          <w:b/>
          <w:bCs/>
          <w:color w:val="2E86C1"/>
          <w:sz w:val="26"/>
          <w:szCs w:val="26"/>
        </w:rPr>
        <w:t xml:space="preserve">Core Design Philosophy</w:t>
      </w:r>
    </w:p>
    <w:p>
      <w:pPr>
        <w:spacing w:after="120"/>
      </w:pPr>
      <w:r>
        <w:rPr>
          <w:rFonts w:ascii="Arial" w:cs="Arial" w:eastAsia="Arial" w:hAnsi="Arial"/>
          <w:color w:val="1C2833"/>
          <w:sz w:val="22"/>
          <w:szCs w:val="22"/>
        </w:rPr>
        <w:t xml:space="preserve">Every game mechanic is grounded in an academic framework from the module reading list or established political science/economics literature. The game does not simplify for playability at the expense of theoretical accuracy. Instead, it makes theory tangible: students don’t read about the tragedy of the commons — they live it when global temperature rises because every player chose fossil plants for short-term economic gain.</w:t>
      </w:r>
    </w:p>
    <w:p>
      <w:r>
        <w:br w:type="page"/>
      </w:r>
    </w:p>
    <w:p>
      <w:pPr>
        <w:pStyle w:val="Heading1"/>
        <w:spacing w:after="200" w:before="360"/>
      </w:pPr>
      <w:r>
        <w:rPr>
          <w:rFonts w:ascii="Arial" w:cs="Arial" w:eastAsia="Arial" w:hAnsi="Arial"/>
          <w:b/>
          <w:bCs/>
          <w:color w:val="1B4F72"/>
          <w:sz w:val="32"/>
          <w:szCs w:val="32"/>
        </w:rPr>
        <w:t xml:space="preserve">2. Game Architecture</w:t>
      </w:r>
    </w:p>
    <w:p>
      <w:pPr>
        <w:pStyle w:val="Heading2"/>
        <w:spacing w:after="160" w:before="280"/>
      </w:pPr>
      <w:r>
        <w:rPr>
          <w:rFonts w:ascii="Arial" w:cs="Arial" w:eastAsia="Arial" w:hAnsi="Arial"/>
          <w:b/>
          <w:bCs/>
          <w:color w:val="2E86C1"/>
          <w:sz w:val="26"/>
          <w:szCs w:val="26"/>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Frontend</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React 19 + Vite 8 + TypeScript</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Single-page application with hex grid rendering</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Multiplayer</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Firebase Realtime Database</w:t>
            </w:r>
          </w:p>
        </w:tc>
        <w:tc>
          <w:tcPr>
            <w:tcW w:type="dxa" w:w="3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Synchronized game state across 8 players</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Map</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60×30 hex grid (SVG)</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Spatial resource distribution and building placement</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Cycle</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5-minute turns</w:t>
            </w:r>
          </w:p>
        </w:tc>
        <w:tc>
          <w:tcPr>
            <w:tcW w:type="dxa" w:w="3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14-step automated processing per cycle</w:t>
            </w:r>
          </w:p>
        </w:tc>
      </w:tr>
    </w:tbl>
    <w:p>
      <w:pPr>
        <w:pStyle w:val="Heading2"/>
        <w:spacing w:after="160" w:before="280"/>
      </w:pPr>
      <w:r>
        <w:rPr>
          <w:rFonts w:ascii="Arial" w:cs="Arial" w:eastAsia="Arial" w:hAnsi="Arial"/>
          <w:b/>
          <w:bCs/>
          <w:color w:val="2E86C1"/>
          <w:sz w:val="26"/>
          <w:szCs w:val="26"/>
        </w:rPr>
        <w:t xml:space="preserve">Game Loop</w:t>
      </w:r>
    </w:p>
    <w:p>
      <w:pPr>
        <w:spacing w:after="120"/>
      </w:pPr>
      <w:r>
        <w:rPr>
          <w:rFonts w:ascii="Arial" w:cs="Arial" w:eastAsia="Arial" w:hAnsi="Arial"/>
          <w:color w:val="1C2833"/>
          <w:sz w:val="22"/>
          <w:szCs w:val="22"/>
        </w:rPr>
        <w:t xml:space="preserve">Each cycle (5 minutes) follows a strict 14-step processing order. Players take actions (build, trade, set carbon tax, vote on summits) during the cycle. At the end, the engine processes all effects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5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Per-capita consumption</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Population drains food/energy/money</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Workforce check</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LIFO idle if insufficient workers; crisis forces all idle</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Extraction</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Extractors produce fuel/uranium/rare earth</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Material consumption</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Fossil consumes fuel, nuclear consumes uranium</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Building yields</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Active buildings produce outputs</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Recurring costs</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Active buildings consume inputs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Trade processing</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Continuous trades, transit fees, transport CO₂</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CO₂ sum</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Total national CO₂ from all sources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8b</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Carbon tax</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Collect tax, recycle revenue</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Temperature update</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Global temp += total CO₂ × 0.001</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10</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effects</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Farm yield penalty above +2.0°C</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Happiness update</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CO₂ + temperature + shortage + faction modifiers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11b</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Faction modifier</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Green-brown satisfaction affects happiness</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12</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Population effects</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Crisis/collapse: population loss, riots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12b</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Relations update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Continuous trade bonuses, emission penalties</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13</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Clamp negatives</w:t>
            </w:r>
          </w:p>
        </w:tc>
        <w:tc>
          <w:tcPr>
            <w:tcW w:type="dxa" w:w="5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Floor food/energy at 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14</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Advance cycle</w:t>
            </w:r>
          </w:p>
        </w:tc>
        <w:tc>
          <w:tcPr>
            <w:tcW w:type="dxa" w:w="5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Increment cycle counter</w:t>
            </w:r>
          </w:p>
        </w:tc>
      </w:tr>
    </w:tbl>
    <w:p>
      <w:r>
        <w:br w:type="page"/>
      </w:r>
    </w:p>
    <w:p>
      <w:pPr>
        <w:pStyle w:val="Heading1"/>
        <w:spacing w:after="200" w:before="360"/>
      </w:pPr>
      <w:r>
        <w:rPr>
          <w:rFonts w:ascii="Arial" w:cs="Arial" w:eastAsia="Arial" w:hAnsi="Arial"/>
          <w:b/>
          <w:bCs/>
          <w:color w:val="1B4F72"/>
          <w:sz w:val="32"/>
          <w:szCs w:val="32"/>
        </w:rPr>
        <w:t xml:space="preserve">3. Countries &amp; Starting Conditions</w:t>
      </w:r>
    </w:p>
    <w:p>
      <w:pPr>
        <w:spacing w:after="120"/>
      </w:pPr>
      <w:r>
        <w:rPr>
          <w:rFonts w:ascii="Arial" w:cs="Arial" w:eastAsia="Arial" w:hAnsi="Arial"/>
          <w:color w:val="1C2833"/>
          <w:sz w:val="22"/>
          <w:szCs w:val="22"/>
        </w:rPr>
        <w:t xml:space="preserve">Eight country blocs represent the major geopolitical actors in climate politics. Starting values are scaled from real-world data (population /10 from millions, resources proportional to GDP/energy production).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00"/>
        <w:gridCol w:w="1100"/>
        <w:gridCol w:w="1000"/>
        <w:gridCol w:w="1260"/>
        <w:gridCol w:w="900"/>
        <w:gridCol w:w="1000"/>
      </w:tblGrid>
      <w:tr>
        <w:trPr>
          <w:tblHeader/>
        </w:trPr>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Pop</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Money</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Energy</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Food</w:t>
            </w:r>
          </w:p>
        </w:tc>
        <w:tc>
          <w:tcPr>
            <w:tcW w:type="dxa" w:w="1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Happiness</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CO₂</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85</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42</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38</w:t>
            </w:r>
          </w:p>
        </w:tc>
        <w:tc>
          <w:tcPr>
            <w:tcW w:type="dxa" w:w="1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72</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72</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75</w:t>
            </w:r>
          </w:p>
        </w:tc>
      </w:tr>
      <w:tr>
        <w:tc>
          <w:tcPr>
            <w:tcW w:type="dxa" w:w="1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22</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62</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28</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24</w:t>
            </w:r>
          </w:p>
        </w:tc>
        <w:tc>
          <w:tcPr>
            <w:tcW w:type="dxa" w:w="1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78</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20</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85</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Russia</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20</w:t>
            </w:r>
          </w:p>
        </w:tc>
        <w:tc>
          <w:tcPr>
            <w:tcW w:type="dxa" w:w="1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65</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55</w:t>
            </w:r>
          </w:p>
        </w:tc>
      </w:tr>
      <w:tr>
        <w:tc>
          <w:tcPr>
            <w:tcW w:type="dxa" w:w="1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China</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90</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72</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56</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42</w:t>
            </w:r>
          </w:p>
        </w:tc>
        <w:tc>
          <w:tcPr>
            <w:tcW w:type="dxa" w:w="1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68</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78</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70</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India</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18</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32</w:t>
            </w:r>
          </w:p>
        </w:tc>
        <w:tc>
          <w:tcPr>
            <w:tcW w:type="dxa" w:w="1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62</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45</w:t>
            </w:r>
          </w:p>
        </w:tc>
      </w:tr>
      <w:tr>
        <w:tc>
          <w:tcPr>
            <w:tcW w:type="dxa" w:w="1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OPEC</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28</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54</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62</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14</w:t>
            </w:r>
          </w:p>
        </w:tc>
        <w:tc>
          <w:tcPr>
            <w:tcW w:type="dxa" w:w="1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70</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42</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40</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LatAm</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22</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48</w:t>
            </w:r>
          </w:p>
        </w:tc>
        <w:tc>
          <w:tcPr>
            <w:tcW w:type="dxa" w:w="1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66</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38</w:t>
            </w:r>
          </w:p>
        </w:tc>
      </w:tr>
      <w:tr>
        <w:tc>
          <w:tcPr>
            <w:tcW w:type="dxa" w:w="1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Africa</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82</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18</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12</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26</w:t>
            </w:r>
          </w:p>
        </w:tc>
        <w:tc>
          <w:tcPr>
            <w:tcW w:type="dxa" w:w="1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58</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30</w:t>
            </w:r>
          </w:p>
        </w:tc>
      </w:tr>
    </w:tbl>
    <w:p>
      <w:pPr>
        <w:pStyle w:val="Heading2"/>
        <w:spacing w:after="160" w:before="280"/>
      </w:pPr>
      <w:r>
        <w:rPr>
          <w:rFonts w:ascii="Arial" w:cs="Arial" w:eastAsia="Arial" w:hAnsi="Arial"/>
          <w:b/>
          <w:bCs/>
          <w:color w:val="2E86C1"/>
          <w:sz w:val="26"/>
          <w:szCs w:val="26"/>
        </w:rPr>
        <w:t xml:space="preserve">Country Profiles &amp; Strategic Identity</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USA</w:t>
      </w:r>
      <w:r>
        <w:rPr>
          <w:rFonts w:ascii="Arial" w:cs="Arial" w:eastAsia="Arial" w:hAnsi="Arial"/>
          <w:color w:val="1C2833"/>
          <w:sz w:val="22"/>
          <w:szCs w:val="22"/>
        </w:rPr>
        <w:t xml:space="preserve"> — Rich, industrial, high emissions. Can afford green transition but fossil is economically easier. Mirrors real US tension between economic growth and climate action.</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EU</w:t>
      </w:r>
      <w:r>
        <w:rPr>
          <w:rFonts w:ascii="Arial" w:cs="Arial" w:eastAsia="Arial" w:hAnsi="Arial"/>
          <w:color w:val="1C2833"/>
          <w:sz w:val="22"/>
          <w:szCs w:val="22"/>
        </w:rPr>
        <w:t xml:space="preserve"> — Highest technology, resource-poor. Must import energy and materials. Natural green leader but import-dependent. Reflects EU’s regulatory leadership vs. energy vulnerability.</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Russia</w:t>
      </w:r>
      <w:r>
        <w:rPr>
          <w:rFonts w:ascii="Arial" w:cs="Arial" w:eastAsia="Arial" w:hAnsi="Arial"/>
          <w:color w:val="1C2833"/>
          <w:sz w:val="22"/>
          <w:szCs w:val="22"/>
        </w:rPr>
        <w:t xml:space="preserve"> — Fossil exporter with gas/coal wealth. Low population, high energy leverage. Existentially threatened by global green transition (loses export market).</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China</w:t>
      </w:r>
      <w:r>
        <w:rPr>
          <w:rFonts w:ascii="Arial" w:cs="Arial" w:eastAsia="Arial" w:hAnsi="Arial"/>
          <w:color w:val="1C2833"/>
          <w:sz w:val="22"/>
          <w:szCs w:val="22"/>
        </w:rPr>
        <w:t xml:space="preserve"> — Manufacturing powerhouse with rare earth monopoly. Massive workforce and emissions. The swing state — could go either way on climate. 50/50 faction split.</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India</w:t>
      </w:r>
      <w:r>
        <w:rPr>
          <w:rFonts w:ascii="Arial" w:cs="Arial" w:eastAsia="Arial" w:hAnsi="Arial"/>
          <w:color w:val="1C2833"/>
          <w:sz w:val="22"/>
          <w:szCs w:val="22"/>
        </w:rPr>
        <w:t xml:space="preserve"> — Huge population, low capital and technology. High solar potential. Embodies the climate justice argument: low historical emissions but high vulnerability.</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OPEC</w:t>
      </w:r>
      <w:r>
        <w:rPr>
          <w:rFonts w:ascii="Arial" w:cs="Arial" w:eastAsia="Arial" w:hAnsi="Arial"/>
          <w:color w:val="1C2833"/>
          <w:sz w:val="22"/>
          <w:szCs w:val="22"/>
        </w:rPr>
        <w:t xml:space="preserve"> — Oil/gas rich, food-poor. Economy IS fossil fuel (oil rents 20–40% GDP). Existential threat from green transition. Most locked-in country.</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Latin America</w:t>
      </w:r>
      <w:r>
        <w:rPr>
          <w:rFonts w:ascii="Arial" w:cs="Arial" w:eastAsia="Arial" w:hAnsi="Arial"/>
          <w:color w:val="1C2833"/>
          <w:sz w:val="22"/>
          <w:szCs w:val="22"/>
        </w:rPr>
        <w:t xml:space="preserve"> — Food surplus, hydro potential, forests. Infrastructure gaps but natural green advantages. Food exporter = geopolitical leverage.</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Africa</w:t>
      </w:r>
      <w:r>
        <w:rPr>
          <w:rFonts w:ascii="Arial" w:cs="Arial" w:eastAsia="Arial" w:hAnsi="Arial"/>
          <w:color w:val="1C2833"/>
          <w:sz w:val="22"/>
          <w:szCs w:val="22"/>
        </w:rPr>
        <w:t xml:space="preserve"> — Mineral-rich, capital-poor. Lowest technology, highest unmet needs. Development vs. environment dilemma personified.</w:t>
      </w:r>
    </w:p>
    <w:p>
      <w:r>
        <w:br w:type="page"/>
      </w:r>
    </w:p>
    <w:p>
      <w:pPr>
        <w:pStyle w:val="Heading1"/>
        <w:spacing w:after="200" w:before="360"/>
      </w:pPr>
      <w:r>
        <w:rPr>
          <w:rFonts w:ascii="Arial" w:cs="Arial" w:eastAsia="Arial" w:hAnsi="Arial"/>
          <w:b/>
          <w:bCs/>
          <w:color w:val="1B4F72"/>
          <w:sz w:val="32"/>
          <w:szCs w:val="32"/>
        </w:rPr>
        <w:t xml:space="preserve">4. Resources, Materials &amp; Buildings</w:t>
      </w:r>
    </w:p>
    <w:p>
      <w:pPr>
        <w:pStyle w:val="Heading2"/>
        <w:spacing w:after="160" w:before="280"/>
      </w:pPr>
      <w:r>
        <w:rPr>
          <w:rFonts w:ascii="Arial" w:cs="Arial" w:eastAsia="Arial" w:hAnsi="Arial"/>
          <w:b/>
          <w:bCs/>
          <w:color w:val="2E86C1"/>
          <w:sz w:val="26"/>
          <w:szCs w:val="26"/>
        </w:rPr>
        <w:t xml:space="preserve">7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7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Money</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Build cost, upkeep, trade currency</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Energy</w:t>
            </w:r>
          </w:p>
        </w:tc>
        <w:tc>
          <w:tcPr>
            <w:tcW w:type="dxa" w:w="7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Powers industry and cities, consumed per capita</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Food</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Feeds population, consumed per capita</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Population</w:t>
            </w:r>
          </w:p>
        </w:tc>
        <w:tc>
          <w:tcPr>
            <w:tcW w:type="dxa" w:w="7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Workforce and consumers. Tradeable via immigration deals.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Happiness</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Political stability. Cascade effects below 50.</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CO₂</w:t>
            </w:r>
          </w:p>
        </w:tc>
        <w:tc>
          <w:tcPr>
            <w:tcW w:type="dxa" w:w="7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Emissions. Feeds shared global temperature model.</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Technology</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Engineering capacity. Consumed to build green/nuclear. Only source: Manufacturing.</w:t>
            </w:r>
          </w:p>
        </w:tc>
      </w:tr>
    </w:tbl>
    <w:p>
      <w:pPr>
        <w:pStyle w:val="Heading2"/>
        <w:spacing w:after="160" w:before="280"/>
      </w:pPr>
      <w:r>
        <w:rPr>
          <w:rFonts w:ascii="Arial" w:cs="Arial" w:eastAsia="Arial" w:hAnsi="Arial"/>
          <w:b/>
          <w:bCs/>
          <w:color w:val="2E86C1"/>
          <w:sz w:val="26"/>
          <w:szCs w:val="26"/>
        </w:rPr>
        <w:t xml:space="preserve">3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By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Fuel</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Extracted from fuel deposit tiles</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Plant (consumed per cycle)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Uranium</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Extracted from uranium deposit tiles</w:t>
            </w:r>
          </w:p>
        </w:tc>
        <w:tc>
          <w:tcPr>
            <w:tcW w:type="dxa" w:w="3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Nuclear Plant (consumed per cycle)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Rare Earth</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Extracted from rare earth deposit tiles</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Manufacturing (+50% tech bonus if stockpile ≥ 1)</w:t>
            </w:r>
          </w:p>
        </w:tc>
      </w:tr>
    </w:tbl>
    <w:p>
      <w:pPr>
        <w:pStyle w:val="Heading2"/>
        <w:spacing w:after="160" w:before="280"/>
      </w:pPr>
      <w:r>
        <w:rPr>
          <w:rFonts w:ascii="Arial" w:cs="Arial" w:eastAsia="Arial" w:hAnsi="Arial"/>
          <w:b/>
          <w:bCs/>
          <w:color w:val="2E86C1"/>
          <w:sz w:val="26"/>
          <w:szCs w:val="26"/>
        </w:rPr>
        <w:t xml:space="preserve">9 Building Types</w:t>
      </w:r>
    </w:p>
    <w:p>
      <w:pPr>
        <w:spacing w:after="120"/>
      </w:pPr>
      <w:r>
        <w:rPr>
          <w:rFonts w:ascii="Arial" w:cs="Arial" w:eastAsia="Arial" w:hAnsi="Arial"/>
          <w:color w:val="1C2833"/>
          <w:sz w:val="22"/>
          <w:szCs w:val="22"/>
        </w:rPr>
        <w:t xml:space="preserve">Each building has 3 upgrade tiers (T1–T3) with increasing costs and yields. Buildings require workforce (population) to operate. If population is insufficient, newest buildings go idle first (LIFO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32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Building</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CO₂</w:t>
            </w:r>
          </w:p>
        </w:tc>
        <w:tc>
          <w:tcPr>
            <w:tcW w:type="dxa" w:w="3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Mechanic</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Plant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Cheap energy, consumes fuel</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30/45/55</w:t>
            </w:r>
          </w:p>
        </w:tc>
        <w:tc>
          <w:tcPr>
            <w:tcW w:type="dxa" w:w="3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Workhorse energy but high emissions</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Plant</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Clean energy, needs tech to build</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0</w:t>
            </w:r>
          </w:p>
        </w:tc>
        <w:tc>
          <w:tcPr>
            <w:tcW w:type="dxa" w:w="3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Expensive but zero emissions. +30% on desert.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Nuclear Plant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Maximum clean energy, needs uranium</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0</w:t>
            </w:r>
          </w:p>
        </w:tc>
        <w:tc>
          <w:tcPr>
            <w:tcW w:type="dxa" w:w="3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Happiness penalty. High cost. Zero emissions.</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Industrial Complex</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Energy → Money</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8/12/15</w:t>
            </w:r>
          </w:p>
        </w:tc>
        <w:tc>
          <w:tcPr>
            <w:tcW w:type="dxa" w:w="3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Economic engine. Highest workforce (20).</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Manufacturing</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Energy → Technology</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5/8/8</w:t>
            </w:r>
          </w:p>
        </w:tc>
        <w:tc>
          <w:tcPr>
            <w:tcW w:type="dxa" w:w="3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Only domestic tech source. +50% with rare earth.</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City</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Population growth + money</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5/8/10</w:t>
            </w:r>
          </w:p>
        </w:tc>
        <w:tc>
          <w:tcPr>
            <w:tcW w:type="dxa" w:w="3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Heavy food/energy demands. Halved in unrest.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Farm</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Food production</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0</w:t>
            </w:r>
          </w:p>
        </w:tc>
        <w:tc>
          <w:tcPr>
            <w:tcW w:type="dxa" w:w="3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Agricultural terrain only. Climate-vulnerable.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Extractor</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Mines raw materials</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3/4/5</w:t>
            </w:r>
          </w:p>
        </w:tc>
        <w:tc>
          <w:tcPr>
            <w:tcW w:type="dxa" w:w="3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Deposit tile only. Fuels fossil/nuclear.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Transport Hub</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Enables trade routes</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0</w:t>
            </w:r>
          </w:p>
        </w:tc>
        <w:tc>
          <w:tcPr>
            <w:tcW w:type="dxa" w:w="3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T1=land, T2=+sea (coastal), T3=+air.</w:t>
            </w:r>
          </w:p>
        </w:tc>
      </w:tr>
    </w:tbl>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Technology as a gate:</w:t>
      </w:r>
      <w:r>
        <w:rPr>
          <w:rFonts w:ascii="Arial" w:cs="Arial" w:eastAsia="Arial" w:hAnsi="Arial"/>
          <w:color w:val="1C2833"/>
          <w:sz w:val="22"/>
          <w:szCs w:val="22"/>
        </w:rPr>
        <w:t xml:space="preserve"> Green and Nuclear plants require technology in the stockpile to build. Technology is only produced by Manufacturing buildings (or imported via trade). This creates a deliberate sequencing challenge: you must invest in Manufacturing before you can transition to clean energy. Countries without rare earth deposits produce technology at half the rate.</w:t>
      </w:r>
    </w:p>
    <w:p>
      <w:r>
        <w:br w:type="page"/>
      </w:r>
    </w:p>
    <w:p>
      <w:pPr>
        <w:pStyle w:val="Heading1"/>
        <w:spacing w:after="200" w:before="360"/>
      </w:pPr>
      <w:r>
        <w:rPr>
          <w:rFonts w:ascii="Arial" w:cs="Arial" w:eastAsia="Arial" w:hAnsi="Arial"/>
          <w:b/>
          <w:bCs/>
          <w:color w:val="1B4F72"/>
          <w:sz w:val="32"/>
          <w:szCs w:val="32"/>
        </w:rPr>
        <w:t xml:space="preserve">5. Population &amp; Per-Capita Consumption</w:t>
      </w:r>
    </w:p>
    <w:p>
      <w:pPr>
        <w:spacing w:after="120"/>
      </w:pPr>
      <w:r>
        <w:rPr>
          <w:rFonts w:ascii="Arial" w:cs="Arial" w:eastAsia="Arial" w:hAnsi="Arial"/>
          <w:i/>
          <w:iCs/>
          <w:color w:val="566573"/>
          <w:sz w:val="22"/>
          <w:szCs w:val="22"/>
        </w:rPr>
        <w:t xml:space="preserve">Academic basis: Development economics — population as both asset (labor) and liability (resource drain). Mirrors real demographic challenges facing India, China, and Africa.</w:t>
      </w:r>
    </w:p>
    <w:p>
      <w:pPr>
        <w:spacing w:after="120"/>
      </w:pPr>
      <w:r>
        <w:rPr>
          <w:rFonts w:ascii="Arial" w:cs="Arial" w:eastAsia="Arial" w:hAnsi="Arial"/>
          <w:color w:val="1C2833"/>
          <w:sz w:val="22"/>
          <w:szCs w:val="22"/>
        </w:rPr>
        <w:t xml:space="preserve">Every cycle, population consumes resources independent of buildings. This is the fundamental constraint that makes population growth a double-edged 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Per 100 Population / Cycle</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Implication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Food</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Large populations need massive food infrastructure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Energy</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w:t>
            </w:r>
          </w:p>
        </w:tc>
        <w:tc>
          <w:tcPr>
            <w:tcW w:type="dxa" w:w="3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Heating, transport, daily life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Money</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w:t>
            </w:r>
          </w:p>
        </w:tc>
        <w:tc>
          <w:tcPr>
            <w:tcW w:type="dxa" w:w="3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Public services, infrastructure maintenance</w:t>
            </w:r>
          </w:p>
        </w:tc>
      </w:tr>
    </w:tbl>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Critical asymmetry:</w:t>
      </w:r>
      <w:r>
        <w:rPr>
          <w:rFonts w:ascii="Arial" w:cs="Arial" w:eastAsia="Arial" w:hAnsi="Arial"/>
          <w:color w:val="1C2833"/>
          <w:sz w:val="22"/>
          <w:szCs w:val="22"/>
        </w:rPr>
        <w:t xml:space="preserve"> China (pop 90) drains 27 food, 18 energy, 9 money per cycle just for existing people. USA (pop 33) drains only 10, 7, 3. Africa (pop 82) runs out of food in approximately 6 cycles without building farms. This asymmetry IS the rich-poor divide in environmental politics — large-population developing countries cannot afford to wait.</w:t>
      </w:r>
    </w:p>
    <w:p>
      <w:pPr>
        <w:pStyle w:val="Heading2"/>
        <w:spacing w:after="160" w:before="280"/>
      </w:pPr>
      <w:r>
        <w:rPr>
          <w:rFonts w:ascii="Arial" w:cs="Arial" w:eastAsia="Arial" w:hAnsi="Arial"/>
          <w:b/>
          <w:bCs/>
          <w:color w:val="2E86C1"/>
          <w:sz w:val="26"/>
          <w:szCs w:val="26"/>
        </w:rPr>
        <w:t xml:space="preserve">Happiness Cascade</w:t>
      </w:r>
    </w:p>
    <w:p>
      <w:pPr>
        <w:spacing w:after="120"/>
      </w:pPr>
      <w:r>
        <w:rPr>
          <w:rFonts w:ascii="Arial" w:cs="Arial" w:eastAsia="Arial" w:hAnsi="Arial"/>
          <w:color w:val="1C2833"/>
          <w:sz w:val="22"/>
          <w:szCs w:val="22"/>
        </w:rPr>
        <w:t xml:space="preserve">Happiness is the political stability indicator. It is affected by CO₂ levels, global temperature, resource shortages, and faction satisfaction. When it drops, consequences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5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Stable</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70+</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Normal growth and production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Concerned</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50–70</w:t>
            </w:r>
          </w:p>
        </w:tc>
        <w:tc>
          <w:tcPr>
            <w:tcW w:type="dxa" w:w="5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No bonus, no penalty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Unrest</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30–50</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City population yields halved</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Crisis</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15–30</w:t>
            </w:r>
          </w:p>
        </w:tc>
        <w:tc>
          <w:tcPr>
            <w:tcW w:type="dxa" w:w="5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All buildings forced idle. −5% population per cycle.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Collapse</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&lt;15</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All buildings idle. −10% population. Random building destroyed (riots).</w:t>
            </w:r>
          </w:p>
        </w:tc>
      </w:tr>
    </w:tbl>
    <w:p>
      <w:r>
        <w:br w:type="page"/>
      </w:r>
    </w:p>
    <w:p>
      <w:pPr>
        <w:pStyle w:val="Heading1"/>
        <w:spacing w:after="200" w:before="360"/>
      </w:pPr>
      <w:r>
        <w:rPr>
          <w:rFonts w:ascii="Arial" w:cs="Arial" w:eastAsia="Arial" w:hAnsi="Arial"/>
          <w:b/>
          <w:bCs/>
          <w:color w:val="1B4F72"/>
          <w:sz w:val="32"/>
          <w:szCs w:val="32"/>
        </w:rPr>
        <w:t xml:space="preserve">6. Climate System</w:t>
      </w:r>
    </w:p>
    <w:p>
      <w:pPr>
        <w:spacing w:after="120"/>
      </w:pPr>
      <w:r>
        <w:rPr>
          <w:rFonts w:ascii="Arial" w:cs="Arial" w:eastAsia="Arial" w:hAnsi="Arial"/>
          <w:i/>
          <w:iCs/>
          <w:color w:val="566573"/>
          <w:sz w:val="22"/>
          <w:szCs w:val="22"/>
        </w:rPr>
        <w:t xml:space="preserve">Academic basis: Nordhaus DICE model (2018 Nobel). Global temperature as a shared externality. Climate damage functions linking temperature rise to economic/welfare loss.</w:t>
      </w:r>
    </w:p>
    <w:p>
      <w:pPr>
        <w:pStyle w:val="Heading2"/>
        <w:spacing w:after="160" w:before="280"/>
      </w:pPr>
      <w:r>
        <w:rPr>
          <w:rFonts w:ascii="Arial" w:cs="Arial" w:eastAsia="Arial" w:hAnsi="Arial"/>
          <w:b/>
          <w:bCs/>
          <w:color w:val="2E86C1"/>
          <w:sz w:val="26"/>
          <w:szCs w:val="26"/>
        </w:rPr>
        <w:t xml:space="preserve">Global Temperature Model</w:t>
      </w:r>
    </w:p>
    <w:p>
      <w:pPr>
        <w:spacing w:after="120"/>
      </w:pPr>
      <w:r>
        <w:rPr>
          <w:rFonts w:ascii="Arial" w:cs="Arial" w:eastAsia="Arial" w:hAnsi="Arial"/>
          <w:color w:val="1C2833"/>
          <w:sz w:val="22"/>
          <w:szCs w:val="22"/>
        </w:rPr>
        <w:t xml:space="preserve">Temperature starts at 1.0°C above pre-industrial. Each cycle: temperature += totalCycleCO₂ × 0.001. This is a simplified but directionally accurate representation of the carbon budget concept — cumulative emissions drive temperature, and the relationship is approximately linear (IPCC AR5 finding).</w:t>
      </w:r>
    </w:p>
    <w:p>
      <w:pPr>
        <w:pStyle w:val="Heading2"/>
        <w:spacing w:after="160" w:before="280"/>
      </w:pPr>
      <w:r>
        <w:rPr>
          <w:rFonts w:ascii="Arial" w:cs="Arial" w:eastAsia="Arial" w:hAnsi="Arial"/>
          <w:b/>
          <w:bCs/>
          <w:color w:val="2E86C1"/>
          <w:sz w:val="26"/>
          <w:szCs w:val="26"/>
        </w:rPr>
        <w:t xml:space="preserve">CO₂ → Happiness (National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Country CO₂</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Happiness / Cycle</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&lt; 100</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 (clean record bonus)</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100–300</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0</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300–500</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&gt; 500</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w:t>
            </w:r>
          </w:p>
        </w:tc>
      </w:tr>
    </w:tbl>
    <w:p>
      <w:pPr>
        <w:pStyle w:val="Heading2"/>
        <w:spacing w:after="160" w:before="280"/>
      </w:pPr>
      <w:r>
        <w:rPr>
          <w:rFonts w:ascii="Arial" w:cs="Arial" w:eastAsia="Arial" w:hAnsi="Arial"/>
          <w:b/>
          <w:bCs/>
          <w:color w:val="2E86C1"/>
          <w:sz w:val="26"/>
          <w:szCs w:val="26"/>
        </w:rPr>
        <w:t xml:space="preserve">Global Temperature → Happiness (Everyone Suffers)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Global Temp</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Happiness / Cycle (All Countries)</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&lt; +1.5°C</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0</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+1.5–+2.0°C</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+2.0–+2.5°C</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+2.5–+3.0°C</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&gt; +3.0°C</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−12 (catastrophic)</w:t>
            </w:r>
          </w:p>
        </w:tc>
      </w:tr>
    </w:tbl>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Climate injustice mechanic:</w:t>
      </w:r>
      <w:r>
        <w:rPr>
          <w:rFonts w:ascii="Arial" w:cs="Arial" w:eastAsia="Arial" w:hAnsi="Arial"/>
          <w:color w:val="1C2833"/>
          <w:sz w:val="22"/>
          <w:szCs w:val="22"/>
        </w:rPr>
        <w:t xml:space="preserve"> India (CO₂ = 13, clean) still suffers −5 happiness/cycle when global temperature hits +2.3°C because of other countries’ emissions. This is the free-rider problem made visceral — clean countries pay for dirty countries’ choices.</w:t>
      </w:r>
    </w:p>
    <w:p>
      <w:pPr>
        <w:pStyle w:val="Heading2"/>
        <w:spacing w:after="160" w:before="280"/>
      </w:pPr>
      <w:r>
        <w:rPr>
          <w:rFonts w:ascii="Arial" w:cs="Arial" w:eastAsia="Arial" w:hAnsi="Arial"/>
          <w:b/>
          <w:bCs/>
          <w:color w:val="2E86C1"/>
          <w:sz w:val="26"/>
          <w:szCs w:val="26"/>
        </w:rPr>
        <w:t xml:space="preserve">Farm Climate Vulnerability</w:t>
      </w:r>
    </w:p>
    <w:p>
      <w:pPr>
        <w:spacing w:after="120"/>
      </w:pPr>
      <w:r>
        <w:rPr>
          <w:rFonts w:ascii="Arial" w:cs="Arial" w:eastAsia="Arial" w:hAnsi="Arial"/>
          <w:color w:val="1C2833"/>
          <w:sz w:val="22"/>
          <w:szCs w:val="22"/>
        </w:rPr>
        <w:t xml:space="preserve">Above +2.0°C global temperature, all farms lose 20% yield. Above +3.0°C, they lose 40%. Food-dependent countries (China, India, Africa) are disproportionately affected. This creates pressure for collective action on emissions even from countries with low individual CO₂.</w:t>
      </w:r>
    </w:p>
    <w:p>
      <w:r>
        <w:br w:type="page"/>
      </w:r>
    </w:p>
    <w:p>
      <w:pPr>
        <w:pStyle w:val="Heading1"/>
        <w:spacing w:after="200" w:before="360"/>
      </w:pPr>
      <w:r>
        <w:rPr>
          <w:rFonts w:ascii="Arial" w:cs="Arial" w:eastAsia="Arial" w:hAnsi="Arial"/>
          <w:b/>
          <w:bCs/>
          <w:color w:val="1B4F72"/>
          <w:sz w:val="32"/>
          <w:szCs w:val="32"/>
        </w:rPr>
        <w:t xml:space="preserve">7. Transport, Trade &amp; Diplomacy</w:t>
      </w:r>
    </w:p>
    <w:p>
      <w:pPr>
        <w:spacing w:after="120"/>
      </w:pPr>
      <w:r>
        <w:rPr>
          <w:rFonts w:ascii="Arial" w:cs="Arial" w:eastAsia="Arial" w:hAnsi="Arial"/>
          <w:i/>
          <w:iCs/>
          <w:color w:val="566573"/>
          <w:sz w:val="22"/>
          <w:szCs w:val="22"/>
        </w:rPr>
        <w:t xml:space="preserve">Academic basis: International political economy. Trade dependency as leverage. Transit agreements as proxy for geopolitical influence (cf. Russia-EU gas transit through Ukraine).</w:t>
      </w:r>
    </w:p>
    <w:p>
      <w:pPr>
        <w:pStyle w:val="Heading2"/>
        <w:spacing w:after="160" w:before="280"/>
      </w:pPr>
      <w:r>
        <w:rPr>
          <w:rFonts w:ascii="Arial" w:cs="Arial" w:eastAsia="Arial" w:hAnsi="Arial"/>
          <w:b/>
          <w:bCs/>
          <w:color w:val="2E86C1"/>
          <w:sz w:val="26"/>
          <w:szCs w:val="26"/>
        </w:rPr>
        <w:t xml:space="preserve">Transport Hub System</w:t>
      </w:r>
    </w:p>
    <w:p>
      <w:pPr>
        <w:spacing w:after="120"/>
      </w:pPr>
      <w:r>
        <w:rPr>
          <w:rFonts w:ascii="Arial" w:cs="Arial" w:eastAsia="Arial" w:hAnsi="Arial"/>
          <w:color w:val="1C2833"/>
          <w:sz w:val="22"/>
          <w:szCs w:val="22"/>
        </w:rPr>
        <w:t xml:space="preserve">Trade requires Transport Hubs. Hub tier determines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Reach</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Capacity</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T1</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Land neighbors only (BFS over border pairs)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20 units/cycle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Any land tile</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T2</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+Sea routes</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40 units/cycle</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Coastal tile required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T3</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+Air (anyone to anyone)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60 units/cycle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Any land tile</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Post-T3</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Same as T3</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+20 per upgrade</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 money each, unlimited</w:t>
            </w:r>
          </w:p>
        </w:tc>
      </w:tr>
    </w:tbl>
    <w:p>
      <w:pPr>
        <w:pStyle w:val="Heading2"/>
        <w:spacing w:after="160" w:before="280"/>
      </w:pPr>
      <w:r>
        <w:rPr>
          <w:rFonts w:ascii="Arial" w:cs="Arial" w:eastAsia="Arial" w:hAnsi="Arial"/>
          <w:b/>
          <w:bCs/>
          <w:color w:val="2E86C1"/>
          <w:sz w:val="26"/>
          <w:szCs w:val="26"/>
        </w:rPr>
        <w:t xml:space="preserve">Border Adjacency Graph</w:t>
      </w:r>
    </w:p>
    <w:p>
      <w:pPr>
        <w:spacing w:after="120"/>
      </w:pPr>
      <w:r>
        <w:rPr>
          <w:rFonts w:ascii="Arial" w:cs="Arial" w:eastAsia="Arial" w:hAnsi="Arial"/>
          <w:color w:val="1C2833"/>
          <w:sz w:val="22"/>
          <w:szCs w:val="22"/>
        </w:rPr>
        <w:t xml:space="preserve">Land routes use BFS pathfinding over 10 border pairs: USA↔LatAm, EU↔Russia, EU↔Africa, Russia↔China, Russia↔OPEC, China↔India, China↔OPEC, India↔OPEC, OPEC↔Africa, Africa↔LatAm.</w:t>
      </w:r>
    </w:p>
    <w:p>
      <w:pPr>
        <w:pStyle w:val="Heading2"/>
        <w:spacing w:after="160" w:before="280"/>
      </w:pPr>
      <w:r>
        <w:rPr>
          <w:rFonts w:ascii="Arial" w:cs="Arial" w:eastAsia="Arial" w:hAnsi="Arial"/>
          <w:b/>
          <w:bCs/>
          <w:color w:val="2E86C1"/>
          <w:sz w:val="26"/>
          <w:szCs w:val="26"/>
        </w:rPr>
        <w:t xml:space="preserve">Transit Agreements</w:t>
      </w:r>
    </w:p>
    <w:p>
      <w:pPr>
        <w:spacing w:after="120"/>
      </w:pPr>
      <w:r>
        <w:rPr>
          <w:rFonts w:ascii="Arial" w:cs="Arial" w:eastAsia="Arial" w:hAnsi="Arial"/>
          <w:color w:val="1C2833"/>
          <w:sz w:val="22"/>
          <w:szCs w:val="22"/>
        </w:rPr>
        <w:t xml:space="preserve">Land routes through intermediate countries require transit permission. The transit country sets a fee (flat or commission-based). Transit is auto-cancelled if bilateral relations drop below 30 — creating a mechanism where diplomatic deterioration physically disrupts trade routes, mirroring real-world scenarios like the Russia-Ukraine gas transit dispute.</w:t>
      </w:r>
    </w:p>
    <w:p>
      <w:pPr>
        <w:pStyle w:val="Heading2"/>
        <w:spacing w:after="160" w:before="280"/>
      </w:pPr>
      <w:r>
        <w:rPr>
          <w:rFonts w:ascii="Arial" w:cs="Arial" w:eastAsia="Arial" w:hAnsi="Arial"/>
          <w:b/>
          <w:bCs/>
          <w:color w:val="2E86C1"/>
          <w:sz w:val="26"/>
          <w:szCs w:val="26"/>
        </w:rPr>
        <w:t xml:space="preserve">Transport Emissions</w:t>
      </w:r>
    </w:p>
    <w:p>
      <w:pPr>
        <w:spacing w:after="120"/>
      </w:pPr>
      <w:r>
        <w:rPr>
          <w:rFonts w:ascii="Arial" w:cs="Arial" w:eastAsia="Arial" w:hAnsi="Arial"/>
          <w:color w:val="1C2833"/>
          <w:sz w:val="22"/>
          <w:szCs w:val="22"/>
        </w:rPr>
        <w:t xml:space="preserve">Every unit of resource traded generates CO₂: land = 3 per unit, sea = 5, air = 8. Long-distance trade via air is climatically expensive. This creates tension between trade benefits and environmental costs.</w:t>
      </w:r>
    </w:p>
    <w:p>
      <w:pPr>
        <w:pStyle w:val="Heading2"/>
        <w:spacing w:after="160" w:before="280"/>
      </w:pPr>
      <w:r>
        <w:rPr>
          <w:rFonts w:ascii="Arial" w:cs="Arial" w:eastAsia="Arial" w:hAnsi="Arial"/>
          <w:b/>
          <w:bCs/>
          <w:color w:val="2E86C1"/>
          <w:sz w:val="26"/>
          <w:szCs w:val="26"/>
        </w:rPr>
        <w:t xml:space="preserve">10 Tradeable Items</w:t>
      </w:r>
    </w:p>
    <w:p>
      <w:pPr>
        <w:spacing w:after="120"/>
      </w:pPr>
      <w:r>
        <w:rPr>
          <w:rFonts w:ascii="Arial" w:cs="Arial" w:eastAsia="Arial" w:hAnsi="Arial"/>
          <w:color w:val="1C2833"/>
          <w:sz w:val="22"/>
          <w:szCs w:val="22"/>
        </w:rPr>
        <w:t xml:space="preserve">Money, energy, food, population, fuel, uranium, rare earth, technology, transit permission, and hub upgrades. Population is tradeable only through deliberate immigration deals — never automatic. Hub tier upgrades can be gifted as infrastructure aid.</w:t>
      </w:r>
    </w:p>
    <w:p>
      <w:r>
        <w:br w:type="page"/>
      </w:r>
    </w:p>
    <w:p>
      <w:pPr>
        <w:pStyle w:val="Heading1"/>
        <w:spacing w:after="200" w:before="360"/>
      </w:pPr>
      <w:r>
        <w:rPr>
          <w:rFonts w:ascii="Arial" w:cs="Arial" w:eastAsia="Arial" w:hAnsi="Arial"/>
          <w:b/>
          <w:bCs/>
          <w:color w:val="1B4F72"/>
          <w:sz w:val="32"/>
          <w:szCs w:val="32"/>
        </w:rPr>
        <w:t xml:space="preserve">8. Domestic Factions — Green-Brown Establishment Balance</w:t>
      </w:r>
    </w:p>
    <w:p>
      <w:pPr>
        <w:spacing w:after="120"/>
      </w:pPr>
      <w:r>
        <w:rPr>
          <w:rFonts w:ascii="Arial" w:cs="Arial" w:eastAsia="Arial" w:hAnsi="Arial"/>
          <w:i/>
          <w:iCs/>
          <w:color w:val="566573"/>
          <w:sz w:val="22"/>
          <w:szCs w:val="22"/>
        </w:rPr>
        <w:t xml:space="preserve">Academic basis: CEPR DP20578 (Mezzanotti &amp; Starkman). Empirical finding that the ratio of green to brown establishments in a district predicts legislative voting on climate policy. Supported by IEA World Energy Employment 2024, IRENA/ILO Renewable Energy and Jobs 2024, World Bank Oil Rents data.</w:t>
      </w:r>
    </w:p>
    <w:p>
      <w:pPr>
        <w:pStyle w:val="Heading2"/>
        <w:spacing w:after="160" w:before="280"/>
      </w:pPr>
      <w:r>
        <w:rPr>
          <w:rFonts w:ascii="Arial" w:cs="Arial" w:eastAsia="Arial" w:hAnsi="Arial"/>
          <w:b/>
          <w:bCs/>
          <w:color w:val="2E86C1"/>
          <w:sz w:val="26"/>
          <w:szCs w:val="26"/>
        </w:rPr>
        <w:t xml:space="preserve">Core Mechanic</w:t>
      </w:r>
    </w:p>
    <w:p>
      <w:pPr>
        <w:spacing w:after="120"/>
      </w:pPr>
      <w:r>
        <w:rPr>
          <w:rFonts w:ascii="Arial" w:cs="Arial" w:eastAsia="Arial" w:hAnsi="Arial"/>
          <w:color w:val="1C2833"/>
          <w:sz w:val="22"/>
          <w:szCs w:val="22"/>
        </w:rPr>
        <w:t xml:space="preserve">Each country has two factions: </w:t>
      </w:r>
      <w:r>
        <w:rPr>
          <w:rFonts w:ascii="Arial" w:cs="Arial" w:eastAsia="Arial" w:hAnsi="Arial"/>
          <w:b/>
          <w:bCs/>
          <w:color w:val="1C2833"/>
          <w:sz w:val="22"/>
          <w:szCs w:val="22"/>
        </w:rPr>
        <w:t xml:space="preserve">Brown</w:t>
      </w:r>
      <w:r>
        <w:rPr>
          <w:rFonts w:ascii="Arial" w:cs="Arial" w:eastAsia="Arial" w:hAnsi="Arial"/>
          <w:color w:val="1C2833"/>
          <w:sz w:val="22"/>
          <w:szCs w:val="22"/>
        </w:rPr>
        <w:t xml:space="preserve"> (pro-fossil, pro-growth, anti-regulation) and </w:t>
      </w:r>
      <w:r>
        <w:rPr>
          <w:rFonts w:ascii="Arial" w:cs="Arial" w:eastAsia="Arial" w:hAnsi="Arial"/>
          <w:b/>
          <w:bCs/>
          <w:color w:val="1C2833"/>
          <w:sz w:val="22"/>
          <w:szCs w:val="22"/>
        </w:rPr>
        <w:t xml:space="preserve">Green</w:t>
      </w:r>
      <w:r>
        <w:rPr>
          <w:rFonts w:ascii="Arial" w:cs="Arial" w:eastAsia="Arial" w:hAnsi="Arial"/>
          <w:color w:val="1C2833"/>
          <w:sz w:val="22"/>
          <w:szCs w:val="22"/>
        </w:rPr>
        <w:t xml:space="preserve"> (pro-sustainability, pro-regulation, anti-fossil). Faction size shifts dynamically based on what the player builds. Your infrastructure choices reshape your domestic politics.</w:t>
      </w:r>
    </w:p>
    <w:p>
      <w:pPr>
        <w:spacing w:after="120"/>
      </w:pPr>
      <w:r>
        <w:rPr>
          <w:rFonts w:ascii="Arial" w:cs="Arial" w:eastAsia="Arial" w:hAnsi="Arial"/>
          <w:color w:val="1C2833"/>
          <w:sz w:val="22"/>
          <w:szCs w:val="22"/>
        </w:rPr>
        <w:t xml:space="preserve">Formula: brown% = (legacy_brown + brown_building_count) / (legacy_brown + legacy_green + total_building_count)</w:t>
      </w:r>
    </w:p>
    <w:p>
      <w:pPr>
        <w:pStyle w:val="Heading2"/>
        <w:spacing w:after="160" w:before="280"/>
      </w:pPr>
      <w:r>
        <w:rPr>
          <w:rFonts w:ascii="Arial" w:cs="Arial" w:eastAsia="Arial" w:hAnsi="Arial"/>
          <w:b/>
          <w:bCs/>
          <w:color w:val="2E86C1"/>
          <w:sz w:val="26"/>
          <w:szCs w:val="26"/>
        </w:rPr>
        <w:t xml:space="preserve">Building Classification</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Brown buildings:</w:t>
      </w:r>
      <w:r>
        <w:rPr>
          <w:rFonts w:ascii="Arial" w:cs="Arial" w:eastAsia="Arial" w:hAnsi="Arial"/>
          <w:color w:val="1C2833"/>
          <w:sz w:val="22"/>
          <w:szCs w:val="22"/>
        </w:rPr>
        <w:t xml:space="preserve"> Fossil Plant, Extractor, Industrial Complex</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Green buildings:</w:t>
      </w:r>
      <w:r>
        <w:rPr>
          <w:rFonts w:ascii="Arial" w:cs="Arial" w:eastAsia="Arial" w:hAnsi="Arial"/>
          <w:color w:val="1C2833"/>
          <w:sz w:val="22"/>
          <w:szCs w:val="22"/>
        </w:rPr>
        <w:t xml:space="preserve"> Green Plant, Nuclear Plant, Manufacturing, Farm</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Neutral (0.5 each):</w:t>
      </w:r>
      <w:r>
        <w:rPr>
          <w:rFonts w:ascii="Arial" w:cs="Arial" w:eastAsia="Arial" w:hAnsi="Arial"/>
          <w:color w:val="1C2833"/>
          <w:sz w:val="22"/>
          <w:szCs w:val="22"/>
        </w:rPr>
        <w:t xml:space="preserve"> City, Transport Hub</w:t>
      </w:r>
    </w:p>
    <w:p>
      <w:pPr>
        <w:pStyle w:val="Heading2"/>
        <w:spacing w:after="160" w:before="280"/>
      </w:pPr>
      <w:r>
        <w:rPr>
          <w:rFonts w:ascii="Arial" w:cs="Arial" w:eastAsia="Arial" w:hAnsi="Arial"/>
          <w:b/>
          <w:bCs/>
          <w:color w:val="2E86C1"/>
          <w:sz w:val="26"/>
          <w:szCs w:val="26"/>
        </w:rPr>
        <w:t xml:space="preserve">Starting Legacy Weights</w:t>
      </w:r>
    </w:p>
    <w:p>
      <w:pPr>
        <w:spacing w:after="120"/>
      </w:pPr>
      <w:r>
        <w:rPr>
          <w:rFonts w:ascii="Arial" w:cs="Arial" w:eastAsia="Arial" w:hAnsi="Arial"/>
          <w:color w:val="1C2833"/>
          <w:sz w:val="22"/>
          <w:szCs w:val="22"/>
        </w:rPr>
        <w:t xml:space="preserve">Derived from real-world economic structure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43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Legacy Brown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Legacy Green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Starting Brown%</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Large fossil industry but mixed services economy</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30%</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Lowest fossil dependence, 1.8M renewable jobs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Russia</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80%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Oil rents 9.7% GDP, structural fossil dependence</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China</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60% clean workforce (IEA 2024) but massive coal</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India</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6</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Low industry, high solar potential, agricultural base</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OPEC</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90%</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Oil rents 20–40% GDP, economy IS fossil fuel</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LatAm</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30%</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Hydro-dominant, agricultural, 1.4M renewable jobs</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Africa</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50%</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Mineral extraction vs. agricultural/low-industrial base</w:t>
            </w:r>
          </w:p>
        </w:tc>
      </w:tr>
    </w:tbl>
    <w:p>
      <w:pPr>
        <w:pStyle w:val="Heading2"/>
        <w:spacing w:after="160" w:before="280"/>
      </w:pPr>
      <w:r>
        <w:rPr>
          <w:rFonts w:ascii="Arial" w:cs="Arial" w:eastAsia="Arial" w:hAnsi="Arial"/>
          <w:b/>
          <w:bCs/>
          <w:color w:val="2E86C1"/>
          <w:sz w:val="26"/>
          <w:szCs w:val="26"/>
        </w:rPr>
        <w:t xml:space="preserve">Path Dependency</w:t>
      </w:r>
    </w:p>
    <w:p>
      <w:pPr>
        <w:spacing w:after="120"/>
      </w:pPr>
      <w:r>
        <w:rPr>
          <w:rFonts w:ascii="Arial" w:cs="Arial" w:eastAsia="Arial" w:hAnsi="Arial"/>
          <w:color w:val="1C2833"/>
          <w:sz w:val="22"/>
          <w:szCs w:val="22"/>
        </w:rPr>
        <w:t xml:space="preserve">The faction system creates </w:t>
      </w:r>
      <w:r>
        <w:rPr>
          <w:rFonts w:ascii="Arial" w:cs="Arial" w:eastAsia="Arial" w:hAnsi="Arial"/>
          <w:b/>
          <w:bCs/>
          <w:color w:val="1C2833"/>
          <w:sz w:val="22"/>
          <w:szCs w:val="22"/>
        </w:rPr>
        <w:t xml:space="preserve">path dependency</w:t>
      </w:r>
      <w:r>
        <w:rPr>
          <w:rFonts w:ascii="Arial" w:cs="Arial" w:eastAsia="Arial" w:hAnsi="Arial"/>
          <w:color w:val="1C2833"/>
          <w:sz w:val="22"/>
          <w:szCs w:val="22"/>
        </w:rPr>
        <w:t xml:space="preserve"> mirroring real energy transition politics. OPEC at 90% brown means even building 4 green plants only shifts them to 64% brown — the legacy economy is heavy. Each green plant angers the brown majority (−3 satisfaction), causing happiness drops. This is OPEC’s real dilemma: transition slowly and keep the brown faction happy, or transition fast and face domestic unrest from the majority.</w:t>
      </w:r>
    </w:p>
    <w:p>
      <w:pPr>
        <w:spacing w:after="120"/>
      </w:pPr>
      <w:r>
        <w:rPr>
          <w:rFonts w:ascii="Arial" w:cs="Arial" w:eastAsia="Arial" w:hAnsi="Arial"/>
          <w:color w:val="1C2833"/>
          <w:sz w:val="22"/>
          <w:szCs w:val="22"/>
        </w:rPr>
        <w:t xml:space="preserve">Conversely, EU at 30% brown has political freedom to go full green. But if economic crisis forces fossil investment, brown faction jumps quickly (2 fossil plants: 30% → 42% brown), creating political turbulence.</w:t>
      </w:r>
    </w:p>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This directly operationalizes Putnam’s Two-Level Games:</w:t>
      </w:r>
      <w:r>
        <w:rPr>
          <w:rFonts w:ascii="Arial" w:cs="Arial" w:eastAsia="Arial" w:hAnsi="Arial"/>
          <w:color w:val="1C2833"/>
          <w:sz w:val="22"/>
          <w:szCs w:val="22"/>
        </w:rPr>
        <w:t xml:space="preserve"> domestic faction balance constrains what a player can agree to at the international level (summit votes). OPEC literally cannot vote YES on high carbon tax floors without risking domestic collapse.</w:t>
      </w:r>
    </w:p>
    <w:p>
      <w:r>
        <w:br w:type="page"/>
      </w:r>
    </w:p>
    <w:p>
      <w:pPr>
        <w:pStyle w:val="Heading1"/>
        <w:spacing w:after="200" w:before="360"/>
      </w:pPr>
      <w:r>
        <w:rPr>
          <w:rFonts w:ascii="Arial" w:cs="Arial" w:eastAsia="Arial" w:hAnsi="Arial"/>
          <w:b/>
          <w:bCs/>
          <w:color w:val="1B4F72"/>
          <w:sz w:val="32"/>
          <w:szCs w:val="32"/>
        </w:rPr>
        <w:t xml:space="preserve">9. Carbon Tax — Double Dividend Model</w:t>
      </w:r>
    </w:p>
    <w:p>
      <w:pPr>
        <w:spacing w:after="120"/>
      </w:pPr>
      <w:r>
        <w:rPr>
          <w:rFonts w:ascii="Arial" w:cs="Arial" w:eastAsia="Arial" w:hAnsi="Arial"/>
          <w:i/>
          <w:iCs/>
          <w:color w:val="566573"/>
          <w:sz w:val="22"/>
          <w:szCs w:val="22"/>
        </w:rPr>
        <w:t xml:space="preserve">Academic basis: Nordhaus DICE model (abatement cost), Goulder (1995) Double Dividend Hypothesis, Freire-González (2018) CGE meta-analysis of 69 simulations, Federal Reserve (2021) revenue recycling welfare analysis.</w:t>
      </w:r>
    </w:p>
    <w:p>
      <w:pPr>
        <w:pStyle w:val="Heading2"/>
        <w:spacing w:after="160" w:before="280"/>
      </w:pPr>
      <w:r>
        <w:rPr>
          <w:rFonts w:ascii="Arial" w:cs="Arial" w:eastAsia="Arial" w:hAnsi="Arial"/>
          <w:b/>
          <w:bCs/>
          <w:color w:val="2E86C1"/>
          <w:sz w:val="26"/>
          <w:szCs w:val="26"/>
        </w:rPr>
        <w:t xml:space="preserve">Core Mechanic</w:t>
      </w:r>
    </w:p>
    <w:p>
      <w:pPr>
        <w:spacing w:after="120"/>
      </w:pPr>
      <w:r>
        <w:rPr>
          <w:rFonts w:ascii="Arial" w:cs="Arial" w:eastAsia="Arial" w:hAnsi="Arial"/>
          <w:color w:val="1C2833"/>
          <w:sz w:val="22"/>
          <w:szCs w:val="22"/>
        </w:rPr>
        <w:t xml:space="preserve">Each country has a </w:t>
      </w:r>
      <w:r>
        <w:rPr>
          <w:rFonts w:ascii="Arial" w:cs="Arial" w:eastAsia="Arial" w:hAnsi="Arial"/>
          <w:b/>
          <w:bCs/>
          <w:color w:val="1C2833"/>
          <w:sz w:val="22"/>
          <w:szCs w:val="22"/>
        </w:rPr>
        <w:t xml:space="preserve">carbon tax slider</w:t>
      </w:r>
      <w:r>
        <w:rPr>
          <w:rFonts w:ascii="Arial" w:cs="Arial" w:eastAsia="Arial" w:hAnsi="Arial"/>
          <w:color w:val="1C2833"/>
          <w:sz w:val="22"/>
          <w:szCs w:val="22"/>
        </w:rPr>
        <w:t xml:space="preserve"> (0–100). The tax collects money proportional to national CO₂ emissions: tax_collected = national_co2 × (rate / 100). The revenue is then recycled into one of three destinations. The tax never directly reduces CO₂ — the only way to cut emissions is to replace fossil buildings with green ones.</w:t>
      </w:r>
    </w:p>
    <w:p>
      <w:pPr>
        <w:spacing w:after="120"/>
      </w:pPr>
      <w:r>
        <w:rPr>
          <w:rFonts w:ascii="Arial" w:cs="Arial" w:eastAsia="Arial" w:hAnsi="Arial"/>
          <w:color w:val="1C2833"/>
          <w:sz w:val="22"/>
          <w:szCs w:val="22"/>
        </w:rPr>
        <w:t xml:space="preserve">This is the Nordhaus abatement cost logic: carbon pricing internalizes the externality. The cost is real (money leaves your treasury). Whether the tax creates a “double dividend” (both environmental and economic benefit) depends entirely on how you recycle the revenue.</w:t>
      </w:r>
    </w:p>
    <w:p>
      <w:pPr>
        <w:pStyle w:val="Heading2"/>
        <w:spacing w:after="160" w:before="280"/>
      </w:pPr>
      <w:r>
        <w:rPr>
          <w:rFonts w:ascii="Arial" w:cs="Arial" w:eastAsia="Arial" w:hAnsi="Arial"/>
          <w:b/>
          <w:bCs/>
          <w:color w:val="2E86C1"/>
          <w:sz w:val="26"/>
          <w:szCs w:val="26"/>
        </w:rPr>
        <w:t xml:space="preserve">Revenue Recycling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Game Effect</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Academic Basis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Citizen Dividend</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Rebate to population</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 happiness per 10 money (cap +8)</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Lump-sum transfer, politically popular (Goulder 1995)</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Subsidy</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Discount on green/nuclear builds</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Up to 50% build cost reduction</w:t>
            </w:r>
          </w:p>
        </w:tc>
        <w:tc>
          <w:tcPr>
            <w:tcW w:type="dxa" w:w="2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Technology/investment fund (Freire-González 2018)</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Finance</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Transfer to developing countries</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+relations, +dashboard score</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Cancún 2010 $100B/yr pledge</w:t>
            </w:r>
          </w:p>
        </w:tc>
      </w:tr>
    </w:tbl>
    <w:p>
      <w:pPr>
        <w:pStyle w:val="Heading2"/>
        <w:spacing w:after="160" w:before="280"/>
      </w:pPr>
      <w:r>
        <w:rPr>
          <w:rFonts w:ascii="Arial" w:cs="Arial" w:eastAsia="Arial" w:hAnsi="Arial"/>
          <w:b/>
          <w:bCs/>
          <w:color w:val="2E86C1"/>
          <w:sz w:val="26"/>
          <w:szCs w:val="26"/>
        </w:rPr>
        <w:t xml:space="preserve">Strategic Implications</w:t>
      </w:r>
    </w:p>
    <w:p>
      <w:pPr>
        <w:spacing w:after="120"/>
      </w:pPr>
      <w:r>
        <w:rPr>
          <w:rFonts w:ascii="Arial" w:cs="Arial" w:eastAsia="Arial" w:hAnsi="Arial"/>
          <w:color w:val="1C2833"/>
          <w:sz w:val="22"/>
          <w:szCs w:val="22"/>
        </w:rPr>
        <w:t xml:space="preserve">The carbon tax creates a genuine two-level game dilemma. At the domestic level, raising the tax angers the brown faction (−N/5 satisfaction) and pleases the green faction (+N/5). At the international level, a higher tax improves your pioneer/laggard dashboard score and supports summit compliance. The recycling choice adds a third dimension: citizen dividend offsets domestic happiness loss, green subsidy accelerates transition, climate finance builds diplomatic capital.</w:t>
      </w:r>
    </w:p>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Why no direct CO₂ reduction:</w:t>
      </w:r>
      <w:r>
        <w:rPr>
          <w:rFonts w:ascii="Arial" w:cs="Arial" w:eastAsia="Arial" w:hAnsi="Arial"/>
          <w:color w:val="1C2833"/>
          <w:sz w:val="22"/>
          <w:szCs w:val="22"/>
        </w:rPr>
        <w:t xml:space="preserve"> If the carbon tax automatically reduced emissions, optimal play would be “set tax to 100” and never build green plants. The tax must cost something real without solving the problem for free. The problem is solved by building green plants. The tax makes that transition economically easier (via subsidy) or politically necessary (via faction pressure and summit diplomacy).</w:t>
      </w:r>
    </w:p>
    <w:p>
      <w:r>
        <w:br w:type="page"/>
      </w:r>
    </w:p>
    <w:p>
      <w:pPr>
        <w:pStyle w:val="Heading1"/>
        <w:spacing w:after="200" w:before="360"/>
      </w:pPr>
      <w:r>
        <w:rPr>
          <w:rFonts w:ascii="Arial" w:cs="Arial" w:eastAsia="Arial" w:hAnsi="Arial"/>
          <w:b/>
          <w:bCs/>
          <w:color w:val="1B4F72"/>
          <w:sz w:val="32"/>
          <w:szCs w:val="32"/>
        </w:rPr>
        <w:t xml:space="preserve">10. Comparison Dashboard — Pioneer/Laggard Gap Approach</w:t>
      </w:r>
    </w:p>
    <w:p>
      <w:pPr>
        <w:spacing w:after="120"/>
      </w:pPr>
      <w:r>
        <w:rPr>
          <w:rFonts w:ascii="Arial" w:cs="Arial" w:eastAsia="Arial" w:hAnsi="Arial"/>
          <w:i/>
          <w:iCs/>
          <w:color w:val="566573"/>
          <w:sz w:val="22"/>
          <w:szCs w:val="22"/>
        </w:rPr>
        <w:t xml:space="preserve">Academic basis: Liefferink, Arts, Kamstra &amp; Ooijevaar, “Leaders and Laggards in Environmental Policy: A Quantitative Analysis of Domestic Policy Outputs” (Journal of European Public Policy, 2009). Also: Holzinger &amp; Sommerer, from module reading list.</w:t>
      </w:r>
    </w:p>
    <w:p>
      <w:pPr>
        <w:pStyle w:val="Heading2"/>
        <w:spacing w:after="160" w:before="280"/>
      </w:pPr>
      <w:r>
        <w:rPr>
          <w:rFonts w:ascii="Arial" w:cs="Arial" w:eastAsia="Arial" w:hAnsi="Arial"/>
          <w:b/>
          <w:bCs/>
          <w:color w:val="2E86C1"/>
          <w:sz w:val="26"/>
          <w:szCs w:val="26"/>
        </w:rPr>
        <w:t xml:space="preserve">Core Concept</w:t>
      </w:r>
    </w:p>
    <w:p>
      <w:pPr>
        <w:spacing w:after="120"/>
      </w:pPr>
      <w:r>
        <w:rPr>
          <w:rFonts w:ascii="Arial" w:cs="Arial" w:eastAsia="Arial" w:hAnsi="Arial"/>
          <w:color w:val="1C2833"/>
          <w:sz w:val="22"/>
          <w:szCs w:val="22"/>
        </w:rPr>
        <w:t xml:space="preserve">The </w:t>
      </w:r>
      <w:r>
        <w:rPr>
          <w:rFonts w:ascii="Arial" w:cs="Arial" w:eastAsia="Arial" w:hAnsi="Arial"/>
          <w:b/>
          <w:bCs/>
          <w:color w:val="1C2833"/>
          <w:sz w:val="22"/>
          <w:szCs w:val="22"/>
        </w:rPr>
        <w:t xml:space="preserve">gap approach</w:t>
      </w:r>
      <w:r>
        <w:rPr>
          <w:rFonts w:ascii="Arial" w:cs="Arial" w:eastAsia="Arial" w:hAnsi="Arial"/>
          <w:color w:val="1C2833"/>
          <w:sz w:val="22"/>
          <w:szCs w:val="22"/>
        </w:rPr>
        <w:t xml:space="preserve"> measures the distance between each country’s performance and the best performer on each metric. No fixed benchmark — the pioneer IS the benchmark, and it shifts dynamically. This directly implements the Liefferink finding that “processes of catching-up and convergence lead to changes in the ranking.”</w:t>
      </w:r>
    </w:p>
    <w:p>
      <w:pPr>
        <w:pStyle w:val="Heading2"/>
        <w:spacing w:after="160" w:before="280"/>
      </w:pPr>
      <w:r>
        <w:rPr>
          <w:rFonts w:ascii="Arial" w:cs="Arial" w:eastAsia="Arial" w:hAnsi="Arial"/>
          <w:b/>
          <w:bCs/>
          <w:color w:val="2E86C1"/>
          <w:sz w:val="26"/>
          <w:szCs w:val="26"/>
        </w:rPr>
        <w:t xml:space="preserve">6 Metrics (Equally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Measures</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Pioneer = Best At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CO₂ Per Capita</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Emissions relative to population size</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Lowest emissions per person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Energy Ratio</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Green+nuclear plants / total energy plants</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Highest clean energy share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Carbon Tax Level</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Policy ambition (slider 0–100)</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Highest carbon tax rate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CO₂ Trend</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Direction of change vs. last cycle</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Biggest decrease in emissions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Summit Voting Record</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YES votes / total votes</w:t>
            </w:r>
          </w:p>
        </w:tc>
        <w:tc>
          <w:tcPr>
            <w:tcW w:type="dxa" w:w="36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Most cooperative voting pattern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Climate Finance Given</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Money+tech sent to developing countries</w:t>
            </w:r>
          </w:p>
        </w:tc>
        <w:tc>
          <w:tcPr>
            <w:tcW w:type="dxa" w:w="3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Largest contributions to poorer nations</w:t>
            </w:r>
          </w:p>
        </w:tc>
      </w:tr>
    </w:tbl>
    <w:p>
      <w:pPr>
        <w:spacing w:after="120"/>
      </w:pPr>
      <w:r>
        <w:rPr>
          <w:rFonts w:ascii="Arial" w:cs="Arial" w:eastAsia="Arial" w:hAnsi="Arial"/>
          <w:color w:val="1C2833"/>
          <w:sz w:val="22"/>
          <w:szCs w:val="22"/>
        </w:rPr>
        <w:t xml:space="preserve">Each metric is normalized 0–1 (0 = pioneer, 1 = laggard). Composite gap = average of all 6. Bottom 2 countries = Pioneer badge. Top 2 = Laggard badge. Rankings shift dynamically as players act.</w:t>
      </w:r>
    </w:p>
    <w:p>
      <w:pPr>
        <w:pStyle w:val="Heading2"/>
        <w:spacing w:after="160" w:before="280"/>
      </w:pPr>
      <w:r>
        <w:rPr>
          <w:rFonts w:ascii="Arial" w:cs="Arial" w:eastAsia="Arial" w:hAnsi="Arial"/>
          <w:b/>
          <w:bCs/>
          <w:color w:val="2E86C1"/>
          <w:sz w:val="26"/>
          <w:szCs w:val="26"/>
        </w:rPr>
        <w:t xml:space="preserve">UI Components</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Rankings Table</w:t>
      </w:r>
      <w:r>
        <w:rPr>
          <w:rFonts w:ascii="Arial" w:cs="Arial" w:eastAsia="Arial" w:hAnsi="Arial"/>
          <w:color w:val="1C2833"/>
          <w:sz w:val="22"/>
          <w:szCs w:val="22"/>
        </w:rPr>
        <w:t xml:space="preserve"> — 8 countries ranked by composite gap score with per-metric breakdown</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Radar Chart</w:t>
      </w:r>
      <w:r>
        <w:rPr>
          <w:rFonts w:ascii="Arial" w:cs="Arial" w:eastAsia="Arial" w:hAnsi="Arial"/>
          <w:color w:val="1C2833"/>
          <w:sz w:val="22"/>
          <w:szCs w:val="22"/>
        </w:rPr>
        <w:t xml:space="preserve"> — Player’s own 6-metric profile vs. current pioneer (spider chart)</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Historical Trend</w:t>
      </w:r>
      <w:r>
        <w:rPr>
          <w:rFonts w:ascii="Arial" w:cs="Arial" w:eastAsia="Arial" w:hAnsi="Arial"/>
          <w:color w:val="1C2833"/>
          <w:sz w:val="22"/>
          <w:szCs w:val="22"/>
        </w:rPr>
        <w:t xml:space="preserve"> — Line chart of composite gap over cycles, visualizing convergence/divergence</w:t>
      </w:r>
    </w:p>
    <w:p>
      <w:pPr>
        <w:spacing w:after="120"/>
      </w:pPr>
      <w:r>
        <w:rPr>
          <w:rFonts w:ascii="Arial" w:cs="Arial" w:eastAsia="Arial" w:hAnsi="Arial"/>
          <w:color w:val="1C2833"/>
          <w:sz w:val="22"/>
          <w:szCs w:val="22"/>
        </w:rPr>
        <w:t xml:space="preserve">The dashboard gives players the same analytical tool that environmental policy researchers use. Playing the game and analyzing the dashboard IS doing comparative environmental policy analysis.</w:t>
      </w:r>
    </w:p>
    <w:p>
      <w:r>
        <w:br w:type="page"/>
      </w:r>
    </w:p>
    <w:p>
      <w:pPr>
        <w:pStyle w:val="Heading1"/>
        <w:spacing w:after="200" w:before="360"/>
      </w:pPr>
      <w:r>
        <w:rPr>
          <w:rFonts w:ascii="Arial" w:cs="Arial" w:eastAsia="Arial" w:hAnsi="Arial"/>
          <w:b/>
          <w:bCs/>
          <w:color w:val="1B4F72"/>
          <w:sz w:val="32"/>
          <w:szCs w:val="32"/>
        </w:rPr>
        <w:t xml:space="preserve">11. Event-Driven Relations System</w:t>
      </w:r>
    </w:p>
    <w:p>
      <w:pPr>
        <w:spacing w:after="120"/>
      </w:pPr>
      <w:r>
        <w:rPr>
          <w:rFonts w:ascii="Arial" w:cs="Arial" w:eastAsia="Arial" w:hAnsi="Arial"/>
          <w:i/>
          <w:iCs/>
          <w:color w:val="566573"/>
          <w:sz w:val="22"/>
          <w:szCs w:val="22"/>
        </w:rPr>
        <w:t xml:space="preserve">Academic basis: Putnam (1988) Two-Level Games. Diplomacy (Avalon Hill) — hidden negotiation and trust mechanics. Information asymmetry in international relations theory.</w:t>
      </w:r>
    </w:p>
    <w:p>
      <w:pPr>
        <w:pStyle w:val="Heading2"/>
        <w:spacing w:after="160" w:before="280"/>
      </w:pPr>
      <w:r>
        <w:rPr>
          <w:rFonts w:ascii="Arial" w:cs="Arial" w:eastAsia="Arial" w:hAnsi="Arial"/>
          <w:b/>
          <w:bCs/>
          <w:color w:val="2E86C1"/>
          <w:sz w:val="26"/>
          <w:szCs w:val="26"/>
        </w:rPr>
        <w:t xml:space="preserve">Core Mechanic</w:t>
      </w:r>
    </w:p>
    <w:p>
      <w:pPr>
        <w:spacing w:after="120"/>
      </w:pPr>
      <w:r>
        <w:rPr>
          <w:rFonts w:ascii="Arial" w:cs="Arial" w:eastAsia="Arial" w:hAnsi="Arial"/>
          <w:color w:val="1C2833"/>
          <w:sz w:val="22"/>
          <w:szCs w:val="22"/>
        </w:rPr>
        <w:t xml:space="preserve">Every country pair has a relations score (0–100, starts at 50). Scores change automatically from in-game events — no manual “set relations” button. Relations are </w:t>
      </w:r>
      <w:r>
        <w:rPr>
          <w:rFonts w:ascii="Arial" w:cs="Arial" w:eastAsia="Arial" w:hAnsi="Arial"/>
          <w:b/>
          <w:bCs/>
          <w:color w:val="1C2833"/>
          <w:sz w:val="22"/>
          <w:szCs w:val="22"/>
        </w:rPr>
        <w:t xml:space="preserve">asymmetric</w:t>
      </w:r>
      <w:r>
        <w:rPr>
          <w:rFonts w:ascii="Arial" w:cs="Arial" w:eastAsia="Arial" w:hAnsi="Arial"/>
          <w:color w:val="1C2833"/>
          <w:sz w:val="22"/>
          <w:szCs w:val="22"/>
        </w:rPr>
        <w:t xml:space="preserve">: USA→Russia can be 45 while Russia→USA is 38, because one-sided events (trade rejection, transit denial, emission damage) only affect one direction.</w:t>
      </w:r>
    </w:p>
    <w:p>
      <w:pPr>
        <w:pStyle w:val="Heading2"/>
        <w:spacing w:after="160" w:before="280"/>
      </w:pPr>
      <w:r>
        <w:rPr>
          <w:rFonts w:ascii="Arial" w:cs="Arial" w:eastAsia="Arial" w:hAnsi="Arial"/>
          <w:b/>
          <w:bCs/>
          <w:color w:val="2E86C1"/>
          <w:sz w:val="26"/>
          <w:szCs w:val="26"/>
        </w:rPr>
        <w:t xml:space="preserve">17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Effect Range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Trade</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Completed (+3), rejected (−2), cancelled (−5), tech traded (+4)</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+3 to −5</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Transit</w:t>
            </w:r>
          </w:p>
        </w:tc>
        <w:tc>
          <w:tcPr>
            <w:tcW w:type="dxa" w:w="4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Approved (+3), denied (−5), fee paid (+1), cancelled (−6)</w:t>
            </w:r>
          </w:p>
        </w:tc>
        <w:tc>
          <w:tcPr>
            <w:tcW w:type="dxa" w:w="2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+3 to −6</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Summit</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Same vote (+2), opposite vote (−3)</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 to −3</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Emissions</w:t>
            </w:r>
          </w:p>
        </w:tc>
        <w:tc>
          <w:tcPr>
            <w:tcW w:type="dxa" w:w="4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Top-3 emitter damage (−1), CO₂ decreased (+1)</w:t>
            </w:r>
          </w:p>
        </w:tc>
        <w:tc>
          <w:tcPr>
            <w:tcW w:type="dxa" w:w="2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 to −1</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Climate Finance</w:t>
            </w:r>
          </w:p>
        </w:tc>
        <w:tc>
          <w:tcPr>
            <w:tcW w:type="dxa" w:w="4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Aid given (+5), pledge defaulted (−4)</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+5 to −4</w:t>
            </w:r>
          </w:p>
        </w:tc>
      </w:tr>
    </w:tbl>
    <w:p>
      <w:pPr>
        <w:pStyle w:val="Heading2"/>
        <w:spacing w:after="160" w:before="280"/>
      </w:pPr>
      <w:r>
        <w:rPr>
          <w:rFonts w:ascii="Arial" w:cs="Arial" w:eastAsia="Arial" w:hAnsi="Arial"/>
          <w:b/>
          <w:bCs/>
          <w:color w:val="2E86C1"/>
          <w:sz w:val="26"/>
          <w:szCs w:val="26"/>
        </w:rPr>
        <w:t xml:space="preserve">Threshold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Consequence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Below 30</w:t>
            </w:r>
          </w:p>
        </w:tc>
        <w:tc>
          <w:tcPr>
            <w:tcW w:type="dxa" w:w="6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Transit auto-cancelled. Trade routes disrupted.</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Below 20</w:t>
            </w:r>
          </w:p>
        </w:tc>
        <w:tc>
          <w:tcPr>
            <w:tcW w:type="dxa" w:w="6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New trade proposals auto-rejected. Cannot initiate trade.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Above 70</w:t>
            </w:r>
          </w:p>
        </w:tc>
        <w:tc>
          <w:tcPr>
            <w:tcW w:type="dxa" w:w="6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Transit commission reduced 50% (friendly discount).</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Above 80</w:t>
            </w:r>
          </w:p>
        </w:tc>
        <w:tc>
          <w:tcPr>
            <w:tcW w:type="dxa" w:w="6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Trade capacity cost halved (alliance benefit).</w:t>
            </w:r>
          </w:p>
        </w:tc>
      </w:tr>
    </w:tbl>
    <w:p>
      <w:pPr>
        <w:pStyle w:val="Heading2"/>
        <w:spacing w:after="160" w:before="280"/>
      </w:pPr>
      <w:r>
        <w:rPr>
          <w:rFonts w:ascii="Arial" w:cs="Arial" w:eastAsia="Arial" w:hAnsi="Arial"/>
          <w:b/>
          <w:bCs/>
          <w:color w:val="2E86C1"/>
          <w:sz w:val="26"/>
          <w:szCs w:val="26"/>
        </w:rPr>
        <w:t xml:space="preserve">Two Visibility Layers</w:t>
      </w:r>
    </w:p>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Trade partners</w:t>
      </w:r>
      <w:r>
        <w:rPr>
          <w:rFonts w:ascii="Arial" w:cs="Arial" w:eastAsia="Arial" w:hAnsi="Arial"/>
          <w:color w:val="1C2833"/>
          <w:sz w:val="22"/>
          <w:szCs w:val="22"/>
        </w:rPr>
        <w:t xml:space="preserve"> see full event history (every event logged with cycle number, delta, and description). </w:t>
      </w:r>
      <w:r>
        <w:rPr>
          <w:rFonts w:ascii="Arial" w:cs="Arial" w:eastAsia="Arial" w:hAnsi="Arial"/>
          <w:b/>
          <w:bCs/>
          <w:color w:val="1C2833"/>
          <w:sz w:val="22"/>
          <w:szCs w:val="22"/>
        </w:rPr>
        <w:t xml:space="preserve">Non-partners</w:t>
      </w:r>
      <w:r>
        <w:rPr>
          <w:rFonts w:ascii="Arial" w:cs="Arial" w:eastAsia="Arial" w:hAnsi="Arial"/>
          <w:color w:val="1C2833"/>
          <w:sz w:val="22"/>
          <w:szCs w:val="22"/>
        </w:rPr>
        <w:t xml:space="preserve"> see only the current score in an 8×8 relations matrix. This creates a “fog of diplomacy” — you know Russia is strained toward you (35) but not why. This information asymmetry motivates diplomatic engagement, mirroring how real international relations depend on communication channels.</w:t>
      </w:r>
    </w:p>
    <w:p>
      <w:r>
        <w:br w:type="page"/>
      </w:r>
    </w:p>
    <w:p>
      <w:pPr>
        <w:pStyle w:val="Heading1"/>
        <w:spacing w:after="200" w:before="360"/>
      </w:pPr>
      <w:r>
        <w:rPr>
          <w:rFonts w:ascii="Arial" w:cs="Arial" w:eastAsia="Arial" w:hAnsi="Arial"/>
          <w:b/>
          <w:bCs/>
          <w:color w:val="1B4F72"/>
          <w:sz w:val="32"/>
          <w:szCs w:val="32"/>
        </w:rPr>
        <w:t xml:space="preserve">12. Summit Resolutions</w:t>
      </w:r>
    </w:p>
    <w:p>
      <w:pPr>
        <w:spacing w:after="120"/>
      </w:pPr>
      <w:r>
        <w:rPr>
          <w:rFonts w:ascii="Arial" w:cs="Arial" w:eastAsia="Arial" w:hAnsi="Arial"/>
          <w:i/>
          <w:iCs/>
          <w:color w:val="566573"/>
          <w:sz w:val="22"/>
          <w:szCs w:val="22"/>
        </w:rPr>
        <w:t xml:space="preserve">Academic basis: Putnam (1988) Two-Level Games. COP conference structure. Collective action theory (Olson, Ostrom). Paris Agreement architecture of nationally determined contributions with peer review.</w:t>
      </w:r>
    </w:p>
    <w:p>
      <w:pPr>
        <w:pStyle w:val="Heading2"/>
        <w:spacing w:after="160" w:before="280"/>
      </w:pPr>
      <w:r>
        <w:rPr>
          <w:rFonts w:ascii="Arial" w:cs="Arial" w:eastAsia="Arial" w:hAnsi="Arial"/>
          <w:b/>
          <w:bCs/>
          <w:color w:val="2E86C1"/>
          <w:sz w:val="26"/>
          <w:szCs w:val="26"/>
        </w:rPr>
        <w:t xml:space="preserve">Core Mechanic</w:t>
      </w:r>
    </w:p>
    <w:p>
      <w:pPr>
        <w:spacing w:after="120"/>
      </w:pPr>
      <w:r>
        <w:rPr>
          <w:rFonts w:ascii="Arial" w:cs="Arial" w:eastAsia="Arial" w:hAnsi="Arial"/>
          <w:color w:val="1C2833"/>
          <w:sz w:val="22"/>
          <w:szCs w:val="22"/>
        </w:rPr>
        <w:t xml:space="preserve">Every cycle, one resolution is proposed. All 8 countries vote YES, NO, or ABSTAIN. Majority (5+) passes the resolution. Resolutions stay active until amended or repealed at a subsequent summit. The resolution type rotates across three categories:</w:t>
      </w:r>
    </w:p>
    <w:p>
      <w:pPr>
        <w:pStyle w:val="Heading3"/>
        <w:spacing w:after="120" w:before="200"/>
      </w:pPr>
      <w:r>
        <w:rPr>
          <w:rFonts w:ascii="Arial" w:cs="Arial" w:eastAsia="Arial" w:hAnsi="Arial"/>
          <w:b/>
          <w:bCs/>
          <w:color w:val="1B4F72"/>
          <w:sz w:val="22"/>
          <w:szCs w:val="22"/>
        </w:rPr>
        <w:t xml:space="preserve">Resolution Type 1: Carbon Tax Floor</w:t>
      </w:r>
    </w:p>
    <w:p>
      <w:pPr>
        <w:spacing w:after="120"/>
      </w:pPr>
      <w:r>
        <w:rPr>
          <w:rFonts w:ascii="Arial" w:cs="Arial" w:eastAsia="Arial" w:hAnsi="Arial"/>
          <w:color w:val="1C2833"/>
          <w:sz w:val="22"/>
          <w:szCs w:val="22"/>
        </w:rPr>
        <w:t xml:space="preserve">"All countries must set carbon tax ≥ X." The game auto-generates the floor based on current average tax levels. Countries below the floor after passage are “non-compliant.” Non-compliance is not mechanically enforced — you can ignore the floor, but you face diplomatic consequences.</w:t>
      </w:r>
    </w:p>
    <w:p>
      <w:pPr>
        <w:pStyle w:val="Heading3"/>
        <w:spacing w:after="120" w:before="200"/>
      </w:pPr>
      <w:r>
        <w:rPr>
          <w:rFonts w:ascii="Arial" w:cs="Arial" w:eastAsia="Arial" w:hAnsi="Arial"/>
          <w:b/>
          <w:bCs/>
          <w:color w:val="1B4F72"/>
          <w:sz w:val="22"/>
          <w:szCs w:val="22"/>
        </w:rPr>
        <w:t xml:space="preserve">Resolution Type 2: Climate Finance Pledge</w:t>
      </w:r>
    </w:p>
    <w:p>
      <w:pPr>
        <w:spacing w:after="120"/>
      </w:pPr>
      <w:r>
        <w:rPr>
          <w:rFonts w:ascii="Arial" w:cs="Arial" w:eastAsia="Arial" w:hAnsi="Arial"/>
          <w:color w:val="1C2833"/>
          <w:sz w:val="22"/>
          <w:szCs w:val="22"/>
        </w:rPr>
        <w:t xml:space="preserve">"Countries with money &gt; Y must contribute Z per cycle to developing nations." Rich countries (starting money &gt; 40) are expected to pay. Non-payers are flagged, losing relations with developing countries.</w:t>
      </w:r>
    </w:p>
    <w:p>
      <w:pPr>
        <w:pStyle w:val="Heading3"/>
        <w:spacing w:after="120" w:before="200"/>
      </w:pPr>
      <w:r>
        <w:rPr>
          <w:rFonts w:ascii="Arial" w:cs="Arial" w:eastAsia="Arial" w:hAnsi="Arial"/>
          <w:b/>
          <w:bCs/>
          <w:color w:val="1B4F72"/>
          <w:sz w:val="22"/>
          <w:szCs w:val="22"/>
        </w:rPr>
        <w:t xml:space="preserve">Resolution Type 3: Emission Reduction Target</w:t>
      </w:r>
    </w:p>
    <w:p>
      <w:pPr>
        <w:spacing w:after="120"/>
      </w:pPr>
      <w:r>
        <w:rPr>
          <w:rFonts w:ascii="Arial" w:cs="Arial" w:eastAsia="Arial" w:hAnsi="Arial"/>
          <w:color w:val="1C2833"/>
          <w:sz w:val="22"/>
          <w:szCs w:val="22"/>
        </w:rPr>
        <w:t xml:space="preserve">"All countries must reduce CO₂ by X% from current levels within 5 cycles." CO₂ is snapshot at passage, compliance checked 5 cycles later. The hardest to comply with and biggest diplomatic stakes.</w:t>
      </w:r>
    </w:p>
    <w:p>
      <w:pPr>
        <w:pStyle w:val="Heading2"/>
        <w:spacing w:after="160" w:before="280"/>
      </w:pPr>
      <w:r>
        <w:rPr>
          <w:rFonts w:ascii="Arial" w:cs="Arial" w:eastAsia="Arial" w:hAnsi="Arial"/>
          <w:b/>
          <w:bCs/>
          <w:color w:val="2E86C1"/>
          <w:sz w:val="26"/>
          <w:szCs w:val="26"/>
        </w:rPr>
        <w:t xml:space="preserve">Non-Compliance Consequences</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Relations penalty:</w:t>
      </w:r>
      <w:r>
        <w:rPr>
          <w:rFonts w:ascii="Arial" w:cs="Arial" w:eastAsia="Arial" w:hAnsi="Arial"/>
          <w:color w:val="1C2833"/>
          <w:sz w:val="22"/>
          <w:szCs w:val="22"/>
        </w:rPr>
        <w:t xml:space="preserve"> −4 from every YES-voter per cycle of non-compliance</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Dashboard hit:</w:t>
      </w:r>
      <w:r>
        <w:rPr>
          <w:rFonts w:ascii="Arial" w:cs="Arial" w:eastAsia="Arial" w:hAnsi="Arial"/>
          <w:color w:val="1C2833"/>
          <w:sz w:val="22"/>
          <w:szCs w:val="22"/>
        </w:rPr>
        <w:t xml:space="preserve"> Summit voting record metric worsens</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Green faction fury:</w:t>
      </w:r>
      <w:r>
        <w:rPr>
          <w:rFonts w:ascii="Arial" w:cs="Arial" w:eastAsia="Arial" w:hAnsi="Arial"/>
          <w:color w:val="1C2833"/>
          <w:sz w:val="22"/>
          <w:szCs w:val="22"/>
        </w:rPr>
        <w:t xml:space="preserve"> −5 satisfaction domestically</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Laggard risk:</w:t>
      </w:r>
      <w:r>
        <w:rPr>
          <w:rFonts w:ascii="Arial" w:cs="Arial" w:eastAsia="Arial" w:hAnsi="Arial"/>
          <w:color w:val="1C2833"/>
          <w:sz w:val="22"/>
          <w:szCs w:val="22"/>
        </w:rPr>
        <w:t xml:space="preserve"> Non-compliance feeds into composite gap score</w:t>
      </w:r>
    </w:p>
    <w:p>
      <w:pPr>
        <w:spacing w:after="120"/>
      </w:pPr>
      <w:r>
        <w:rPr>
          <w:rFonts w:ascii="Arial" w:cs="Arial" w:eastAsia="Arial" w:hAnsi="Arial"/>
          <w:color w:val="1C2833"/>
          <w:sz w:val="22"/>
          <w:szCs w:val="22"/>
        </w:rPr>
        <w:t xml:space="preserve">The key tension is Putnam’s two-level game in action: OPEC’s 90% brown faction means voting YES on a carbon tax floor causes domestic crisis. But voting NO tanks relations and dashboard score. Players are squeezed between domestic politics and international pressure — exactly the structural constraint real leaders face at COP negotiations.</w:t>
      </w:r>
    </w:p>
    <w:p>
      <w:r>
        <w:br w:type="page"/>
      </w:r>
    </w:p>
    <w:p>
      <w:pPr>
        <w:pStyle w:val="Heading1"/>
        <w:spacing w:after="200" w:before="360"/>
      </w:pPr>
      <w:r>
        <w:rPr>
          <w:rFonts w:ascii="Arial" w:cs="Arial" w:eastAsia="Arial" w:hAnsi="Arial"/>
          <w:b/>
          <w:bCs/>
          <w:color w:val="1B4F72"/>
          <w:sz w:val="32"/>
          <w:szCs w:val="32"/>
        </w:rPr>
        <w:t xml:space="preserve">13. Multiplayer Architecture &amp; Bot AI</w:t>
      </w:r>
    </w:p>
    <w:p>
      <w:pPr>
        <w:pStyle w:val="Heading2"/>
        <w:spacing w:after="160" w:before="280"/>
      </w:pPr>
      <w:r>
        <w:rPr>
          <w:rFonts w:ascii="Arial" w:cs="Arial" w:eastAsia="Arial" w:hAnsi="Arial"/>
          <w:b/>
          <w:bCs/>
          <w:color w:val="2E86C1"/>
          <w:sz w:val="26"/>
          <w:szCs w:val="26"/>
        </w:rPr>
        <w:t xml:space="preserve">Multiplayer via Firebase Realtime Database</w:t>
      </w:r>
    </w:p>
    <w:p>
      <w:pPr>
        <w:spacing w:after="120"/>
      </w:pPr>
      <w:r>
        <w:rPr>
          <w:rFonts w:ascii="Arial" w:cs="Arial" w:eastAsia="Arial" w:hAnsi="Arial"/>
          <w:color w:val="1C2833"/>
          <w:sz w:val="22"/>
          <w:szCs w:val="22"/>
        </w:rPr>
        <w:t xml:space="preserve">The game uses Firebase Realtime Database for synchronous multiplayer. All 8 players share a single game state document. Each player writes their actions (build, trade, set carbon tax, vote) to their country’s action queue. The host client processes the cycle, applying all actions and running the 14-step engine. Updated state is pushed to all clients.</w:t>
      </w:r>
    </w:p>
    <w:p>
      <w:pPr>
        <w:spacing w:after="120"/>
      </w:pPr>
      <w:r>
        <w:rPr>
          <w:rFonts w:ascii="Arial" w:cs="Arial" w:eastAsia="Arial" w:hAnsi="Arial"/>
          <w:color w:val="1C2833"/>
          <w:sz w:val="22"/>
          <w:szCs w:val="22"/>
        </w:rPr>
        <w:t xml:space="preserve">This architecture ensures deterministic cycle processing (single source of truth), real-time synchronization (Firebase listeners update all clients within ~200ms), conflict resolution (all actions are queued and processed in order), and scalability to 8 simultaneous players.</w:t>
      </w:r>
    </w:p>
    <w:p>
      <w:pPr>
        <w:pStyle w:val="Heading2"/>
        <w:spacing w:after="160" w:before="280"/>
      </w:pPr>
      <w:r>
        <w:rPr>
          <w:rFonts w:ascii="Arial" w:cs="Arial" w:eastAsia="Arial" w:hAnsi="Arial"/>
          <w:b/>
          <w:bCs/>
          <w:color w:val="2E86C1"/>
          <w:sz w:val="26"/>
          <w:szCs w:val="26"/>
        </w:rPr>
        <w:t xml:space="preserve">Bot AI Design</w:t>
      </w:r>
    </w:p>
    <w:p>
      <w:pPr>
        <w:spacing w:after="120"/>
      </w:pPr>
      <w:r>
        <w:rPr>
          <w:rFonts w:ascii="Arial" w:cs="Arial" w:eastAsia="Arial" w:hAnsi="Arial"/>
          <w:color w:val="1C2833"/>
          <w:sz w:val="22"/>
          <w:szCs w:val="22"/>
        </w:rPr>
        <w:t xml:space="preserve">When fewer than 8 human players are available, bot-controlled countries fill the remaining slots. Bot AI follows a </w:t>
      </w:r>
      <w:r>
        <w:rPr>
          <w:rFonts w:ascii="Arial" w:cs="Arial" w:eastAsia="Arial" w:hAnsi="Arial"/>
          <w:b/>
          <w:bCs/>
          <w:color w:val="1C2833"/>
          <w:sz w:val="22"/>
          <w:szCs w:val="22"/>
        </w:rPr>
        <w:t xml:space="preserve">rule-based strategy profile</w:t>
      </w:r>
      <w:r>
        <w:rPr>
          <w:rFonts w:ascii="Arial" w:cs="Arial" w:eastAsia="Arial" w:hAnsi="Arial"/>
          <w:color w:val="1C2833"/>
          <w:sz w:val="22"/>
          <w:szCs w:val="22"/>
        </w:rPr>
        <w:t xml:space="preserve"> rather than complex machine learning, for two reasons: transparency (students can understand and predict bot behavior, which supports the educational goal) and consistency (bots model recognizable national strategies, reinforcing the academic frameworks).</w:t>
      </w:r>
    </w:p>
    <w:p>
      <w:pPr>
        <w:pStyle w:val="Heading3"/>
        <w:spacing w:after="120" w:before="200"/>
      </w:pPr>
      <w:r>
        <w:rPr>
          <w:rFonts w:ascii="Arial" w:cs="Arial" w:eastAsia="Arial" w:hAnsi="Arial"/>
          <w:b/>
          <w:bCs/>
          <w:color w:val="1B4F72"/>
          <w:sz w:val="22"/>
          <w:szCs w:val="22"/>
        </w:rPr>
        <w:t xml:space="preserve">Bot Strategy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Countries</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Fossil Maximizer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OPEC, Russia</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Prioritize fossil/extractor builds. Low carbon tax. Vote NO on climate resolutions. Trade fossil resources aggressively.</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Green Pioneer</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EU, LatAm</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Prioritize green/nuclear builds. High carbon tax. Vote YES on climate resolutions. Send climate finance.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Pragmatic Balancer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USA, China</w:t>
            </w:r>
          </w:p>
        </w:tc>
        <w:tc>
          <w:tcPr>
            <w:tcW w:type="dxa" w:w="5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Mixed building strategy based on immediate resource needs. Medium carbon tax. Vote based on economic impact analysis.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Development First</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India, Africa</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Prioritize food and basic infrastructure. Accept climate finance. Vote YES on resolutions that include aid provisions.</w:t>
            </w:r>
          </w:p>
        </w:tc>
      </w:tr>
    </w:tbl>
    <w:p>
      <w:pPr>
        <w:pStyle w:val="Heading3"/>
        <w:spacing w:after="120" w:before="200"/>
      </w:pPr>
      <w:r>
        <w:rPr>
          <w:rFonts w:ascii="Arial" w:cs="Arial" w:eastAsia="Arial" w:hAnsi="Arial"/>
          <w:b/>
          <w:bCs/>
          <w:color w:val="1B4F72"/>
          <w:sz w:val="22"/>
          <w:szCs w:val="22"/>
        </w:rPr>
        <w:t xml:space="preserve">Bot Decision Logic (Per Cycle)</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Build priority:</w:t>
      </w:r>
      <w:r>
        <w:rPr>
          <w:rFonts w:ascii="Arial" w:cs="Arial" w:eastAsia="Arial" w:hAnsi="Arial"/>
          <w:color w:val="1C2833"/>
          <w:sz w:val="22"/>
          <w:szCs w:val="22"/>
        </w:rPr>
        <w:t xml:space="preserve"> Evaluate resource deficits. If food &lt; 5 cycles of consumption, build Farm. If energy deficit, build cheapest available energy plant (fossil for Fossil Maximizer, green for Green Pioneer if tech available). If money surplus, build Industrial Complex.</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Trade logic:</w:t>
      </w:r>
      <w:r>
        <w:rPr>
          <w:rFonts w:ascii="Arial" w:cs="Arial" w:eastAsia="Arial" w:hAnsi="Arial"/>
          <w:color w:val="1C2833"/>
          <w:sz w:val="22"/>
          <w:szCs w:val="22"/>
        </w:rPr>
        <w:t xml:space="preserve"> Identify resource deficits and surpluses. Propose trades that address deficits. Accept trades where net benefit &gt; 0. Reject trades from countries with relations &lt; 30.</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Carbon tax:</w:t>
      </w:r>
      <w:r>
        <w:rPr>
          <w:rFonts w:ascii="Arial" w:cs="Arial" w:eastAsia="Arial" w:hAnsi="Arial"/>
          <w:color w:val="1C2833"/>
          <w:sz w:val="22"/>
          <w:szCs w:val="22"/>
        </w:rPr>
        <w:t xml:space="preserve"> Fossil Maximizer = 0–10. Green Pioneer = 40–70. Pragmatic = 15–35. Development = 5–20.</w:t>
      </w:r>
    </w:p>
    <w:p>
      <w:pPr>
        <w:pStyle w:val="ListParagraph"/>
        <w:numPr>
          <w:ilvl w:val="0"/>
          <w:numId w:val="2"/>
        </w:numPr>
        <w:spacing w:after="80"/>
      </w:pPr>
      <w:r>
        <w:rPr>
          <w:rFonts w:ascii="Arial" w:cs="Arial" w:eastAsia="Arial" w:hAnsi="Arial"/>
          <w:color w:val="1C2833"/>
          <w:sz w:val="22"/>
          <w:szCs w:val="22"/>
        </w:rPr>
        <w:t xml:space="preserve"/>
      </w:r>
      <w:r>
        <w:rPr>
          <w:rFonts w:ascii="Arial" w:cs="Arial" w:eastAsia="Arial" w:hAnsi="Arial"/>
          <w:b/>
          <w:bCs/>
          <w:color w:val="1C2833"/>
          <w:sz w:val="22"/>
          <w:szCs w:val="22"/>
        </w:rPr>
        <w:t xml:space="preserve">Summit voting:</w:t>
      </w:r>
      <w:r>
        <w:rPr>
          <w:rFonts w:ascii="Arial" w:cs="Arial" w:eastAsia="Arial" w:hAnsi="Arial"/>
          <w:color w:val="1C2833"/>
          <w:sz w:val="22"/>
          <w:szCs w:val="22"/>
        </w:rPr>
        <w:t xml:space="preserve"> Compare resolution cost (estimated money/happiness impact) against strategy profile threshold. Fossil Maximizers have high cost tolerance for NO votes, Green Pioneers have high tolerance for YES votes.</w:t>
      </w:r>
    </w:p>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Rational actor assumption:</w:t>
      </w:r>
      <w:r>
        <w:rPr>
          <w:rFonts w:ascii="Arial" w:cs="Arial" w:eastAsia="Arial" w:hAnsi="Arial"/>
          <w:color w:val="1C2833"/>
          <w:sz w:val="22"/>
          <w:szCs w:val="22"/>
        </w:rPr>
        <w:t xml:space="preserve"> All bot strategies are individually rational within their strategic profile. No bot is intentionally "dumb" — they pursue their national interest as defined by their profile. This models the real-world observation that countries acting in their own rational self-interest can produce collectively suboptimal outcomes (tragedy of the commons).</w:t>
      </w:r>
    </w:p>
    <w:p>
      <w:r>
        <w:br w:type="page"/>
      </w:r>
    </w:p>
    <w:p>
      <w:pPr>
        <w:pStyle w:val="Heading1"/>
        <w:spacing w:after="200" w:before="360"/>
      </w:pPr>
      <w:r>
        <w:rPr>
          <w:rFonts w:ascii="Arial" w:cs="Arial" w:eastAsia="Arial" w:hAnsi="Arial"/>
          <w:b/>
          <w:bCs/>
          <w:color w:val="1B4F72"/>
          <w:sz w:val="32"/>
          <w:szCs w:val="32"/>
        </w:rPr>
        <w:t xml:space="preserve">14. Game Theory Foundations</w:t>
      </w:r>
    </w:p>
    <w:p>
      <w:pPr>
        <w:spacing w:after="120"/>
      </w:pPr>
      <w:r>
        <w:rPr>
          <w:rFonts w:ascii="Arial" w:cs="Arial" w:eastAsia="Arial" w:hAnsi="Arial"/>
          <w:color w:val="1C2833"/>
          <w:sz w:val="22"/>
          <w:szCs w:val="22"/>
        </w:rPr>
        <w:t xml:space="preserve">Climate Diplomacy embeds multiple game-theoretic structures, each grounded in established academic frameworks:</w:t>
      </w:r>
    </w:p>
    <w:p>
      <w:pPr>
        <w:pStyle w:val="Heading2"/>
        <w:spacing w:after="160" w:before="280"/>
      </w:pPr>
      <w:r>
        <w:rPr>
          <w:rFonts w:ascii="Arial" w:cs="Arial" w:eastAsia="Arial" w:hAnsi="Arial"/>
          <w:b/>
          <w:bCs/>
          <w:color w:val="2E86C1"/>
          <w:sz w:val="26"/>
          <w:szCs w:val="26"/>
        </w:rPr>
        <w:t xml:space="preserve">14.1 Tragedy of the Commons (Hardin 1968)</w:t>
      </w:r>
    </w:p>
    <w:p>
      <w:pPr>
        <w:spacing w:after="120"/>
      </w:pPr>
      <w:r>
        <w:rPr>
          <w:rFonts w:ascii="Arial" w:cs="Arial" w:eastAsia="Arial" w:hAnsi="Arial"/>
          <w:color w:val="1C2833"/>
          <w:sz w:val="22"/>
          <w:szCs w:val="22"/>
        </w:rPr>
        <w:t xml:space="preserve">The global temperature is the commons. Every country’s CO₂ emissions raise it. Every country suffers from the rise (happiness penalty, farm yield loss). Each player has an individual incentive to emit (fossil plants are cheap, produce lots of energy) but collective emissions destroy the shared resource (stable climate).</w:t>
      </w:r>
    </w:p>
    <w:p>
      <w:pPr>
        <w:spacing w:after="120"/>
      </w:pPr>
      <w:r>
        <w:rPr>
          <w:rFonts w:ascii="Arial" w:cs="Arial" w:eastAsia="Arial" w:hAnsi="Arial"/>
          <w:color w:val="1C2833"/>
          <w:sz w:val="22"/>
          <w:szCs w:val="22"/>
        </w:rPr>
        <w:t xml:space="preserve">The game mechanically reproduces Hardin’s prediction: without coordination (summits, carbon tax, relations pressure), rational self-interest drives every player toward fossil, and everyone suffers. The question the module asks — “why do some countries lead while others lag?” — becomes a lived experience.</w:t>
      </w:r>
    </w:p>
    <w:p>
      <w:pPr>
        <w:pStyle w:val="Heading2"/>
        <w:spacing w:after="160" w:before="280"/>
      </w:pPr>
      <w:r>
        <w:rPr>
          <w:rFonts w:ascii="Arial" w:cs="Arial" w:eastAsia="Arial" w:hAnsi="Arial"/>
          <w:b/>
          <w:bCs/>
          <w:color w:val="2E86C1"/>
          <w:sz w:val="26"/>
          <w:szCs w:val="26"/>
        </w:rPr>
        <w:t xml:space="preserve">14.2 N-Player Prisoner’s Dilemma / Public Goods Game</w:t>
      </w:r>
    </w:p>
    <w:p>
      <w:pPr>
        <w:spacing w:after="120"/>
      </w:pPr>
      <w:r>
        <w:rPr>
          <w:rFonts w:ascii="Arial" w:cs="Arial" w:eastAsia="Arial" w:hAnsi="Arial"/>
          <w:color w:val="1C2833"/>
          <w:sz w:val="22"/>
          <w:szCs w:val="22"/>
        </w:rPr>
        <w:t xml:space="preserve">Emission reduction is a public good. Reducing CO₂ is individually costly (green plants cost 120+ money and 10+ tech vs. 60 money for fossil) but benefits everyone (lower temperature). Each player has an incentive to free-ride (let others reduce emissions while continuing to emit). If all free-ride, temperature spirals and everyone loses. This is the classic N-player prisoner’s dilemma structure.</w:t>
      </w:r>
    </w:p>
    <w:p>
      <w:pPr>
        <w:spacing w:after="120"/>
      </w:pPr>
      <w:r>
        <w:rPr>
          <w:rFonts w:ascii="Arial" w:cs="Arial" w:eastAsia="Arial" w:hAnsi="Arial"/>
          <w:color w:val="1C2833"/>
          <w:sz w:val="22"/>
          <w:szCs w:val="22"/>
        </w:rPr>
        <w:t xml:space="preserve">The game provides multiple cooperation mechanisms: summit resolutions (binding-ish agreements), carbon tax convergence (dashboard pressure), relations rewards (+3 for trade, +5 for climate finance), and the comparison dashboard (social pressure via pioneer/laggard labeling).</w:t>
      </w:r>
    </w:p>
    <w:p>
      <w:pPr>
        <w:pStyle w:val="Heading2"/>
        <w:spacing w:after="160" w:before="280"/>
      </w:pPr>
      <w:r>
        <w:rPr>
          <w:rFonts w:ascii="Arial" w:cs="Arial" w:eastAsia="Arial" w:hAnsi="Arial"/>
          <w:b/>
          <w:bCs/>
          <w:color w:val="2E86C1"/>
          <w:sz w:val="26"/>
          <w:szCs w:val="26"/>
        </w:rPr>
        <w:t xml:space="preserve">14.3 Putnam’s Two-Level Games (1988)</w:t>
      </w:r>
    </w:p>
    <w:p>
      <w:pPr>
        <w:spacing w:after="120"/>
      </w:pPr>
      <w:r>
        <w:rPr>
          <w:rFonts w:ascii="Arial" w:cs="Arial" w:eastAsia="Arial" w:hAnsi="Arial"/>
          <w:color w:val="1C2833"/>
          <w:sz w:val="22"/>
          <w:szCs w:val="22"/>
        </w:rPr>
        <w:t xml:space="preserve">Every summit vote is a two-level game. At Level I (international), players negotiate and vote on resolutions. At Level II (domestic), the faction system constrains what players can agree to. OPEC with 90% brown faction literally cannot vote YES on a high carbon tax floor without triggering domestic crisis. The “win-set” — the range of international agreements a leader’s domestic constituents will accept — is determined by the green-brown faction balance.</w:t>
      </w:r>
    </w:p>
    <w:p>
      <w:pPr>
        <w:spacing w:after="120"/>
      </w:pPr>
      <w:r>
        <w:rPr>
          <w:rFonts w:ascii="Arial" w:cs="Arial" w:eastAsia="Arial" w:hAnsi="Arial"/>
          <w:color w:val="1C2833"/>
          <w:sz w:val="22"/>
          <w:szCs w:val="22"/>
        </w:rPr>
        <w:t xml:space="preserve">The game makes win-sets visible and dynamic: building green infrastructure expands your win-set (green faction grows, more agreements become domestically feasible). Building fossil contracts it. This is exactly Putnam’s prediction: domestic structure constrains international cooperation.</w:t>
      </w:r>
    </w:p>
    <w:p>
      <w:pPr>
        <w:pStyle w:val="Heading2"/>
        <w:spacing w:after="160" w:before="280"/>
      </w:pPr>
      <w:r>
        <w:rPr>
          <w:rFonts w:ascii="Arial" w:cs="Arial" w:eastAsia="Arial" w:hAnsi="Arial"/>
          <w:b/>
          <w:bCs/>
          <w:color w:val="2E86C1"/>
          <w:sz w:val="26"/>
          <w:szCs w:val="26"/>
        </w:rPr>
        <w:t xml:space="preserve">14.4 Ostrom’s Polycentric Governance (2009 Nobel)</w:t>
      </w:r>
    </w:p>
    <w:p>
      <w:pPr>
        <w:spacing w:after="120"/>
      </w:pPr>
      <w:r>
        <w:rPr>
          <w:rFonts w:ascii="Arial" w:cs="Arial" w:eastAsia="Arial" w:hAnsi="Arial"/>
          <w:color w:val="1C2833"/>
          <w:sz w:val="22"/>
          <w:szCs w:val="22"/>
        </w:rPr>
        <w:t xml:space="preserve">Elinor Ostrom challenged Hardin’s pessimism, showing that commons problems can be solved through polycentric governance: multiple overlapping institutions at different scales, monitoring, and graduated sanctions. The game implements this through multiple cooperation layers: bilateral trade agreements (micro), transit agreements (meso), summit resolutions (macro), the relations system (monitoring), and the dashboard (transparency).</w:t>
      </w:r>
    </w:p>
    <w:p>
      <w:pPr>
        <w:spacing w:after="120"/>
      </w:pPr>
      <w:r>
        <w:rPr>
          <w:rFonts w:ascii="Arial" w:cs="Arial" w:eastAsia="Arial" w:hAnsi="Arial"/>
          <w:color w:val="1C2833"/>
          <w:sz w:val="22"/>
          <w:szCs w:val="22"/>
        </w:rPr>
        <w:t xml:space="preserve">Non-compliance with summit resolutions is punished through graduated sanctions (−4 relations per cycle, not an immediate game-over). Countries can build trust through repeated interaction (+1 per cycle of continuous trade). These are precisely Ostrom’s design principles for successful commons governance.</w:t>
      </w:r>
    </w:p>
    <w:p>
      <w:pPr>
        <w:pStyle w:val="Heading2"/>
        <w:spacing w:after="160" w:before="280"/>
      </w:pPr>
      <w:r>
        <w:rPr>
          <w:rFonts w:ascii="Arial" w:cs="Arial" w:eastAsia="Arial" w:hAnsi="Arial"/>
          <w:b/>
          <w:bCs/>
          <w:color w:val="2E86C1"/>
          <w:sz w:val="26"/>
          <w:szCs w:val="26"/>
        </w:rPr>
        <w:t xml:space="preserve">14.5 Asymmetric Game / Distributive Conflict</w:t>
      </w:r>
    </w:p>
    <w:p>
      <w:pPr>
        <w:spacing w:after="120"/>
      </w:pPr>
      <w:r>
        <w:rPr>
          <w:rFonts w:ascii="Arial" w:cs="Arial" w:eastAsia="Arial" w:hAnsi="Arial"/>
          <w:color w:val="1C2833"/>
          <w:sz w:val="22"/>
          <w:szCs w:val="22"/>
        </w:rPr>
        <w:t xml:space="preserve">Recent scholarship argues climate politics is not a pure cooperation problem but a </w:t>
      </w:r>
      <w:r>
        <w:rPr>
          <w:rFonts w:ascii="Arial" w:cs="Arial" w:eastAsia="Arial" w:hAnsi="Arial"/>
          <w:b/>
          <w:bCs/>
          <w:color w:val="1C2833"/>
          <w:sz w:val="22"/>
          <w:szCs w:val="22"/>
        </w:rPr>
        <w:t xml:space="preserve">distributive conflict</w:t>
      </w:r>
      <w:r>
        <w:rPr>
          <w:rFonts w:ascii="Arial" w:cs="Arial" w:eastAsia="Arial" w:hAnsi="Arial"/>
          <w:color w:val="1C2833"/>
          <w:sz w:val="22"/>
          <w:szCs w:val="22"/>
        </w:rPr>
        <w:t xml:space="preserve"> — the question is not just “will we cooperate?” but “who pays the cost of transition?” (Aklin &amp; Mildenberger, 2020). The game embeds this: OPEC and Russia bear disproportionate transition costs (their economies are fossil fuel). India and Africa demand climate finance as the price of their cooperation. EU and USA can afford transition but face domestic political costs. The carbon tax recycling choice (citizen dividend vs. green subsidy vs. climate finance) is a distributive conflict in miniature.</w:t>
      </w:r>
    </w:p>
    <w:p>
      <w:pPr>
        <w:pStyle w:val="Heading2"/>
        <w:spacing w:after="160" w:before="280"/>
      </w:pPr>
      <w:r>
        <w:rPr>
          <w:rFonts w:ascii="Arial" w:cs="Arial" w:eastAsia="Arial" w:hAnsi="Arial"/>
          <w:b/>
          <w:bCs/>
          <w:color w:val="2E86C1"/>
          <w:sz w:val="26"/>
          <w:szCs w:val="26"/>
        </w:rPr>
        <w:t xml:space="preserve">14.6 Nash Equilibrium Analysis</w:t>
      </w:r>
    </w:p>
    <w:p>
      <w:pPr>
        <w:spacing w:after="120"/>
      </w:pPr>
      <w:r>
        <w:rPr>
          <w:rFonts w:ascii="Arial" w:cs="Arial" w:eastAsia="Arial" w:hAnsi="Arial"/>
          <w:color w:val="1C2833"/>
          <w:sz w:val="22"/>
          <w:szCs w:val="22"/>
        </w:rPr>
        <w:t xml:space="preserve">The game’s Nash equilibrium without cooperation mechanisms is universal fossil exploitation (every player builds fossil, temperature spirals). With cooperation mechanisms (summits, dashboard, relations), multiple equilibria emerge: a “green coalition” equilibrium where pioneer countries apply enough diplomatic pressure to shift laggards, and a “fragmented” equilibrium where some countries go green while others free-ride, producing moderate temperature rise. The game’s outcome depends on player negotiation — mirroring the real-world uncertainty of climate negotiations.</w:t>
      </w:r>
    </w:p>
    <w:p>
      <w:r>
        <w:br w:type="page"/>
      </w:r>
    </w:p>
    <w:p>
      <w:pPr>
        <w:pStyle w:val="Heading1"/>
        <w:spacing w:after="200" w:before="360"/>
      </w:pPr>
      <w:r>
        <w:rPr>
          <w:rFonts w:ascii="Arial" w:cs="Arial" w:eastAsia="Arial" w:hAnsi="Arial"/>
          <w:b/>
          <w:bCs/>
          <w:color w:val="1B4F72"/>
          <w:sz w:val="32"/>
          <w:szCs w:val="32"/>
        </w:rPr>
        <w:t xml:space="preserve">15. Intended Learning Outcomes Mapping</w:t>
      </w:r>
    </w:p>
    <w:p>
      <w:pPr>
        <w:spacing w:after="120"/>
      </w:pPr>
      <w:r>
        <w:rPr>
          <w:rFonts w:ascii="Arial" w:cs="Arial" w:eastAsia="Arial" w:hAnsi="Arial"/>
          <w:color w:val="1C2833"/>
          <w:sz w:val="22"/>
          <w:szCs w:val="22"/>
        </w:rPr>
        <w:t xml:space="preserve">Mapping each module ILO (from the POL23200 module handbook) to specific game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Module ILO</w:t>
            </w:r>
          </w:p>
        </w:tc>
        <w:tc>
          <w:tcPr>
            <w:tcW w:type="dxa" w:w="5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Game Mechanic That Delivers It</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Identify key concepts and theories of environmental policy</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Carbon tax (Nordhaus/Goulder), factions (CEPR), temperature model (IPCC carbon budget), summit resolutions (COP structure)</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Distinguish among different theoretical approaches</w:t>
            </w:r>
          </w:p>
        </w:tc>
        <w:tc>
          <w:tcPr>
            <w:tcW w:type="dxa" w:w="5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Game theory section: Hardin vs. Ostrom vs. Putnam vs. distributive conflict. Each offers different predictions about game outcomes.</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Apply methods of comparative analysis</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Pioneer/laggard dashboard using Liefferink et al. gap approach. 6-metric comparison across 8 countries in real-time.</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Compare internationally the institutions, actor constellations, processes and outcomes</w:t>
            </w:r>
          </w:p>
        </w:tc>
        <w:tc>
          <w:tcPr>
            <w:tcW w:type="dxa" w:w="58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8 countries with different starting conditions, faction balances, resource endowments, and strategic positions. Trade/transit/summit interactions.</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Evaluate environmental policy outcomes from a comparative perspective</w:t>
            </w:r>
          </w:p>
        </w:tc>
        <w:tc>
          <w:tcPr>
            <w:tcW w:type="dxa" w:w="5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Dashboard trend lines show convergence/divergence over time. Post-game analysis: which strategies succeeded? Which theoretical framework best predicted outcomes?</w:t>
            </w:r>
          </w:p>
        </w:tc>
      </w:tr>
    </w:tbl>
    <w:p>
      <w:pPr>
        <w:spacing w:after="120"/>
      </w:pPr>
      <w:r>
        <w:rPr>
          <w:rFonts w:ascii="Arial" w:cs="Arial" w:eastAsia="Arial" w:hAnsi="Arial"/>
          <w:color w:val="1C2833"/>
          <w:sz w:val="22"/>
          <w:szCs w:val="22"/>
        </w:rPr>
        <w:t xml:space="preserve"/>
      </w:r>
      <w:r>
        <w:rPr>
          <w:rFonts w:ascii="Arial" w:cs="Arial" w:eastAsia="Arial" w:hAnsi="Arial"/>
          <w:b/>
          <w:bCs/>
          <w:color w:val="1C2833"/>
          <w:sz w:val="22"/>
          <w:szCs w:val="22"/>
        </w:rPr>
        <w:t xml:space="preserve">Assessment connection:</w:t>
      </w:r>
      <w:r>
        <w:rPr>
          <w:rFonts w:ascii="Arial" w:cs="Arial" w:eastAsia="Arial" w:hAnsi="Arial"/>
          <w:color w:val="1C2833"/>
          <w:sz w:val="22"/>
          <w:szCs w:val="22"/>
        </w:rPr>
        <w:t xml:space="preserve"> The 15-minute presentation can directly reference game session data. “Our EU player achieved pioneer status by cycle 15 through early green investment and climate finance, consistent with Liefferink’s finding that early movers maintain advantage through policy learning.” The game generates the empirical evidence; the presentation applies the theoretical analysis.</w:t>
      </w:r>
    </w:p>
    <w:p>
      <w:r>
        <w:br w:type="page"/>
      </w:r>
    </w:p>
    <w:p>
      <w:pPr>
        <w:pStyle w:val="Heading1"/>
        <w:spacing w:after="200" w:before="360"/>
      </w:pPr>
      <w:r>
        <w:rPr>
          <w:rFonts w:ascii="Arial" w:cs="Arial" w:eastAsia="Arial" w:hAnsi="Arial"/>
          <w:b/>
          <w:bCs/>
          <w:color w:val="1B4F72"/>
          <w:sz w:val="32"/>
          <w:szCs w:val="32"/>
        </w:rPr>
        <w:t xml:space="preserve">16. Academic References</w:t>
      </w:r>
    </w:p>
    <w:p>
      <w:pPr>
        <w:pStyle w:val="Heading2"/>
        <w:spacing w:after="160" w:before="280"/>
      </w:pPr>
      <w:r>
        <w:rPr>
          <w:rFonts w:ascii="Arial" w:cs="Arial" w:eastAsia="Arial" w:hAnsi="Arial"/>
          <w:b/>
          <w:bCs/>
          <w:color w:val="2E86C1"/>
          <w:sz w:val="26"/>
          <w:szCs w:val="26"/>
        </w:rPr>
        <w:t xml:space="preserve">Module Reading List</w:t>
      </w:r>
    </w:p>
    <w:p>
      <w:pPr>
        <w:pStyle w:val="ListParagraph"/>
        <w:numPr>
          <w:ilvl w:val="0"/>
          <w:numId w:val="2"/>
        </w:numPr>
        <w:spacing w:after="80"/>
      </w:pPr>
      <w:r>
        <w:rPr>
          <w:rFonts w:ascii="Arial" w:cs="Arial" w:eastAsia="Arial" w:hAnsi="Arial"/>
          <w:color w:val="1C2833"/>
          <w:sz w:val="22"/>
          <w:szCs w:val="22"/>
        </w:rPr>
        <w:t xml:space="preserve">Holzinger, K. &amp; Sommerer, T. (2012). “Was verursacht die Aufwärtsspirale in der Umweltpolitik?” Österreichische Zeitschrift für Politikwissenschaft, 41(1), 53–72.</w:t>
      </w:r>
    </w:p>
    <w:p>
      <w:pPr>
        <w:pStyle w:val="ListParagraph"/>
        <w:numPr>
          <w:ilvl w:val="0"/>
          <w:numId w:val="2"/>
        </w:numPr>
        <w:spacing w:after="80"/>
      </w:pPr>
      <w:r>
        <w:rPr>
          <w:rFonts w:ascii="Arial" w:cs="Arial" w:eastAsia="Arial" w:hAnsi="Arial"/>
          <w:color w:val="1C2833"/>
          <w:sz w:val="22"/>
          <w:szCs w:val="22"/>
        </w:rPr>
        <w:t xml:space="preserve">Jänicke, M. &amp; Weidner, H. (1995). Successful Environmental Policy: A Critical Evaluation of 24 Cases. Berlin.</w:t>
      </w:r>
    </w:p>
    <w:p>
      <w:pPr>
        <w:pStyle w:val="ListParagraph"/>
        <w:numPr>
          <w:ilvl w:val="0"/>
          <w:numId w:val="2"/>
        </w:numPr>
        <w:spacing w:after="80"/>
      </w:pPr>
      <w:r>
        <w:rPr>
          <w:rFonts w:ascii="Arial" w:cs="Arial" w:eastAsia="Arial" w:hAnsi="Arial"/>
          <w:color w:val="1C2833"/>
          <w:sz w:val="22"/>
          <w:szCs w:val="22"/>
        </w:rPr>
        <w:t xml:space="preserve">Muno, W. (2010). “Umweltpolitik.” In Lauth (Hg.): Vergleichende Regierungslehre. Wiesbaden, 349–372.</w:t>
      </w:r>
    </w:p>
    <w:p>
      <w:pPr>
        <w:pStyle w:val="ListParagraph"/>
        <w:numPr>
          <w:ilvl w:val="0"/>
          <w:numId w:val="2"/>
        </w:numPr>
        <w:spacing w:after="80"/>
      </w:pPr>
      <w:r>
        <w:rPr>
          <w:rFonts w:ascii="Arial" w:cs="Arial" w:eastAsia="Arial" w:hAnsi="Arial"/>
          <w:color w:val="1C2833"/>
          <w:sz w:val="22"/>
          <w:szCs w:val="22"/>
        </w:rPr>
        <w:t xml:space="preserve">Schreurs, M.A. (2002). Environmental Politics in Japan, Germany, and the United States. Cambridge.</w:t>
      </w:r>
    </w:p>
    <w:p>
      <w:pPr>
        <w:pStyle w:val="ListParagraph"/>
        <w:numPr>
          <w:ilvl w:val="0"/>
          <w:numId w:val="2"/>
        </w:numPr>
        <w:spacing w:after="80"/>
      </w:pPr>
      <w:r>
        <w:rPr>
          <w:rFonts w:ascii="Arial" w:cs="Arial" w:eastAsia="Arial" w:hAnsi="Arial"/>
          <w:color w:val="1C2833"/>
          <w:sz w:val="22"/>
          <w:szCs w:val="22"/>
        </w:rPr>
        <w:t xml:space="preserve">Steinberg, P. &amp; VanDeveer, S. (2012). Comparative Environmental Politics: Theory, Practice, and Prospects. MIT Press.</w:t>
      </w:r>
    </w:p>
    <w:p>
      <w:pPr>
        <w:pStyle w:val="Heading2"/>
        <w:spacing w:after="160" w:before="280"/>
      </w:pPr>
      <w:r>
        <w:rPr>
          <w:rFonts w:ascii="Arial" w:cs="Arial" w:eastAsia="Arial" w:hAnsi="Arial"/>
          <w:b/>
          <w:bCs/>
          <w:color w:val="2E86C1"/>
          <w:sz w:val="26"/>
          <w:szCs w:val="26"/>
        </w:rPr>
        <w:t xml:space="preserve">Game Mechanics Foundations</w:t>
      </w:r>
    </w:p>
    <w:p>
      <w:pPr>
        <w:pStyle w:val="ListParagraph"/>
        <w:numPr>
          <w:ilvl w:val="0"/>
          <w:numId w:val="2"/>
        </w:numPr>
        <w:spacing w:after="80"/>
      </w:pPr>
      <w:r>
        <w:rPr>
          <w:rFonts w:ascii="Arial" w:cs="Arial" w:eastAsia="Arial" w:hAnsi="Arial"/>
          <w:color w:val="1C2833"/>
          <w:sz w:val="22"/>
          <w:szCs w:val="22"/>
        </w:rPr>
        <w:t xml:space="preserve">Liefferink, D., Arts, B., Kamstra, J. &amp; Ooijevaar, J. (2009). “Leaders and Laggards in Environmental Policy: A Quantitative Analysis of Domestic Policy Outputs.” Journal of European Public Policy, 16(5).</w:t>
      </w:r>
    </w:p>
    <w:p>
      <w:pPr>
        <w:pStyle w:val="ListParagraph"/>
        <w:numPr>
          <w:ilvl w:val="0"/>
          <w:numId w:val="2"/>
        </w:numPr>
        <w:spacing w:after="80"/>
      </w:pPr>
      <w:r>
        <w:rPr>
          <w:rFonts w:ascii="Arial" w:cs="Arial" w:eastAsia="Arial" w:hAnsi="Arial"/>
          <w:color w:val="1C2833"/>
          <w:sz w:val="22"/>
          <w:szCs w:val="22"/>
        </w:rPr>
        <w:t xml:space="preserve">Mezzanotti, F. &amp; Starkman, R. (CEPR DP20578). “Climate Politics in the United States” — Green-brown establishment ratio predicts climate policy voting.</w:t>
      </w:r>
    </w:p>
    <w:p>
      <w:pPr>
        <w:pStyle w:val="ListParagraph"/>
        <w:numPr>
          <w:ilvl w:val="0"/>
          <w:numId w:val="2"/>
        </w:numPr>
        <w:spacing w:after="80"/>
      </w:pPr>
      <w:r>
        <w:rPr>
          <w:rFonts w:ascii="Arial" w:cs="Arial" w:eastAsia="Arial" w:hAnsi="Arial"/>
          <w:color w:val="1C2833"/>
          <w:sz w:val="22"/>
          <w:szCs w:val="22"/>
        </w:rPr>
        <w:t xml:space="preserve">Nordhaus, W. (2018). “Climate Change: The Ultimate Challenge for Economics.” Nobel Prize Lecture. DICE model.</w:t>
      </w:r>
    </w:p>
    <w:p>
      <w:pPr>
        <w:pStyle w:val="ListParagraph"/>
        <w:numPr>
          <w:ilvl w:val="0"/>
          <w:numId w:val="2"/>
        </w:numPr>
        <w:spacing w:after="80"/>
      </w:pPr>
      <w:r>
        <w:rPr>
          <w:rFonts w:ascii="Arial" w:cs="Arial" w:eastAsia="Arial" w:hAnsi="Arial"/>
          <w:color w:val="1C2833"/>
          <w:sz w:val="22"/>
          <w:szCs w:val="22"/>
        </w:rPr>
        <w:t xml:space="preserve">Goulder, L. (1995). “Environmental Taxation and the Double Dividend: A Reader’s Guide.” National Tax Journal.</w:t>
      </w:r>
    </w:p>
    <w:p>
      <w:pPr>
        <w:pStyle w:val="ListParagraph"/>
        <w:numPr>
          <w:ilvl w:val="0"/>
          <w:numId w:val="2"/>
        </w:numPr>
        <w:spacing w:after="80"/>
      </w:pPr>
      <w:r>
        <w:rPr>
          <w:rFonts w:ascii="Arial" w:cs="Arial" w:eastAsia="Arial" w:hAnsi="Arial"/>
          <w:color w:val="1C2833"/>
          <w:sz w:val="22"/>
          <w:szCs w:val="22"/>
        </w:rPr>
        <w:t xml:space="preserve">Freire-González, J. (2018). “Environmental taxation and the double dividend hypothesis in CGE modelling literature: A critical review.” Journal of Policy Modeling, 40(1), 194–223.</w:t>
      </w:r>
    </w:p>
    <w:p>
      <w:pPr>
        <w:pStyle w:val="ListParagraph"/>
        <w:numPr>
          <w:ilvl w:val="0"/>
          <w:numId w:val="2"/>
        </w:numPr>
        <w:spacing w:after="80"/>
      </w:pPr>
      <w:r>
        <w:rPr>
          <w:rFonts w:ascii="Arial" w:cs="Arial" w:eastAsia="Arial" w:hAnsi="Arial"/>
          <w:color w:val="1C2833"/>
          <w:sz w:val="22"/>
          <w:szCs w:val="22"/>
        </w:rPr>
        <w:t xml:space="preserve">Federal Reserve (2021). “Recycling Carbon Tax Revenue to Maximize Welfare.” FEDS Working Paper 2021-023.</w:t>
      </w:r>
    </w:p>
    <w:p>
      <w:pPr>
        <w:pStyle w:val="Heading2"/>
        <w:spacing w:after="160" w:before="280"/>
      </w:pPr>
      <w:r>
        <w:rPr>
          <w:rFonts w:ascii="Arial" w:cs="Arial" w:eastAsia="Arial" w:hAnsi="Arial"/>
          <w:b/>
          <w:bCs/>
          <w:color w:val="2E86C1"/>
          <w:sz w:val="26"/>
          <w:szCs w:val="26"/>
        </w:rPr>
        <w:t xml:space="preserve">Game Theory &amp; International Relations</w:t>
      </w:r>
    </w:p>
    <w:p>
      <w:pPr>
        <w:pStyle w:val="ListParagraph"/>
        <w:numPr>
          <w:ilvl w:val="0"/>
          <w:numId w:val="2"/>
        </w:numPr>
        <w:spacing w:after="80"/>
      </w:pPr>
      <w:r>
        <w:rPr>
          <w:rFonts w:ascii="Arial" w:cs="Arial" w:eastAsia="Arial" w:hAnsi="Arial"/>
          <w:color w:val="1C2833"/>
          <w:sz w:val="22"/>
          <w:szCs w:val="22"/>
        </w:rPr>
        <w:t xml:space="preserve">Putnam, R.D. (1988). “Diplomacy and Domestic Politics: The Logic of Two-Level Games.” International Organization, 42(3), 427–460.</w:t>
      </w:r>
    </w:p>
    <w:p>
      <w:pPr>
        <w:pStyle w:val="ListParagraph"/>
        <w:numPr>
          <w:ilvl w:val="0"/>
          <w:numId w:val="2"/>
        </w:numPr>
        <w:spacing w:after="80"/>
      </w:pPr>
      <w:r>
        <w:rPr>
          <w:rFonts w:ascii="Arial" w:cs="Arial" w:eastAsia="Arial" w:hAnsi="Arial"/>
          <w:color w:val="1C2833"/>
          <w:sz w:val="22"/>
          <w:szCs w:val="22"/>
        </w:rPr>
        <w:t xml:space="preserve">Hardin, G. (1968). “The Tragedy of the Commons.” Science, 162(3859), 1243–1248.</w:t>
      </w:r>
    </w:p>
    <w:p>
      <w:pPr>
        <w:pStyle w:val="ListParagraph"/>
        <w:numPr>
          <w:ilvl w:val="0"/>
          <w:numId w:val="2"/>
        </w:numPr>
        <w:spacing w:after="80"/>
      </w:pPr>
      <w:r>
        <w:rPr>
          <w:rFonts w:ascii="Arial" w:cs="Arial" w:eastAsia="Arial" w:hAnsi="Arial"/>
          <w:color w:val="1C2833"/>
          <w:sz w:val="22"/>
          <w:szCs w:val="22"/>
        </w:rPr>
        <w:t xml:space="preserve">Ostrom, E. (1990). Governing the Commons: The Evolution of Institutions for Collective Action. Cambridge University Press.</w:t>
      </w:r>
    </w:p>
    <w:p>
      <w:pPr>
        <w:pStyle w:val="ListParagraph"/>
        <w:numPr>
          <w:ilvl w:val="0"/>
          <w:numId w:val="2"/>
        </w:numPr>
        <w:spacing w:after="80"/>
      </w:pPr>
      <w:r>
        <w:rPr>
          <w:rFonts w:ascii="Arial" w:cs="Arial" w:eastAsia="Arial" w:hAnsi="Arial"/>
          <w:color w:val="1C2833"/>
          <w:sz w:val="22"/>
          <w:szCs w:val="22"/>
        </w:rPr>
        <w:t xml:space="preserve">Ostrom, E. (2010). “Polycentric Systems for Coping with Collective Action and Global Environmental Change.” Global Environmental Change, 20(4), 550–557.</w:t>
      </w:r>
    </w:p>
    <w:p>
      <w:pPr>
        <w:pStyle w:val="ListParagraph"/>
        <w:numPr>
          <w:ilvl w:val="0"/>
          <w:numId w:val="2"/>
        </w:numPr>
        <w:spacing w:after="80"/>
      </w:pPr>
      <w:r>
        <w:rPr>
          <w:rFonts w:ascii="Arial" w:cs="Arial" w:eastAsia="Arial" w:hAnsi="Arial"/>
          <w:color w:val="1C2833"/>
          <w:sz w:val="22"/>
          <w:szCs w:val="22"/>
        </w:rPr>
        <w:t xml:space="preserve">Aklin, M. &amp; Mildenberger, M. (2020). “Prisoners of the Wrong Dilemma: Why Distributive Conflict, Not Collective Action, Characterizes the Politics of Climate Change.” Global Environmental Politics, 20(4), 4–27.</w:t>
      </w:r>
    </w:p>
    <w:p>
      <w:pPr>
        <w:pStyle w:val="Heading2"/>
        <w:spacing w:after="160" w:before="280"/>
      </w:pPr>
      <w:r>
        <w:rPr>
          <w:rFonts w:ascii="Arial" w:cs="Arial" w:eastAsia="Arial" w:hAnsi="Arial"/>
          <w:b/>
          <w:bCs/>
          <w:color w:val="2E86C1"/>
          <w:sz w:val="26"/>
          <w:szCs w:val="26"/>
        </w:rPr>
        <w:t xml:space="preserve">Data Sources</w:t>
      </w:r>
    </w:p>
    <w:p>
      <w:pPr>
        <w:pStyle w:val="ListParagraph"/>
        <w:numPr>
          <w:ilvl w:val="0"/>
          <w:numId w:val="2"/>
        </w:numPr>
        <w:spacing w:after="80"/>
      </w:pPr>
      <w:r>
        <w:rPr>
          <w:rFonts w:ascii="Arial" w:cs="Arial" w:eastAsia="Arial" w:hAnsi="Arial"/>
          <w:color w:val="1C2833"/>
          <w:sz w:val="22"/>
          <w:szCs w:val="22"/>
        </w:rPr>
        <w:t xml:space="preserve">IEA World Energy Employment 2024 — Clean vs. fossil workforce share by region.</w:t>
      </w:r>
    </w:p>
    <w:p>
      <w:pPr>
        <w:pStyle w:val="ListParagraph"/>
        <w:numPr>
          <w:ilvl w:val="0"/>
          <w:numId w:val="2"/>
        </w:numPr>
        <w:spacing w:after="80"/>
      </w:pPr>
      <w:r>
        <w:rPr>
          <w:rFonts w:ascii="Arial" w:cs="Arial" w:eastAsia="Arial" w:hAnsi="Arial"/>
          <w:color w:val="1C2833"/>
          <w:sz w:val="22"/>
          <w:szCs w:val="22"/>
        </w:rPr>
        <w:t xml:space="preserve">IRENA/ILO Renewable Energy and Jobs 2024 — 16.2M global renewable jobs.</w:t>
      </w:r>
    </w:p>
    <w:p>
      <w:pPr>
        <w:pStyle w:val="ListParagraph"/>
        <w:numPr>
          <w:ilvl w:val="0"/>
          <w:numId w:val="2"/>
        </w:numPr>
        <w:spacing w:after="80"/>
      </w:pPr>
      <w:r>
        <w:rPr>
          <w:rFonts w:ascii="Arial" w:cs="Arial" w:eastAsia="Arial" w:hAnsi="Arial"/>
          <w:color w:val="1C2833"/>
          <w:sz w:val="22"/>
          <w:szCs w:val="22"/>
        </w:rPr>
        <w:t xml:space="preserve">World Bank Oil Rents (% of GDP) — Country-level fossil dependence data.</w:t>
      </w:r>
    </w:p>
    <w:p>
      <w:pPr>
        <w:pStyle w:val="ListParagraph"/>
        <w:numPr>
          <w:ilvl w:val="0"/>
          <w:numId w:val="2"/>
        </w:numPr>
        <w:spacing w:after="80"/>
      </w:pPr>
      <w:r>
        <w:rPr>
          <w:rFonts w:ascii="Arial" w:cs="Arial" w:eastAsia="Arial" w:hAnsi="Arial"/>
          <w:color w:val="1C2833"/>
          <w:sz w:val="22"/>
          <w:szCs w:val="22"/>
        </w:rPr>
        <w:t xml:space="preserve">IPCC AR5 — Approximately linear relationship between cumulative CO₂ and temperature rise.</w:t>
      </w:r>
    </w:p>
    <w:p>
      <w:pPr>
        <w:pStyle w:val="ListParagraph"/>
        <w:numPr>
          <w:ilvl w:val="0"/>
          <w:numId w:val="2"/>
        </w:numPr>
        <w:spacing w:after="80"/>
      </w:pPr>
      <w:r>
        <w:rPr>
          <w:rFonts w:ascii="Arial" w:cs="Arial" w:eastAsia="Arial" w:hAnsi="Arial"/>
          <w:color w:val="1C2833"/>
          <w:sz w:val="22"/>
          <w:szCs w:val="22"/>
        </w:rPr>
        <w:t xml:space="preserve">Germanwatch CCPI — Climate Change Performance Index methodology (reference for metric selection).</w:t>
      </w:r>
    </w:p>
    <w:p>
      <w:pPr>
        <w:pStyle w:val="ListParagraph"/>
        <w:numPr>
          <w:ilvl w:val="0"/>
          <w:numId w:val="2"/>
        </w:numPr>
        <w:spacing w:after="80"/>
      </w:pPr>
      <w:r>
        <w:rPr>
          <w:rFonts w:ascii="Arial" w:cs="Arial" w:eastAsia="Arial" w:hAnsi="Arial"/>
          <w:color w:val="1C2833"/>
          <w:sz w:val="22"/>
          <w:szCs w:val="22"/>
        </w:rPr>
        <w:t xml:space="preserve">Cancún Agreements (2010) — $100B/yr climate finance pledge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7F8C8D"/>
        <w:sz w:val="18"/>
        <w:szCs w:val="18"/>
      </w:rPr>
      <w:t xml:space="preserve">POL23200 — TUM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pPr>
    <w:r>
      <w:rPr>
        <w:rFonts w:ascii="Arial" w:cs="Arial" w:eastAsia="Arial" w:hAnsi="Arial"/>
        <w:i/>
        <w:iCs/>
        <w:color w:val="7F8C8D"/>
        <w:sz w:val="18"/>
        <w:szCs w:val="18"/>
      </w:rPr>
      <w:t xml:space="preserve">Climate Diplomacy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2026-07-06T00:10:03.530Z</dcterms:created>
  <dcterms:modified xsi:type="dcterms:W3CDTF">2026-07-06T00:10:03.530Z</dcterms:modified>
</cp:coreProperties>
</file>

<file path=docProps/custom.xml><?xml version="1.0" encoding="utf-8"?>
<Properties xmlns="http://schemas.openxmlformats.org/officeDocument/2006/custom-properties" xmlns:vt="http://schemas.openxmlformats.org/officeDocument/2006/docPropsVTypes"/>
</file>